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b w:val="0"/>
          <w:bCs w:val="0"/>
          <w:color w:val="auto"/>
          <w:sz w:val="22"/>
          <w:szCs w:val="22"/>
          <w:lang w:eastAsia="en-US"/>
        </w:rPr>
        <w:id w:val="-1315097490"/>
        <w:docPartObj>
          <w:docPartGallery w:val="Table of Contents"/>
          <w:docPartUnique/>
        </w:docPartObj>
      </w:sdtPr>
      <w:sdtContent>
        <w:p w:rsidR="008903A4" w:rsidRPr="001E58A6" w:rsidRDefault="001E58A6">
          <w:pPr>
            <w:pStyle w:val="Nagwekspisutreci"/>
            <w:rPr>
              <w:sz w:val="52"/>
              <w:u w:val="single"/>
            </w:rPr>
          </w:pPr>
          <w:r w:rsidRPr="001E58A6">
            <w:rPr>
              <w:sz w:val="52"/>
              <w:u w:val="single"/>
            </w:rPr>
            <w:t>SPIS TREŚCI</w:t>
          </w:r>
        </w:p>
        <w:p w:rsidR="00D12A69" w:rsidRDefault="001B3CFD">
          <w:pPr>
            <w:pStyle w:val="Spistreci2"/>
            <w:tabs>
              <w:tab w:val="right" w:leader="dot" w:pos="9062"/>
            </w:tabs>
            <w:rPr>
              <w:rFonts w:eastAsiaTheme="minorEastAsia"/>
              <w:noProof/>
              <w:lang w:eastAsia="pl-PL"/>
            </w:rPr>
          </w:pPr>
          <w:r>
            <w:fldChar w:fldCharType="begin"/>
          </w:r>
          <w:r w:rsidR="008903A4">
            <w:instrText xml:space="preserve"> TOC \o "1-3" \h \z \u </w:instrText>
          </w:r>
          <w:r>
            <w:fldChar w:fldCharType="separate"/>
          </w:r>
          <w:hyperlink w:anchor="_Toc450562464" w:history="1">
            <w:r w:rsidR="00D12A69" w:rsidRPr="00EA2FA8">
              <w:rPr>
                <w:rStyle w:val="Hipercze"/>
                <w:noProof/>
              </w:rPr>
              <w:t>ROZDZIAŁ I</w:t>
            </w:r>
            <w:r w:rsidR="00D12A69">
              <w:rPr>
                <w:noProof/>
                <w:webHidden/>
              </w:rPr>
              <w:tab/>
            </w:r>
            <w:r w:rsidR="00D12A69">
              <w:rPr>
                <w:noProof/>
                <w:webHidden/>
              </w:rPr>
              <w:fldChar w:fldCharType="begin"/>
            </w:r>
            <w:r w:rsidR="00D12A69">
              <w:rPr>
                <w:noProof/>
                <w:webHidden/>
              </w:rPr>
              <w:instrText xml:space="preserve"> PAGEREF _Toc450562464 \h </w:instrText>
            </w:r>
            <w:r w:rsidR="00D12A69">
              <w:rPr>
                <w:noProof/>
                <w:webHidden/>
              </w:rPr>
            </w:r>
            <w:r w:rsidR="00D12A69">
              <w:rPr>
                <w:noProof/>
                <w:webHidden/>
              </w:rPr>
              <w:fldChar w:fldCharType="separate"/>
            </w:r>
            <w:r w:rsidR="00D12A69">
              <w:rPr>
                <w:noProof/>
                <w:webHidden/>
              </w:rPr>
              <w:t>5</w:t>
            </w:r>
            <w:r w:rsidR="00D12A69">
              <w:rPr>
                <w:noProof/>
                <w:webHidden/>
              </w:rPr>
              <w:fldChar w:fldCharType="end"/>
            </w:r>
          </w:hyperlink>
        </w:p>
        <w:p w:rsidR="00D12A69" w:rsidRDefault="00D12A69">
          <w:pPr>
            <w:pStyle w:val="Spistreci2"/>
            <w:tabs>
              <w:tab w:val="right" w:leader="dot" w:pos="9062"/>
            </w:tabs>
            <w:rPr>
              <w:rFonts w:eastAsiaTheme="minorEastAsia"/>
              <w:noProof/>
              <w:lang w:eastAsia="pl-PL"/>
            </w:rPr>
          </w:pPr>
          <w:hyperlink w:anchor="_Toc450562465" w:history="1">
            <w:r w:rsidRPr="00EA2FA8">
              <w:rPr>
                <w:rStyle w:val="Hipercze"/>
                <w:noProof/>
              </w:rPr>
              <w:t>WPROWADZENIE</w:t>
            </w:r>
            <w:r>
              <w:rPr>
                <w:noProof/>
                <w:webHidden/>
              </w:rPr>
              <w:tab/>
            </w:r>
            <w:r>
              <w:rPr>
                <w:noProof/>
                <w:webHidden/>
              </w:rPr>
              <w:fldChar w:fldCharType="begin"/>
            </w:r>
            <w:r>
              <w:rPr>
                <w:noProof/>
                <w:webHidden/>
              </w:rPr>
              <w:instrText xml:space="preserve"> PAGEREF _Toc450562465 \h </w:instrText>
            </w:r>
            <w:r>
              <w:rPr>
                <w:noProof/>
                <w:webHidden/>
              </w:rPr>
            </w:r>
            <w:r>
              <w:rPr>
                <w:noProof/>
                <w:webHidden/>
              </w:rPr>
              <w:fldChar w:fldCharType="separate"/>
            </w:r>
            <w:r>
              <w:rPr>
                <w:noProof/>
                <w:webHidden/>
              </w:rPr>
              <w:t>5</w:t>
            </w:r>
            <w:r>
              <w:rPr>
                <w:noProof/>
                <w:webHidden/>
              </w:rPr>
              <w:fldChar w:fldCharType="end"/>
            </w:r>
          </w:hyperlink>
        </w:p>
        <w:p w:rsidR="00D12A69" w:rsidRDefault="00D12A69">
          <w:pPr>
            <w:pStyle w:val="Spistreci2"/>
            <w:tabs>
              <w:tab w:val="right" w:leader="dot" w:pos="9062"/>
            </w:tabs>
            <w:rPr>
              <w:rFonts w:eastAsiaTheme="minorEastAsia"/>
              <w:noProof/>
              <w:lang w:eastAsia="pl-PL"/>
            </w:rPr>
          </w:pPr>
          <w:hyperlink w:anchor="_Toc450562466" w:history="1">
            <w:r w:rsidRPr="00EA2FA8">
              <w:rPr>
                <w:rStyle w:val="Hipercze"/>
                <w:noProof/>
                <w:lang w:eastAsia="pl-PL"/>
              </w:rPr>
              <w:t>1.1. UWARUNKOWANIA PRAWNE I PODSTAWOWE DEFINICJE DOTYCZĄCE REWITALIZACJI.</w:t>
            </w:r>
            <w:r>
              <w:rPr>
                <w:noProof/>
                <w:webHidden/>
              </w:rPr>
              <w:tab/>
            </w:r>
            <w:r>
              <w:rPr>
                <w:noProof/>
                <w:webHidden/>
              </w:rPr>
              <w:fldChar w:fldCharType="begin"/>
            </w:r>
            <w:r>
              <w:rPr>
                <w:noProof/>
                <w:webHidden/>
              </w:rPr>
              <w:instrText xml:space="preserve"> PAGEREF _Toc450562466 \h </w:instrText>
            </w:r>
            <w:r>
              <w:rPr>
                <w:noProof/>
                <w:webHidden/>
              </w:rPr>
            </w:r>
            <w:r>
              <w:rPr>
                <w:noProof/>
                <w:webHidden/>
              </w:rPr>
              <w:fldChar w:fldCharType="separate"/>
            </w:r>
            <w:r>
              <w:rPr>
                <w:noProof/>
                <w:webHidden/>
              </w:rPr>
              <w:t>5</w:t>
            </w:r>
            <w:r>
              <w:rPr>
                <w:noProof/>
                <w:webHidden/>
              </w:rPr>
              <w:fldChar w:fldCharType="end"/>
            </w:r>
          </w:hyperlink>
        </w:p>
        <w:p w:rsidR="00D12A69" w:rsidRDefault="00D12A69">
          <w:pPr>
            <w:pStyle w:val="Spistreci2"/>
            <w:tabs>
              <w:tab w:val="right" w:leader="dot" w:pos="9062"/>
            </w:tabs>
            <w:rPr>
              <w:rFonts w:eastAsiaTheme="minorEastAsia"/>
              <w:noProof/>
              <w:lang w:eastAsia="pl-PL"/>
            </w:rPr>
          </w:pPr>
          <w:hyperlink w:anchor="_Toc450562467" w:history="1">
            <w:r w:rsidRPr="00EA2FA8">
              <w:rPr>
                <w:rStyle w:val="Hipercze"/>
                <w:noProof/>
                <w:lang w:eastAsia="pl-PL"/>
              </w:rPr>
              <w:t>1.1.1.  NARODOWY PLAN REWITALIZACJI</w:t>
            </w:r>
            <w:r>
              <w:rPr>
                <w:noProof/>
                <w:webHidden/>
              </w:rPr>
              <w:tab/>
            </w:r>
            <w:r>
              <w:rPr>
                <w:noProof/>
                <w:webHidden/>
              </w:rPr>
              <w:fldChar w:fldCharType="begin"/>
            </w:r>
            <w:r>
              <w:rPr>
                <w:noProof/>
                <w:webHidden/>
              </w:rPr>
              <w:instrText xml:space="preserve"> PAGEREF _Toc450562467 \h </w:instrText>
            </w:r>
            <w:r>
              <w:rPr>
                <w:noProof/>
                <w:webHidden/>
              </w:rPr>
            </w:r>
            <w:r>
              <w:rPr>
                <w:noProof/>
                <w:webHidden/>
              </w:rPr>
              <w:fldChar w:fldCharType="separate"/>
            </w:r>
            <w:r>
              <w:rPr>
                <w:noProof/>
                <w:webHidden/>
              </w:rPr>
              <w:t>6</w:t>
            </w:r>
            <w:r>
              <w:rPr>
                <w:noProof/>
                <w:webHidden/>
              </w:rPr>
              <w:fldChar w:fldCharType="end"/>
            </w:r>
          </w:hyperlink>
        </w:p>
        <w:p w:rsidR="00D12A69" w:rsidRDefault="00D12A69">
          <w:pPr>
            <w:pStyle w:val="Spistreci2"/>
            <w:tabs>
              <w:tab w:val="right" w:leader="dot" w:pos="9062"/>
            </w:tabs>
            <w:rPr>
              <w:rFonts w:eastAsiaTheme="minorEastAsia"/>
              <w:noProof/>
              <w:lang w:eastAsia="pl-PL"/>
            </w:rPr>
          </w:pPr>
          <w:hyperlink w:anchor="_Toc450562468" w:history="1">
            <w:r w:rsidRPr="00EA2FA8">
              <w:rPr>
                <w:rStyle w:val="Hipercze"/>
                <w:noProof/>
                <w:lang w:eastAsia="pl-PL"/>
              </w:rPr>
              <w:t>1.1.2. WYTYCZNE W ZAKRESIE REWITALIZACJI W PROGRAMIE OPERACYJNYM NA LATA 2014-2022 (3 lipca 2015r.)</w:t>
            </w:r>
            <w:r>
              <w:rPr>
                <w:noProof/>
                <w:webHidden/>
              </w:rPr>
              <w:tab/>
            </w:r>
            <w:r>
              <w:rPr>
                <w:noProof/>
                <w:webHidden/>
              </w:rPr>
              <w:fldChar w:fldCharType="begin"/>
            </w:r>
            <w:r>
              <w:rPr>
                <w:noProof/>
                <w:webHidden/>
              </w:rPr>
              <w:instrText xml:space="preserve"> PAGEREF _Toc450562468 \h </w:instrText>
            </w:r>
            <w:r>
              <w:rPr>
                <w:noProof/>
                <w:webHidden/>
              </w:rPr>
            </w:r>
            <w:r>
              <w:rPr>
                <w:noProof/>
                <w:webHidden/>
              </w:rPr>
              <w:fldChar w:fldCharType="separate"/>
            </w:r>
            <w:r>
              <w:rPr>
                <w:noProof/>
                <w:webHidden/>
              </w:rPr>
              <w:t>13</w:t>
            </w:r>
            <w:r>
              <w:rPr>
                <w:noProof/>
                <w:webHidden/>
              </w:rPr>
              <w:fldChar w:fldCharType="end"/>
            </w:r>
          </w:hyperlink>
        </w:p>
        <w:p w:rsidR="00D12A69" w:rsidRDefault="00D12A69">
          <w:pPr>
            <w:pStyle w:val="Spistreci2"/>
            <w:tabs>
              <w:tab w:val="right" w:leader="dot" w:pos="9062"/>
            </w:tabs>
            <w:rPr>
              <w:rFonts w:eastAsiaTheme="minorEastAsia"/>
              <w:noProof/>
              <w:lang w:eastAsia="pl-PL"/>
            </w:rPr>
          </w:pPr>
          <w:hyperlink w:anchor="_Toc450562469" w:history="1">
            <w:r w:rsidRPr="00EA2FA8">
              <w:rPr>
                <w:rStyle w:val="Hipercze"/>
                <w:noProof/>
                <w:lang w:eastAsia="pl-PL"/>
              </w:rPr>
              <w:t>1.1.3. USTAWA O REWITALIZACJI (9 października 2015r)</w:t>
            </w:r>
            <w:r>
              <w:rPr>
                <w:noProof/>
                <w:webHidden/>
              </w:rPr>
              <w:tab/>
            </w:r>
            <w:r>
              <w:rPr>
                <w:noProof/>
                <w:webHidden/>
              </w:rPr>
              <w:fldChar w:fldCharType="begin"/>
            </w:r>
            <w:r>
              <w:rPr>
                <w:noProof/>
                <w:webHidden/>
              </w:rPr>
              <w:instrText xml:space="preserve"> PAGEREF _Toc450562469 \h </w:instrText>
            </w:r>
            <w:r>
              <w:rPr>
                <w:noProof/>
                <w:webHidden/>
              </w:rPr>
            </w:r>
            <w:r>
              <w:rPr>
                <w:noProof/>
                <w:webHidden/>
              </w:rPr>
              <w:fldChar w:fldCharType="separate"/>
            </w:r>
            <w:r>
              <w:rPr>
                <w:noProof/>
                <w:webHidden/>
              </w:rPr>
              <w:t>30</w:t>
            </w:r>
            <w:r>
              <w:rPr>
                <w:noProof/>
                <w:webHidden/>
              </w:rPr>
              <w:fldChar w:fldCharType="end"/>
            </w:r>
          </w:hyperlink>
        </w:p>
        <w:p w:rsidR="00D12A69" w:rsidRDefault="00D12A69">
          <w:pPr>
            <w:pStyle w:val="Spistreci2"/>
            <w:tabs>
              <w:tab w:val="right" w:leader="dot" w:pos="9062"/>
            </w:tabs>
            <w:rPr>
              <w:rFonts w:eastAsiaTheme="minorEastAsia"/>
              <w:noProof/>
              <w:lang w:eastAsia="pl-PL"/>
            </w:rPr>
          </w:pPr>
          <w:hyperlink w:anchor="_Toc450562470" w:history="1">
            <w:r w:rsidRPr="00EA2FA8">
              <w:rPr>
                <w:rStyle w:val="Hipercze"/>
                <w:noProof/>
                <w:lang w:eastAsia="pl-PL"/>
              </w:rPr>
              <w:t>1.2. INSTRUMENTY PLANISTYCZNE ZWIĄZANE Z REWITALIZACJĄ</w:t>
            </w:r>
            <w:r>
              <w:rPr>
                <w:noProof/>
                <w:webHidden/>
              </w:rPr>
              <w:tab/>
            </w:r>
            <w:r>
              <w:rPr>
                <w:noProof/>
                <w:webHidden/>
              </w:rPr>
              <w:fldChar w:fldCharType="begin"/>
            </w:r>
            <w:r>
              <w:rPr>
                <w:noProof/>
                <w:webHidden/>
              </w:rPr>
              <w:instrText xml:space="preserve"> PAGEREF _Toc450562470 \h </w:instrText>
            </w:r>
            <w:r>
              <w:rPr>
                <w:noProof/>
                <w:webHidden/>
              </w:rPr>
            </w:r>
            <w:r>
              <w:rPr>
                <w:noProof/>
                <w:webHidden/>
              </w:rPr>
              <w:fldChar w:fldCharType="separate"/>
            </w:r>
            <w:r>
              <w:rPr>
                <w:noProof/>
                <w:webHidden/>
              </w:rPr>
              <w:t>36</w:t>
            </w:r>
            <w:r>
              <w:rPr>
                <w:noProof/>
                <w:webHidden/>
              </w:rPr>
              <w:fldChar w:fldCharType="end"/>
            </w:r>
          </w:hyperlink>
        </w:p>
        <w:p w:rsidR="00D12A69" w:rsidRDefault="00D12A69">
          <w:pPr>
            <w:pStyle w:val="Spistreci2"/>
            <w:tabs>
              <w:tab w:val="right" w:leader="dot" w:pos="9062"/>
            </w:tabs>
            <w:rPr>
              <w:rFonts w:eastAsiaTheme="minorEastAsia"/>
              <w:noProof/>
              <w:lang w:eastAsia="pl-PL"/>
            </w:rPr>
          </w:pPr>
          <w:hyperlink w:anchor="_Toc450562471" w:history="1">
            <w:r w:rsidRPr="00EA2FA8">
              <w:rPr>
                <w:rStyle w:val="Hipercze"/>
                <w:noProof/>
              </w:rPr>
              <w:t>ROZDZIAŁ II</w:t>
            </w:r>
            <w:r>
              <w:rPr>
                <w:noProof/>
                <w:webHidden/>
              </w:rPr>
              <w:tab/>
            </w:r>
            <w:r>
              <w:rPr>
                <w:noProof/>
                <w:webHidden/>
              </w:rPr>
              <w:fldChar w:fldCharType="begin"/>
            </w:r>
            <w:r>
              <w:rPr>
                <w:noProof/>
                <w:webHidden/>
              </w:rPr>
              <w:instrText xml:space="preserve"> PAGEREF _Toc450562471 \h </w:instrText>
            </w:r>
            <w:r>
              <w:rPr>
                <w:noProof/>
                <w:webHidden/>
              </w:rPr>
            </w:r>
            <w:r>
              <w:rPr>
                <w:noProof/>
                <w:webHidden/>
              </w:rPr>
              <w:fldChar w:fldCharType="separate"/>
            </w:r>
            <w:r>
              <w:rPr>
                <w:noProof/>
                <w:webHidden/>
              </w:rPr>
              <w:t>47</w:t>
            </w:r>
            <w:r>
              <w:rPr>
                <w:noProof/>
                <w:webHidden/>
              </w:rPr>
              <w:fldChar w:fldCharType="end"/>
            </w:r>
          </w:hyperlink>
        </w:p>
        <w:p w:rsidR="00D12A69" w:rsidRDefault="00D12A69">
          <w:pPr>
            <w:pStyle w:val="Spistreci2"/>
            <w:tabs>
              <w:tab w:val="right" w:leader="dot" w:pos="9062"/>
            </w:tabs>
            <w:rPr>
              <w:rFonts w:eastAsiaTheme="minorEastAsia"/>
              <w:noProof/>
              <w:lang w:eastAsia="pl-PL"/>
            </w:rPr>
          </w:pPr>
          <w:hyperlink w:anchor="_Toc450562472" w:history="1">
            <w:r w:rsidRPr="00EA2FA8">
              <w:rPr>
                <w:rStyle w:val="Hipercze"/>
                <w:noProof/>
                <w:lang w:eastAsia="pl-PL"/>
              </w:rPr>
              <w:t>DIAGNOZA GMINY MIRZEC POTWIERDZAJĄCA SPEŁNIENIE PRZEZ OBSZAR ZDEGRADOWANY I OBSZAR REWITALIZACJI PRZESŁANKI ICH WYZNACZENIA.</w:t>
            </w:r>
            <w:r>
              <w:rPr>
                <w:noProof/>
                <w:webHidden/>
              </w:rPr>
              <w:tab/>
            </w:r>
            <w:r>
              <w:rPr>
                <w:noProof/>
                <w:webHidden/>
              </w:rPr>
              <w:fldChar w:fldCharType="begin"/>
            </w:r>
            <w:r>
              <w:rPr>
                <w:noProof/>
                <w:webHidden/>
              </w:rPr>
              <w:instrText xml:space="preserve"> PAGEREF _Toc450562472 \h </w:instrText>
            </w:r>
            <w:r>
              <w:rPr>
                <w:noProof/>
                <w:webHidden/>
              </w:rPr>
            </w:r>
            <w:r>
              <w:rPr>
                <w:noProof/>
                <w:webHidden/>
              </w:rPr>
              <w:fldChar w:fldCharType="separate"/>
            </w:r>
            <w:r>
              <w:rPr>
                <w:noProof/>
                <w:webHidden/>
              </w:rPr>
              <w:t>47</w:t>
            </w:r>
            <w:r>
              <w:rPr>
                <w:noProof/>
                <w:webHidden/>
              </w:rPr>
              <w:fldChar w:fldCharType="end"/>
            </w:r>
          </w:hyperlink>
        </w:p>
        <w:p w:rsidR="00D12A69" w:rsidRDefault="00D12A69">
          <w:pPr>
            <w:pStyle w:val="Spistreci2"/>
            <w:tabs>
              <w:tab w:val="right" w:leader="dot" w:pos="9062"/>
            </w:tabs>
            <w:rPr>
              <w:rFonts w:eastAsiaTheme="minorEastAsia"/>
              <w:noProof/>
              <w:lang w:eastAsia="pl-PL"/>
            </w:rPr>
          </w:pPr>
          <w:hyperlink w:anchor="_Toc450562473" w:history="1">
            <w:r w:rsidRPr="00EA2FA8">
              <w:rPr>
                <w:rStyle w:val="Hipercze"/>
                <w:noProof/>
              </w:rPr>
              <w:t>2.1. DIAGNOZA obszaru zdegradowanego i obszaru rewitalizacji gminy Mirzec: sołectwa Mirzec I i Mirzec II</w:t>
            </w:r>
            <w:r>
              <w:rPr>
                <w:noProof/>
                <w:webHidden/>
              </w:rPr>
              <w:tab/>
            </w:r>
            <w:r>
              <w:rPr>
                <w:noProof/>
                <w:webHidden/>
              </w:rPr>
              <w:fldChar w:fldCharType="begin"/>
            </w:r>
            <w:r>
              <w:rPr>
                <w:noProof/>
                <w:webHidden/>
              </w:rPr>
              <w:instrText xml:space="preserve"> PAGEREF _Toc450562473 \h </w:instrText>
            </w:r>
            <w:r>
              <w:rPr>
                <w:noProof/>
                <w:webHidden/>
              </w:rPr>
            </w:r>
            <w:r>
              <w:rPr>
                <w:noProof/>
                <w:webHidden/>
              </w:rPr>
              <w:fldChar w:fldCharType="separate"/>
            </w:r>
            <w:r>
              <w:rPr>
                <w:noProof/>
                <w:webHidden/>
              </w:rPr>
              <w:t>52</w:t>
            </w:r>
            <w:r>
              <w:rPr>
                <w:noProof/>
                <w:webHidden/>
              </w:rPr>
              <w:fldChar w:fldCharType="end"/>
            </w:r>
          </w:hyperlink>
        </w:p>
        <w:p w:rsidR="00D12A69" w:rsidRDefault="00D12A69">
          <w:pPr>
            <w:pStyle w:val="Spistreci2"/>
            <w:tabs>
              <w:tab w:val="right" w:leader="dot" w:pos="9062"/>
            </w:tabs>
            <w:rPr>
              <w:rFonts w:eastAsiaTheme="minorEastAsia"/>
              <w:noProof/>
              <w:lang w:eastAsia="pl-PL"/>
            </w:rPr>
          </w:pPr>
          <w:hyperlink w:anchor="_Toc450562474" w:history="1">
            <w:r w:rsidRPr="00EA2FA8">
              <w:rPr>
                <w:rStyle w:val="Hipercze"/>
                <w:noProof/>
                <w:lang w:eastAsia="pl-PL"/>
              </w:rPr>
              <w:t>2.1. SFERA PRZESTRZENNA</w:t>
            </w:r>
            <w:r>
              <w:rPr>
                <w:noProof/>
                <w:webHidden/>
              </w:rPr>
              <w:tab/>
            </w:r>
            <w:r>
              <w:rPr>
                <w:noProof/>
                <w:webHidden/>
              </w:rPr>
              <w:fldChar w:fldCharType="begin"/>
            </w:r>
            <w:r>
              <w:rPr>
                <w:noProof/>
                <w:webHidden/>
              </w:rPr>
              <w:instrText xml:space="preserve"> PAGEREF _Toc450562474 \h </w:instrText>
            </w:r>
            <w:r>
              <w:rPr>
                <w:noProof/>
                <w:webHidden/>
              </w:rPr>
            </w:r>
            <w:r>
              <w:rPr>
                <w:noProof/>
                <w:webHidden/>
              </w:rPr>
              <w:fldChar w:fldCharType="separate"/>
            </w:r>
            <w:r>
              <w:rPr>
                <w:noProof/>
                <w:webHidden/>
              </w:rPr>
              <w:t>52</w:t>
            </w:r>
            <w:r>
              <w:rPr>
                <w:noProof/>
                <w:webHidden/>
              </w:rPr>
              <w:fldChar w:fldCharType="end"/>
            </w:r>
          </w:hyperlink>
        </w:p>
        <w:p w:rsidR="00D12A69" w:rsidRDefault="00D12A69">
          <w:pPr>
            <w:pStyle w:val="Spistreci2"/>
            <w:tabs>
              <w:tab w:val="right" w:leader="dot" w:pos="9062"/>
            </w:tabs>
            <w:rPr>
              <w:rFonts w:eastAsiaTheme="minorEastAsia"/>
              <w:noProof/>
              <w:lang w:eastAsia="pl-PL"/>
            </w:rPr>
          </w:pPr>
          <w:hyperlink w:anchor="_Toc450562475" w:history="1">
            <w:r w:rsidRPr="00EA2FA8">
              <w:rPr>
                <w:rStyle w:val="Hipercze"/>
                <w:noProof/>
                <w:lang w:eastAsia="pl-PL"/>
              </w:rPr>
              <w:t>2.1.1 CHARAKTERYSTYKA ZAGOSPODAROWANIA PRZESTRZENNEGO I UWARUNKOWANIA HISTORYCZNE ROZWOJU GMINY</w:t>
            </w:r>
            <w:r>
              <w:rPr>
                <w:noProof/>
                <w:webHidden/>
              </w:rPr>
              <w:tab/>
            </w:r>
            <w:r>
              <w:rPr>
                <w:noProof/>
                <w:webHidden/>
              </w:rPr>
              <w:fldChar w:fldCharType="begin"/>
            </w:r>
            <w:r>
              <w:rPr>
                <w:noProof/>
                <w:webHidden/>
              </w:rPr>
              <w:instrText xml:space="preserve"> PAGEREF _Toc450562475 \h </w:instrText>
            </w:r>
            <w:r>
              <w:rPr>
                <w:noProof/>
                <w:webHidden/>
              </w:rPr>
            </w:r>
            <w:r>
              <w:rPr>
                <w:noProof/>
                <w:webHidden/>
              </w:rPr>
              <w:fldChar w:fldCharType="separate"/>
            </w:r>
            <w:r>
              <w:rPr>
                <w:noProof/>
                <w:webHidden/>
              </w:rPr>
              <w:t>52</w:t>
            </w:r>
            <w:r>
              <w:rPr>
                <w:noProof/>
                <w:webHidden/>
              </w:rPr>
              <w:fldChar w:fldCharType="end"/>
            </w:r>
          </w:hyperlink>
        </w:p>
        <w:p w:rsidR="00D12A69" w:rsidRDefault="00D12A69">
          <w:pPr>
            <w:pStyle w:val="Spistreci2"/>
            <w:tabs>
              <w:tab w:val="right" w:leader="dot" w:pos="9062"/>
            </w:tabs>
            <w:rPr>
              <w:rFonts w:eastAsiaTheme="minorEastAsia"/>
              <w:noProof/>
              <w:lang w:eastAsia="pl-PL"/>
            </w:rPr>
          </w:pPr>
          <w:hyperlink w:anchor="_Toc450562476" w:history="1">
            <w:r w:rsidRPr="00EA2FA8">
              <w:rPr>
                <w:rStyle w:val="Hipercze"/>
                <w:noProof/>
                <w:lang w:eastAsia="pl-PL"/>
              </w:rPr>
              <w:t>2.1.2. PODZIAŁ ADMINISTRACYJNY GMINY</w:t>
            </w:r>
            <w:r>
              <w:rPr>
                <w:noProof/>
                <w:webHidden/>
              </w:rPr>
              <w:tab/>
            </w:r>
            <w:r>
              <w:rPr>
                <w:noProof/>
                <w:webHidden/>
              </w:rPr>
              <w:fldChar w:fldCharType="begin"/>
            </w:r>
            <w:r>
              <w:rPr>
                <w:noProof/>
                <w:webHidden/>
              </w:rPr>
              <w:instrText xml:space="preserve"> PAGEREF _Toc450562476 \h </w:instrText>
            </w:r>
            <w:r>
              <w:rPr>
                <w:noProof/>
                <w:webHidden/>
              </w:rPr>
            </w:r>
            <w:r>
              <w:rPr>
                <w:noProof/>
                <w:webHidden/>
              </w:rPr>
              <w:fldChar w:fldCharType="separate"/>
            </w:r>
            <w:r>
              <w:rPr>
                <w:noProof/>
                <w:webHidden/>
              </w:rPr>
              <w:t>55</w:t>
            </w:r>
            <w:r>
              <w:rPr>
                <w:noProof/>
                <w:webHidden/>
              </w:rPr>
              <w:fldChar w:fldCharType="end"/>
            </w:r>
          </w:hyperlink>
        </w:p>
        <w:p w:rsidR="00D12A69" w:rsidRDefault="00D12A69">
          <w:pPr>
            <w:pStyle w:val="Spistreci2"/>
            <w:tabs>
              <w:tab w:val="right" w:leader="dot" w:pos="9062"/>
            </w:tabs>
            <w:rPr>
              <w:rFonts w:eastAsiaTheme="minorEastAsia"/>
              <w:noProof/>
              <w:lang w:eastAsia="pl-PL"/>
            </w:rPr>
          </w:pPr>
          <w:hyperlink w:anchor="_Toc450562477" w:history="1">
            <w:r w:rsidRPr="00EA2FA8">
              <w:rPr>
                <w:rStyle w:val="Hipercze"/>
                <w:noProof/>
                <w:lang w:eastAsia="pl-PL"/>
              </w:rPr>
              <w:t>2.1.3. UŻYTKOWANIE GRUNTÓW.</w:t>
            </w:r>
            <w:r>
              <w:rPr>
                <w:noProof/>
                <w:webHidden/>
              </w:rPr>
              <w:tab/>
            </w:r>
            <w:r>
              <w:rPr>
                <w:noProof/>
                <w:webHidden/>
              </w:rPr>
              <w:fldChar w:fldCharType="begin"/>
            </w:r>
            <w:r>
              <w:rPr>
                <w:noProof/>
                <w:webHidden/>
              </w:rPr>
              <w:instrText xml:space="preserve"> PAGEREF _Toc450562477 \h </w:instrText>
            </w:r>
            <w:r>
              <w:rPr>
                <w:noProof/>
                <w:webHidden/>
              </w:rPr>
            </w:r>
            <w:r>
              <w:rPr>
                <w:noProof/>
                <w:webHidden/>
              </w:rPr>
              <w:fldChar w:fldCharType="separate"/>
            </w:r>
            <w:r>
              <w:rPr>
                <w:noProof/>
                <w:webHidden/>
              </w:rPr>
              <w:t>56</w:t>
            </w:r>
            <w:r>
              <w:rPr>
                <w:noProof/>
                <w:webHidden/>
              </w:rPr>
              <w:fldChar w:fldCharType="end"/>
            </w:r>
          </w:hyperlink>
        </w:p>
        <w:p w:rsidR="00D12A69" w:rsidRDefault="00D12A69">
          <w:pPr>
            <w:pStyle w:val="Spistreci2"/>
            <w:tabs>
              <w:tab w:val="right" w:leader="dot" w:pos="9062"/>
            </w:tabs>
            <w:rPr>
              <w:rFonts w:eastAsiaTheme="minorEastAsia"/>
              <w:noProof/>
              <w:lang w:eastAsia="pl-PL"/>
            </w:rPr>
          </w:pPr>
          <w:hyperlink w:anchor="_Toc450562478" w:history="1">
            <w:r w:rsidRPr="00EA2FA8">
              <w:rPr>
                <w:rStyle w:val="Hipercze"/>
                <w:noProof/>
                <w:lang w:eastAsia="pl-PL"/>
              </w:rPr>
              <w:t>2.1.4. ZASOBY ŚRODOWISKA NATURALNEGO</w:t>
            </w:r>
            <w:r>
              <w:rPr>
                <w:noProof/>
                <w:webHidden/>
              </w:rPr>
              <w:tab/>
            </w:r>
            <w:r>
              <w:rPr>
                <w:noProof/>
                <w:webHidden/>
              </w:rPr>
              <w:fldChar w:fldCharType="begin"/>
            </w:r>
            <w:r>
              <w:rPr>
                <w:noProof/>
                <w:webHidden/>
              </w:rPr>
              <w:instrText xml:space="preserve"> PAGEREF _Toc450562478 \h </w:instrText>
            </w:r>
            <w:r>
              <w:rPr>
                <w:noProof/>
                <w:webHidden/>
              </w:rPr>
            </w:r>
            <w:r>
              <w:rPr>
                <w:noProof/>
                <w:webHidden/>
              </w:rPr>
              <w:fldChar w:fldCharType="separate"/>
            </w:r>
            <w:r>
              <w:rPr>
                <w:noProof/>
                <w:webHidden/>
              </w:rPr>
              <w:t>57</w:t>
            </w:r>
            <w:r>
              <w:rPr>
                <w:noProof/>
                <w:webHidden/>
              </w:rPr>
              <w:fldChar w:fldCharType="end"/>
            </w:r>
          </w:hyperlink>
        </w:p>
        <w:p w:rsidR="00D12A69" w:rsidRDefault="00D12A69">
          <w:pPr>
            <w:pStyle w:val="Spistreci2"/>
            <w:tabs>
              <w:tab w:val="right" w:leader="dot" w:pos="9062"/>
            </w:tabs>
            <w:rPr>
              <w:rFonts w:eastAsiaTheme="minorEastAsia"/>
              <w:noProof/>
              <w:lang w:eastAsia="pl-PL"/>
            </w:rPr>
          </w:pPr>
          <w:hyperlink w:anchor="_Toc450562479" w:history="1">
            <w:r w:rsidRPr="00EA2FA8">
              <w:rPr>
                <w:rStyle w:val="Hipercze"/>
                <w:noProof/>
                <w:lang w:eastAsia="pl-PL"/>
              </w:rPr>
              <w:t>2.1.5. ANALIZA ZASOBU MIESZKANIOWEGO GMINY MIRZEC</w:t>
            </w:r>
            <w:r>
              <w:rPr>
                <w:noProof/>
                <w:webHidden/>
              </w:rPr>
              <w:tab/>
            </w:r>
            <w:r>
              <w:rPr>
                <w:noProof/>
                <w:webHidden/>
              </w:rPr>
              <w:fldChar w:fldCharType="begin"/>
            </w:r>
            <w:r>
              <w:rPr>
                <w:noProof/>
                <w:webHidden/>
              </w:rPr>
              <w:instrText xml:space="preserve"> PAGEREF _Toc450562479 \h </w:instrText>
            </w:r>
            <w:r>
              <w:rPr>
                <w:noProof/>
                <w:webHidden/>
              </w:rPr>
            </w:r>
            <w:r>
              <w:rPr>
                <w:noProof/>
                <w:webHidden/>
              </w:rPr>
              <w:fldChar w:fldCharType="separate"/>
            </w:r>
            <w:r>
              <w:rPr>
                <w:noProof/>
                <w:webHidden/>
              </w:rPr>
              <w:t>62</w:t>
            </w:r>
            <w:r>
              <w:rPr>
                <w:noProof/>
                <w:webHidden/>
              </w:rPr>
              <w:fldChar w:fldCharType="end"/>
            </w:r>
          </w:hyperlink>
        </w:p>
        <w:p w:rsidR="00D12A69" w:rsidRDefault="00D12A69">
          <w:pPr>
            <w:pStyle w:val="Spistreci2"/>
            <w:tabs>
              <w:tab w:val="right" w:leader="dot" w:pos="9062"/>
            </w:tabs>
            <w:rPr>
              <w:rFonts w:eastAsiaTheme="minorEastAsia"/>
              <w:noProof/>
              <w:lang w:eastAsia="pl-PL"/>
            </w:rPr>
          </w:pPr>
          <w:hyperlink w:anchor="_Toc450562480" w:history="1">
            <w:r w:rsidRPr="00EA2FA8">
              <w:rPr>
                <w:rStyle w:val="Hipercze"/>
                <w:noProof/>
                <w:lang w:eastAsia="pl-PL"/>
              </w:rPr>
              <w:t>2.1.6. ZASOBY INFRASTRUKTURY TECHNICZNEJ GMINY MIRZEC</w:t>
            </w:r>
            <w:r>
              <w:rPr>
                <w:noProof/>
                <w:webHidden/>
              </w:rPr>
              <w:tab/>
            </w:r>
            <w:r>
              <w:rPr>
                <w:noProof/>
                <w:webHidden/>
              </w:rPr>
              <w:fldChar w:fldCharType="begin"/>
            </w:r>
            <w:r>
              <w:rPr>
                <w:noProof/>
                <w:webHidden/>
              </w:rPr>
              <w:instrText xml:space="preserve"> PAGEREF _Toc450562480 \h </w:instrText>
            </w:r>
            <w:r>
              <w:rPr>
                <w:noProof/>
                <w:webHidden/>
              </w:rPr>
            </w:r>
            <w:r>
              <w:rPr>
                <w:noProof/>
                <w:webHidden/>
              </w:rPr>
              <w:fldChar w:fldCharType="separate"/>
            </w:r>
            <w:r>
              <w:rPr>
                <w:noProof/>
                <w:webHidden/>
              </w:rPr>
              <w:t>62</w:t>
            </w:r>
            <w:r>
              <w:rPr>
                <w:noProof/>
                <w:webHidden/>
              </w:rPr>
              <w:fldChar w:fldCharType="end"/>
            </w:r>
          </w:hyperlink>
        </w:p>
        <w:p w:rsidR="00D12A69" w:rsidRDefault="00D12A69">
          <w:pPr>
            <w:pStyle w:val="Spistreci2"/>
            <w:tabs>
              <w:tab w:val="right" w:leader="dot" w:pos="9062"/>
            </w:tabs>
            <w:rPr>
              <w:rFonts w:eastAsiaTheme="minorEastAsia"/>
              <w:noProof/>
              <w:lang w:eastAsia="pl-PL"/>
            </w:rPr>
          </w:pPr>
          <w:hyperlink w:anchor="_Toc450562486" w:history="1">
            <w:r w:rsidRPr="00EA2FA8">
              <w:rPr>
                <w:rStyle w:val="Hipercze"/>
                <w:noProof/>
                <w:lang w:eastAsia="pl-PL"/>
              </w:rPr>
              <w:t>2.1.7. INFRASTRUKTURA DROGOWA</w:t>
            </w:r>
            <w:r>
              <w:rPr>
                <w:noProof/>
                <w:webHidden/>
              </w:rPr>
              <w:tab/>
            </w:r>
            <w:r>
              <w:rPr>
                <w:noProof/>
                <w:webHidden/>
              </w:rPr>
              <w:fldChar w:fldCharType="begin"/>
            </w:r>
            <w:r>
              <w:rPr>
                <w:noProof/>
                <w:webHidden/>
              </w:rPr>
              <w:instrText xml:space="preserve"> PAGEREF _Toc450562486 \h </w:instrText>
            </w:r>
            <w:r>
              <w:rPr>
                <w:noProof/>
                <w:webHidden/>
              </w:rPr>
            </w:r>
            <w:r>
              <w:rPr>
                <w:noProof/>
                <w:webHidden/>
              </w:rPr>
              <w:fldChar w:fldCharType="separate"/>
            </w:r>
            <w:r>
              <w:rPr>
                <w:noProof/>
                <w:webHidden/>
              </w:rPr>
              <w:t>71</w:t>
            </w:r>
            <w:r>
              <w:rPr>
                <w:noProof/>
                <w:webHidden/>
              </w:rPr>
              <w:fldChar w:fldCharType="end"/>
            </w:r>
          </w:hyperlink>
        </w:p>
        <w:p w:rsidR="00D12A69" w:rsidRDefault="00D12A69">
          <w:pPr>
            <w:pStyle w:val="Spistreci2"/>
            <w:tabs>
              <w:tab w:val="right" w:leader="dot" w:pos="9062"/>
            </w:tabs>
            <w:rPr>
              <w:rFonts w:eastAsiaTheme="minorEastAsia"/>
              <w:noProof/>
              <w:lang w:eastAsia="pl-PL"/>
            </w:rPr>
          </w:pPr>
          <w:hyperlink w:anchor="_Toc450562487" w:history="1">
            <w:r w:rsidRPr="00EA2FA8">
              <w:rPr>
                <w:rStyle w:val="Hipercze"/>
                <w:noProof/>
                <w:lang w:eastAsia="pl-PL"/>
              </w:rPr>
              <w:t>2.1.8. INFRASTRUKTURA KULTURY I SPORTU</w:t>
            </w:r>
            <w:r>
              <w:rPr>
                <w:noProof/>
                <w:webHidden/>
              </w:rPr>
              <w:tab/>
            </w:r>
            <w:r>
              <w:rPr>
                <w:noProof/>
                <w:webHidden/>
              </w:rPr>
              <w:fldChar w:fldCharType="begin"/>
            </w:r>
            <w:r>
              <w:rPr>
                <w:noProof/>
                <w:webHidden/>
              </w:rPr>
              <w:instrText xml:space="preserve"> PAGEREF _Toc450562487 \h </w:instrText>
            </w:r>
            <w:r>
              <w:rPr>
                <w:noProof/>
                <w:webHidden/>
              </w:rPr>
            </w:r>
            <w:r>
              <w:rPr>
                <w:noProof/>
                <w:webHidden/>
              </w:rPr>
              <w:fldChar w:fldCharType="separate"/>
            </w:r>
            <w:r>
              <w:rPr>
                <w:noProof/>
                <w:webHidden/>
              </w:rPr>
              <w:t>73</w:t>
            </w:r>
            <w:r>
              <w:rPr>
                <w:noProof/>
                <w:webHidden/>
              </w:rPr>
              <w:fldChar w:fldCharType="end"/>
            </w:r>
          </w:hyperlink>
        </w:p>
        <w:p w:rsidR="00D12A69" w:rsidRDefault="00D12A69">
          <w:pPr>
            <w:pStyle w:val="Spistreci2"/>
            <w:tabs>
              <w:tab w:val="left" w:pos="1100"/>
              <w:tab w:val="right" w:leader="dot" w:pos="9062"/>
            </w:tabs>
            <w:rPr>
              <w:rFonts w:eastAsiaTheme="minorEastAsia"/>
              <w:noProof/>
              <w:lang w:eastAsia="pl-PL"/>
            </w:rPr>
          </w:pPr>
          <w:hyperlink w:anchor="_Toc450562488" w:history="1">
            <w:r w:rsidRPr="00EA2FA8">
              <w:rPr>
                <w:rStyle w:val="Hipercze"/>
                <w:noProof/>
                <w:lang w:eastAsia="pl-PL"/>
              </w:rPr>
              <w:t>2.1.9.</w:t>
            </w:r>
            <w:r>
              <w:rPr>
                <w:rFonts w:eastAsiaTheme="minorEastAsia"/>
                <w:noProof/>
                <w:lang w:eastAsia="pl-PL"/>
              </w:rPr>
              <w:tab/>
            </w:r>
            <w:r w:rsidRPr="00EA2FA8">
              <w:rPr>
                <w:rStyle w:val="Hipercze"/>
                <w:noProof/>
                <w:lang w:eastAsia="pl-PL"/>
              </w:rPr>
              <w:t>OCHRONA ZABYTKÓW – OBIEKTY WPISANE DO REJESTRU ZABYTKÓW ORAZ OBJĘTE OCHRONĄ KONSERWATORSKĄ NA MOCY OBOWIĄZUJĄCYCH PLANÓW MIEJSCOWYCH, WYKAZ ZABYTKOWYCH OBIEKTÓW</w:t>
            </w:r>
            <w:r>
              <w:rPr>
                <w:noProof/>
                <w:webHidden/>
              </w:rPr>
              <w:tab/>
            </w:r>
            <w:r>
              <w:rPr>
                <w:noProof/>
                <w:webHidden/>
              </w:rPr>
              <w:fldChar w:fldCharType="begin"/>
            </w:r>
            <w:r>
              <w:rPr>
                <w:noProof/>
                <w:webHidden/>
              </w:rPr>
              <w:instrText xml:space="preserve"> PAGEREF _Toc450562488 \h </w:instrText>
            </w:r>
            <w:r>
              <w:rPr>
                <w:noProof/>
                <w:webHidden/>
              </w:rPr>
            </w:r>
            <w:r>
              <w:rPr>
                <w:noProof/>
                <w:webHidden/>
              </w:rPr>
              <w:fldChar w:fldCharType="separate"/>
            </w:r>
            <w:r>
              <w:rPr>
                <w:noProof/>
                <w:webHidden/>
              </w:rPr>
              <w:t>76</w:t>
            </w:r>
            <w:r>
              <w:rPr>
                <w:noProof/>
                <w:webHidden/>
              </w:rPr>
              <w:fldChar w:fldCharType="end"/>
            </w:r>
          </w:hyperlink>
        </w:p>
        <w:p w:rsidR="00D12A69" w:rsidRDefault="00D12A69">
          <w:pPr>
            <w:pStyle w:val="Spistreci2"/>
            <w:tabs>
              <w:tab w:val="right" w:leader="dot" w:pos="9062"/>
            </w:tabs>
            <w:rPr>
              <w:rFonts w:eastAsiaTheme="minorEastAsia"/>
              <w:noProof/>
              <w:lang w:eastAsia="pl-PL"/>
            </w:rPr>
          </w:pPr>
          <w:hyperlink w:anchor="_Toc450562489" w:history="1">
            <w:r w:rsidRPr="00EA2FA8">
              <w:rPr>
                <w:rStyle w:val="Hipercze"/>
                <w:noProof/>
                <w:lang w:eastAsia="pl-PL"/>
              </w:rPr>
              <w:t>2.2. SFERA GOSPODARCZA</w:t>
            </w:r>
            <w:r>
              <w:rPr>
                <w:noProof/>
                <w:webHidden/>
              </w:rPr>
              <w:tab/>
            </w:r>
            <w:r>
              <w:rPr>
                <w:noProof/>
                <w:webHidden/>
              </w:rPr>
              <w:fldChar w:fldCharType="begin"/>
            </w:r>
            <w:r>
              <w:rPr>
                <w:noProof/>
                <w:webHidden/>
              </w:rPr>
              <w:instrText xml:space="preserve"> PAGEREF _Toc450562489 \h </w:instrText>
            </w:r>
            <w:r>
              <w:rPr>
                <w:noProof/>
                <w:webHidden/>
              </w:rPr>
            </w:r>
            <w:r>
              <w:rPr>
                <w:noProof/>
                <w:webHidden/>
              </w:rPr>
              <w:fldChar w:fldCharType="separate"/>
            </w:r>
            <w:r>
              <w:rPr>
                <w:noProof/>
                <w:webHidden/>
              </w:rPr>
              <w:t>78</w:t>
            </w:r>
            <w:r>
              <w:rPr>
                <w:noProof/>
                <w:webHidden/>
              </w:rPr>
              <w:fldChar w:fldCharType="end"/>
            </w:r>
          </w:hyperlink>
        </w:p>
        <w:p w:rsidR="00D12A69" w:rsidRDefault="00D12A69">
          <w:pPr>
            <w:pStyle w:val="Spistreci2"/>
            <w:tabs>
              <w:tab w:val="right" w:leader="dot" w:pos="9062"/>
            </w:tabs>
            <w:rPr>
              <w:rFonts w:eastAsiaTheme="minorEastAsia"/>
              <w:noProof/>
              <w:lang w:eastAsia="pl-PL"/>
            </w:rPr>
          </w:pPr>
          <w:hyperlink w:anchor="_Toc450562490" w:history="1">
            <w:r w:rsidRPr="00EA2FA8">
              <w:rPr>
                <w:rStyle w:val="Hipercze"/>
                <w:noProof/>
                <w:lang w:eastAsia="pl-PL"/>
              </w:rPr>
              <w:t>2.2.1. STRUKTURA DZIAŁALNOŚCI GOSPODARCZEJ</w:t>
            </w:r>
            <w:r>
              <w:rPr>
                <w:noProof/>
                <w:webHidden/>
              </w:rPr>
              <w:tab/>
            </w:r>
            <w:r>
              <w:rPr>
                <w:noProof/>
                <w:webHidden/>
              </w:rPr>
              <w:fldChar w:fldCharType="begin"/>
            </w:r>
            <w:r>
              <w:rPr>
                <w:noProof/>
                <w:webHidden/>
              </w:rPr>
              <w:instrText xml:space="preserve"> PAGEREF _Toc450562490 \h </w:instrText>
            </w:r>
            <w:r>
              <w:rPr>
                <w:noProof/>
                <w:webHidden/>
              </w:rPr>
            </w:r>
            <w:r>
              <w:rPr>
                <w:noProof/>
                <w:webHidden/>
              </w:rPr>
              <w:fldChar w:fldCharType="separate"/>
            </w:r>
            <w:r>
              <w:rPr>
                <w:noProof/>
                <w:webHidden/>
              </w:rPr>
              <w:t>78</w:t>
            </w:r>
            <w:r>
              <w:rPr>
                <w:noProof/>
                <w:webHidden/>
              </w:rPr>
              <w:fldChar w:fldCharType="end"/>
            </w:r>
          </w:hyperlink>
        </w:p>
        <w:p w:rsidR="00D12A69" w:rsidRDefault="00D12A69">
          <w:pPr>
            <w:pStyle w:val="Spistreci2"/>
            <w:tabs>
              <w:tab w:val="right" w:leader="dot" w:pos="9062"/>
            </w:tabs>
            <w:rPr>
              <w:rFonts w:eastAsiaTheme="minorEastAsia"/>
              <w:noProof/>
              <w:lang w:eastAsia="pl-PL"/>
            </w:rPr>
          </w:pPr>
          <w:hyperlink w:anchor="_Toc450562491" w:history="1">
            <w:r w:rsidRPr="00EA2FA8">
              <w:rPr>
                <w:rStyle w:val="Hipercze"/>
                <w:noProof/>
                <w:lang w:eastAsia="pl-PL"/>
              </w:rPr>
              <w:t>2.2.2. OBSZARY AKTYWNOŚCI GOSPODARCZEJ W GMINIE</w:t>
            </w:r>
            <w:r>
              <w:rPr>
                <w:noProof/>
                <w:webHidden/>
              </w:rPr>
              <w:tab/>
            </w:r>
            <w:r>
              <w:rPr>
                <w:noProof/>
                <w:webHidden/>
              </w:rPr>
              <w:fldChar w:fldCharType="begin"/>
            </w:r>
            <w:r>
              <w:rPr>
                <w:noProof/>
                <w:webHidden/>
              </w:rPr>
              <w:instrText xml:space="preserve"> PAGEREF _Toc450562491 \h </w:instrText>
            </w:r>
            <w:r>
              <w:rPr>
                <w:noProof/>
                <w:webHidden/>
              </w:rPr>
            </w:r>
            <w:r>
              <w:rPr>
                <w:noProof/>
                <w:webHidden/>
              </w:rPr>
              <w:fldChar w:fldCharType="separate"/>
            </w:r>
            <w:r>
              <w:rPr>
                <w:noProof/>
                <w:webHidden/>
              </w:rPr>
              <w:t>79</w:t>
            </w:r>
            <w:r>
              <w:rPr>
                <w:noProof/>
                <w:webHidden/>
              </w:rPr>
              <w:fldChar w:fldCharType="end"/>
            </w:r>
          </w:hyperlink>
        </w:p>
        <w:p w:rsidR="00D12A69" w:rsidRDefault="00D12A69">
          <w:pPr>
            <w:pStyle w:val="Spistreci2"/>
            <w:tabs>
              <w:tab w:val="right" w:leader="dot" w:pos="9062"/>
            </w:tabs>
            <w:rPr>
              <w:rFonts w:eastAsiaTheme="minorEastAsia"/>
              <w:noProof/>
              <w:lang w:eastAsia="pl-PL"/>
            </w:rPr>
          </w:pPr>
          <w:hyperlink w:anchor="_Toc450562492" w:history="1">
            <w:r w:rsidRPr="00EA2FA8">
              <w:rPr>
                <w:rStyle w:val="Hipercze"/>
                <w:noProof/>
                <w:lang w:eastAsia="pl-PL"/>
              </w:rPr>
              <w:t>2.3. SFERA SPOŁECZNA</w:t>
            </w:r>
            <w:r>
              <w:rPr>
                <w:noProof/>
                <w:webHidden/>
              </w:rPr>
              <w:tab/>
            </w:r>
            <w:r>
              <w:rPr>
                <w:noProof/>
                <w:webHidden/>
              </w:rPr>
              <w:fldChar w:fldCharType="begin"/>
            </w:r>
            <w:r>
              <w:rPr>
                <w:noProof/>
                <w:webHidden/>
              </w:rPr>
              <w:instrText xml:space="preserve"> PAGEREF _Toc450562492 \h </w:instrText>
            </w:r>
            <w:r>
              <w:rPr>
                <w:noProof/>
                <w:webHidden/>
              </w:rPr>
            </w:r>
            <w:r>
              <w:rPr>
                <w:noProof/>
                <w:webHidden/>
              </w:rPr>
              <w:fldChar w:fldCharType="separate"/>
            </w:r>
            <w:r>
              <w:rPr>
                <w:noProof/>
                <w:webHidden/>
              </w:rPr>
              <w:t>80</w:t>
            </w:r>
            <w:r>
              <w:rPr>
                <w:noProof/>
                <w:webHidden/>
              </w:rPr>
              <w:fldChar w:fldCharType="end"/>
            </w:r>
          </w:hyperlink>
        </w:p>
        <w:p w:rsidR="00D12A69" w:rsidRDefault="00D12A69">
          <w:pPr>
            <w:pStyle w:val="Spistreci3"/>
            <w:rPr>
              <w:rFonts w:asciiTheme="minorHAnsi" w:eastAsiaTheme="minorEastAsia" w:hAnsiTheme="minorHAnsi" w:cstheme="minorBidi"/>
              <w:bCs w:val="0"/>
            </w:rPr>
          </w:pPr>
          <w:hyperlink w:anchor="_Toc450562493" w:history="1">
            <w:r w:rsidRPr="00D12A69">
              <w:rPr>
                <w:rStyle w:val="Hipercze"/>
              </w:rPr>
              <w:t>2.3.1. STRUKTURA DEMOGRAFICZNA</w:t>
            </w:r>
            <w:r>
              <w:rPr>
                <w:webHidden/>
              </w:rPr>
              <w:tab/>
            </w:r>
            <w:r>
              <w:rPr>
                <w:webHidden/>
              </w:rPr>
              <w:fldChar w:fldCharType="begin"/>
            </w:r>
            <w:r>
              <w:rPr>
                <w:webHidden/>
              </w:rPr>
              <w:instrText xml:space="preserve"> PAGEREF _Toc450562493 \h </w:instrText>
            </w:r>
            <w:r>
              <w:rPr>
                <w:webHidden/>
              </w:rPr>
            </w:r>
            <w:r>
              <w:rPr>
                <w:webHidden/>
              </w:rPr>
              <w:fldChar w:fldCharType="separate"/>
            </w:r>
            <w:r>
              <w:rPr>
                <w:webHidden/>
              </w:rPr>
              <w:t>80</w:t>
            </w:r>
            <w:r>
              <w:rPr>
                <w:webHidden/>
              </w:rPr>
              <w:fldChar w:fldCharType="end"/>
            </w:r>
          </w:hyperlink>
        </w:p>
        <w:p w:rsidR="00D12A69" w:rsidRDefault="00D12A69">
          <w:pPr>
            <w:pStyle w:val="Spistreci2"/>
            <w:tabs>
              <w:tab w:val="right" w:leader="dot" w:pos="9062"/>
            </w:tabs>
            <w:rPr>
              <w:rFonts w:eastAsiaTheme="minorEastAsia"/>
              <w:noProof/>
              <w:lang w:eastAsia="pl-PL"/>
            </w:rPr>
          </w:pPr>
          <w:hyperlink w:anchor="_Toc450562494" w:history="1">
            <w:r w:rsidRPr="00EA2FA8">
              <w:rPr>
                <w:rStyle w:val="Hipercze"/>
                <w:noProof/>
                <w:lang w:eastAsia="pl-PL"/>
              </w:rPr>
              <w:t>2.3.2. POZIOM I STRUKTURA BEZROBOCIA REJESTROWEGO</w:t>
            </w:r>
            <w:r>
              <w:rPr>
                <w:noProof/>
                <w:webHidden/>
              </w:rPr>
              <w:tab/>
            </w:r>
            <w:r>
              <w:rPr>
                <w:noProof/>
                <w:webHidden/>
              </w:rPr>
              <w:fldChar w:fldCharType="begin"/>
            </w:r>
            <w:r>
              <w:rPr>
                <w:noProof/>
                <w:webHidden/>
              </w:rPr>
              <w:instrText xml:space="preserve"> PAGEREF _Toc450562494 \h </w:instrText>
            </w:r>
            <w:r>
              <w:rPr>
                <w:noProof/>
                <w:webHidden/>
              </w:rPr>
            </w:r>
            <w:r>
              <w:rPr>
                <w:noProof/>
                <w:webHidden/>
              </w:rPr>
              <w:fldChar w:fldCharType="separate"/>
            </w:r>
            <w:r>
              <w:rPr>
                <w:noProof/>
                <w:webHidden/>
              </w:rPr>
              <w:t>83</w:t>
            </w:r>
            <w:r>
              <w:rPr>
                <w:noProof/>
                <w:webHidden/>
              </w:rPr>
              <w:fldChar w:fldCharType="end"/>
            </w:r>
          </w:hyperlink>
        </w:p>
        <w:p w:rsidR="00D12A69" w:rsidRDefault="00D12A69">
          <w:pPr>
            <w:pStyle w:val="Spistreci2"/>
            <w:tabs>
              <w:tab w:val="right" w:leader="dot" w:pos="9062"/>
            </w:tabs>
            <w:rPr>
              <w:rFonts w:eastAsiaTheme="minorEastAsia"/>
              <w:noProof/>
              <w:lang w:eastAsia="pl-PL"/>
            </w:rPr>
          </w:pPr>
          <w:hyperlink w:anchor="_Toc450562495" w:history="1">
            <w:r w:rsidRPr="00EA2FA8">
              <w:rPr>
                <w:rStyle w:val="Hipercze"/>
                <w:noProof/>
                <w:lang w:eastAsia="pl-PL"/>
              </w:rPr>
              <w:t>2.3.3. BEZPIECZEŃSTWO PUBLICZNE</w:t>
            </w:r>
            <w:r>
              <w:rPr>
                <w:noProof/>
                <w:webHidden/>
              </w:rPr>
              <w:tab/>
            </w:r>
            <w:r>
              <w:rPr>
                <w:noProof/>
                <w:webHidden/>
              </w:rPr>
              <w:fldChar w:fldCharType="begin"/>
            </w:r>
            <w:r>
              <w:rPr>
                <w:noProof/>
                <w:webHidden/>
              </w:rPr>
              <w:instrText xml:space="preserve"> PAGEREF _Toc450562495 \h </w:instrText>
            </w:r>
            <w:r>
              <w:rPr>
                <w:noProof/>
                <w:webHidden/>
              </w:rPr>
            </w:r>
            <w:r>
              <w:rPr>
                <w:noProof/>
                <w:webHidden/>
              </w:rPr>
              <w:fldChar w:fldCharType="separate"/>
            </w:r>
            <w:r>
              <w:rPr>
                <w:noProof/>
                <w:webHidden/>
              </w:rPr>
              <w:t>84</w:t>
            </w:r>
            <w:r>
              <w:rPr>
                <w:noProof/>
                <w:webHidden/>
              </w:rPr>
              <w:fldChar w:fldCharType="end"/>
            </w:r>
          </w:hyperlink>
        </w:p>
        <w:p w:rsidR="00D12A69" w:rsidRDefault="00D12A69">
          <w:pPr>
            <w:pStyle w:val="Spistreci2"/>
            <w:tabs>
              <w:tab w:val="right" w:leader="dot" w:pos="9062"/>
            </w:tabs>
            <w:rPr>
              <w:rFonts w:eastAsiaTheme="minorEastAsia"/>
              <w:noProof/>
              <w:lang w:eastAsia="pl-PL"/>
            </w:rPr>
          </w:pPr>
          <w:hyperlink w:anchor="_Toc450562496" w:history="1">
            <w:r w:rsidRPr="00EA2FA8">
              <w:rPr>
                <w:rStyle w:val="Hipercze"/>
                <w:noProof/>
                <w:lang w:eastAsia="pl-PL"/>
              </w:rPr>
              <w:t>2.3.4. OCHRONA ZDROWIA I POMOC SPOŁECZNA</w:t>
            </w:r>
            <w:r>
              <w:rPr>
                <w:noProof/>
                <w:webHidden/>
              </w:rPr>
              <w:tab/>
            </w:r>
            <w:r>
              <w:rPr>
                <w:noProof/>
                <w:webHidden/>
              </w:rPr>
              <w:fldChar w:fldCharType="begin"/>
            </w:r>
            <w:r>
              <w:rPr>
                <w:noProof/>
                <w:webHidden/>
              </w:rPr>
              <w:instrText xml:space="preserve"> PAGEREF _Toc450562496 \h </w:instrText>
            </w:r>
            <w:r>
              <w:rPr>
                <w:noProof/>
                <w:webHidden/>
              </w:rPr>
            </w:r>
            <w:r>
              <w:rPr>
                <w:noProof/>
                <w:webHidden/>
              </w:rPr>
              <w:fldChar w:fldCharType="separate"/>
            </w:r>
            <w:r>
              <w:rPr>
                <w:noProof/>
                <w:webHidden/>
              </w:rPr>
              <w:t>86</w:t>
            </w:r>
            <w:r>
              <w:rPr>
                <w:noProof/>
                <w:webHidden/>
              </w:rPr>
              <w:fldChar w:fldCharType="end"/>
            </w:r>
          </w:hyperlink>
        </w:p>
        <w:p w:rsidR="00D12A69" w:rsidRDefault="00D12A69">
          <w:pPr>
            <w:pStyle w:val="Spistreci2"/>
            <w:tabs>
              <w:tab w:val="right" w:leader="dot" w:pos="9062"/>
            </w:tabs>
            <w:rPr>
              <w:rFonts w:eastAsiaTheme="minorEastAsia"/>
              <w:noProof/>
              <w:lang w:eastAsia="pl-PL"/>
            </w:rPr>
          </w:pPr>
          <w:hyperlink w:anchor="_Toc450562497" w:history="1">
            <w:r w:rsidRPr="00EA2FA8">
              <w:rPr>
                <w:rStyle w:val="Hipercze"/>
                <w:noProof/>
                <w:lang w:eastAsia="pl-PL"/>
              </w:rPr>
              <w:t>2.3.5. EDUKACJA</w:t>
            </w:r>
            <w:r>
              <w:rPr>
                <w:noProof/>
                <w:webHidden/>
              </w:rPr>
              <w:tab/>
            </w:r>
            <w:r>
              <w:rPr>
                <w:noProof/>
                <w:webHidden/>
              </w:rPr>
              <w:fldChar w:fldCharType="begin"/>
            </w:r>
            <w:r>
              <w:rPr>
                <w:noProof/>
                <w:webHidden/>
              </w:rPr>
              <w:instrText xml:space="preserve"> PAGEREF _Toc450562497 \h </w:instrText>
            </w:r>
            <w:r>
              <w:rPr>
                <w:noProof/>
                <w:webHidden/>
              </w:rPr>
            </w:r>
            <w:r>
              <w:rPr>
                <w:noProof/>
                <w:webHidden/>
              </w:rPr>
              <w:fldChar w:fldCharType="separate"/>
            </w:r>
            <w:r>
              <w:rPr>
                <w:noProof/>
                <w:webHidden/>
              </w:rPr>
              <w:t>88</w:t>
            </w:r>
            <w:r>
              <w:rPr>
                <w:noProof/>
                <w:webHidden/>
              </w:rPr>
              <w:fldChar w:fldCharType="end"/>
            </w:r>
          </w:hyperlink>
        </w:p>
        <w:p w:rsidR="00D12A69" w:rsidRDefault="00D12A69">
          <w:pPr>
            <w:pStyle w:val="Spistreci2"/>
            <w:tabs>
              <w:tab w:val="right" w:leader="dot" w:pos="9062"/>
            </w:tabs>
            <w:rPr>
              <w:rFonts w:eastAsiaTheme="minorEastAsia"/>
              <w:noProof/>
              <w:lang w:eastAsia="pl-PL"/>
            </w:rPr>
          </w:pPr>
          <w:hyperlink w:anchor="_Toc450562498" w:history="1">
            <w:r w:rsidRPr="00EA2FA8">
              <w:rPr>
                <w:rStyle w:val="Hipercze"/>
                <w:rFonts w:eastAsiaTheme="majorEastAsia"/>
                <w:noProof/>
              </w:rPr>
              <w:t>ROZDZIAŁ III</w:t>
            </w:r>
            <w:r>
              <w:rPr>
                <w:noProof/>
                <w:webHidden/>
              </w:rPr>
              <w:tab/>
            </w:r>
            <w:r>
              <w:rPr>
                <w:noProof/>
                <w:webHidden/>
              </w:rPr>
              <w:fldChar w:fldCharType="begin"/>
            </w:r>
            <w:r>
              <w:rPr>
                <w:noProof/>
                <w:webHidden/>
              </w:rPr>
              <w:instrText xml:space="preserve"> PAGEREF _Toc450562498 \h </w:instrText>
            </w:r>
            <w:r>
              <w:rPr>
                <w:noProof/>
                <w:webHidden/>
              </w:rPr>
            </w:r>
            <w:r>
              <w:rPr>
                <w:noProof/>
                <w:webHidden/>
              </w:rPr>
              <w:fldChar w:fldCharType="separate"/>
            </w:r>
            <w:r>
              <w:rPr>
                <w:noProof/>
                <w:webHidden/>
              </w:rPr>
              <w:t>93</w:t>
            </w:r>
            <w:r>
              <w:rPr>
                <w:noProof/>
                <w:webHidden/>
              </w:rPr>
              <w:fldChar w:fldCharType="end"/>
            </w:r>
          </w:hyperlink>
        </w:p>
        <w:p w:rsidR="00D12A69" w:rsidRDefault="00D12A69">
          <w:pPr>
            <w:pStyle w:val="Spistreci2"/>
            <w:tabs>
              <w:tab w:val="right" w:leader="dot" w:pos="9062"/>
            </w:tabs>
            <w:rPr>
              <w:rFonts w:eastAsiaTheme="minorEastAsia"/>
              <w:noProof/>
              <w:lang w:eastAsia="pl-PL"/>
            </w:rPr>
          </w:pPr>
          <w:hyperlink w:anchor="_Toc450562499" w:history="1">
            <w:r w:rsidRPr="00EA2FA8">
              <w:rPr>
                <w:rStyle w:val="Hipercze"/>
                <w:noProof/>
              </w:rPr>
              <w:t>PARTYCYPACJA SPOŁECZNA I PODSUMOWANIE BADAŃ ANKIETOWYCH</w:t>
            </w:r>
            <w:r>
              <w:rPr>
                <w:noProof/>
                <w:webHidden/>
              </w:rPr>
              <w:tab/>
            </w:r>
            <w:r>
              <w:rPr>
                <w:noProof/>
                <w:webHidden/>
              </w:rPr>
              <w:fldChar w:fldCharType="begin"/>
            </w:r>
            <w:r>
              <w:rPr>
                <w:noProof/>
                <w:webHidden/>
              </w:rPr>
              <w:instrText xml:space="preserve"> PAGEREF _Toc450562499 \h </w:instrText>
            </w:r>
            <w:r>
              <w:rPr>
                <w:noProof/>
                <w:webHidden/>
              </w:rPr>
            </w:r>
            <w:r>
              <w:rPr>
                <w:noProof/>
                <w:webHidden/>
              </w:rPr>
              <w:fldChar w:fldCharType="separate"/>
            </w:r>
            <w:r>
              <w:rPr>
                <w:noProof/>
                <w:webHidden/>
              </w:rPr>
              <w:t>93</w:t>
            </w:r>
            <w:r>
              <w:rPr>
                <w:noProof/>
                <w:webHidden/>
              </w:rPr>
              <w:fldChar w:fldCharType="end"/>
            </w:r>
          </w:hyperlink>
        </w:p>
        <w:p w:rsidR="00D12A69" w:rsidRDefault="00D12A69">
          <w:pPr>
            <w:pStyle w:val="Spistreci2"/>
            <w:tabs>
              <w:tab w:val="right" w:leader="dot" w:pos="9062"/>
            </w:tabs>
            <w:rPr>
              <w:rFonts w:eastAsiaTheme="minorEastAsia"/>
              <w:noProof/>
              <w:lang w:eastAsia="pl-PL"/>
            </w:rPr>
          </w:pPr>
          <w:hyperlink w:anchor="_Toc450562500" w:history="1">
            <w:r w:rsidRPr="00EA2FA8">
              <w:rPr>
                <w:rStyle w:val="Hipercze"/>
                <w:noProof/>
                <w:lang w:eastAsia="pl-PL"/>
              </w:rPr>
              <w:t>3.1.WYNIKI ANKIETY REWITALIZACYJNEJ Centrum Mirca do 2020 (II etap) przygotowanej przez Urząd Gminy w Mircu</w:t>
            </w:r>
            <w:r>
              <w:rPr>
                <w:noProof/>
                <w:webHidden/>
              </w:rPr>
              <w:tab/>
            </w:r>
            <w:r>
              <w:rPr>
                <w:noProof/>
                <w:webHidden/>
              </w:rPr>
              <w:fldChar w:fldCharType="begin"/>
            </w:r>
            <w:r>
              <w:rPr>
                <w:noProof/>
                <w:webHidden/>
              </w:rPr>
              <w:instrText xml:space="preserve"> PAGEREF _Toc450562500 \h </w:instrText>
            </w:r>
            <w:r>
              <w:rPr>
                <w:noProof/>
                <w:webHidden/>
              </w:rPr>
            </w:r>
            <w:r>
              <w:rPr>
                <w:noProof/>
                <w:webHidden/>
              </w:rPr>
              <w:fldChar w:fldCharType="separate"/>
            </w:r>
            <w:r>
              <w:rPr>
                <w:noProof/>
                <w:webHidden/>
              </w:rPr>
              <w:t>98</w:t>
            </w:r>
            <w:r>
              <w:rPr>
                <w:noProof/>
                <w:webHidden/>
              </w:rPr>
              <w:fldChar w:fldCharType="end"/>
            </w:r>
          </w:hyperlink>
        </w:p>
        <w:p w:rsidR="00D12A69" w:rsidRDefault="00D12A69">
          <w:pPr>
            <w:pStyle w:val="Spistreci2"/>
            <w:tabs>
              <w:tab w:val="right" w:leader="dot" w:pos="9062"/>
            </w:tabs>
            <w:rPr>
              <w:rFonts w:eastAsiaTheme="minorEastAsia"/>
              <w:noProof/>
              <w:lang w:eastAsia="pl-PL"/>
            </w:rPr>
          </w:pPr>
          <w:hyperlink w:anchor="_Toc450562501" w:history="1">
            <w:r w:rsidRPr="00EA2FA8">
              <w:rPr>
                <w:rStyle w:val="Hipercze"/>
                <w:noProof/>
                <w:lang w:eastAsia="pl-PL"/>
              </w:rPr>
              <w:t>3.1. 1.WYNIKI ANKIETY BADAŃ SPOŁECZNYCH WŚRÓD UCZNIÓW SZKOŁY GIMNAZJALNEJ  w   Mircu</w:t>
            </w:r>
            <w:r>
              <w:rPr>
                <w:noProof/>
                <w:webHidden/>
              </w:rPr>
              <w:tab/>
            </w:r>
            <w:r>
              <w:rPr>
                <w:noProof/>
                <w:webHidden/>
              </w:rPr>
              <w:fldChar w:fldCharType="begin"/>
            </w:r>
            <w:r>
              <w:rPr>
                <w:noProof/>
                <w:webHidden/>
              </w:rPr>
              <w:instrText xml:space="preserve"> PAGEREF _Toc450562501 \h </w:instrText>
            </w:r>
            <w:r>
              <w:rPr>
                <w:noProof/>
                <w:webHidden/>
              </w:rPr>
            </w:r>
            <w:r>
              <w:rPr>
                <w:noProof/>
                <w:webHidden/>
              </w:rPr>
              <w:fldChar w:fldCharType="separate"/>
            </w:r>
            <w:r>
              <w:rPr>
                <w:noProof/>
                <w:webHidden/>
              </w:rPr>
              <w:t>103</w:t>
            </w:r>
            <w:r>
              <w:rPr>
                <w:noProof/>
                <w:webHidden/>
              </w:rPr>
              <w:fldChar w:fldCharType="end"/>
            </w:r>
          </w:hyperlink>
        </w:p>
        <w:p w:rsidR="00D12A69" w:rsidRDefault="00D12A69">
          <w:pPr>
            <w:pStyle w:val="Spistreci2"/>
            <w:tabs>
              <w:tab w:val="right" w:leader="dot" w:pos="9062"/>
            </w:tabs>
            <w:rPr>
              <w:rFonts w:eastAsiaTheme="minorEastAsia"/>
              <w:noProof/>
              <w:lang w:eastAsia="pl-PL"/>
            </w:rPr>
          </w:pPr>
          <w:hyperlink w:anchor="_Toc450562502" w:history="1">
            <w:r w:rsidRPr="00EA2FA8">
              <w:rPr>
                <w:rStyle w:val="Hipercze"/>
                <w:noProof/>
                <w:lang w:eastAsia="pl-PL"/>
              </w:rPr>
              <w:t>ROZDZIAŁ IV</w:t>
            </w:r>
            <w:r>
              <w:rPr>
                <w:noProof/>
                <w:webHidden/>
              </w:rPr>
              <w:tab/>
            </w:r>
            <w:r>
              <w:rPr>
                <w:noProof/>
                <w:webHidden/>
              </w:rPr>
              <w:fldChar w:fldCharType="begin"/>
            </w:r>
            <w:r>
              <w:rPr>
                <w:noProof/>
                <w:webHidden/>
              </w:rPr>
              <w:instrText xml:space="preserve"> PAGEREF _Toc450562502 \h </w:instrText>
            </w:r>
            <w:r>
              <w:rPr>
                <w:noProof/>
                <w:webHidden/>
              </w:rPr>
            </w:r>
            <w:r>
              <w:rPr>
                <w:noProof/>
                <w:webHidden/>
              </w:rPr>
              <w:fldChar w:fldCharType="separate"/>
            </w:r>
            <w:r>
              <w:rPr>
                <w:noProof/>
                <w:webHidden/>
              </w:rPr>
              <w:t>111</w:t>
            </w:r>
            <w:r>
              <w:rPr>
                <w:noProof/>
                <w:webHidden/>
              </w:rPr>
              <w:fldChar w:fldCharType="end"/>
            </w:r>
          </w:hyperlink>
        </w:p>
        <w:p w:rsidR="00D12A69" w:rsidRDefault="00D12A69">
          <w:pPr>
            <w:pStyle w:val="Spistreci2"/>
            <w:tabs>
              <w:tab w:val="right" w:leader="dot" w:pos="9062"/>
            </w:tabs>
            <w:rPr>
              <w:rFonts w:eastAsiaTheme="minorEastAsia"/>
              <w:noProof/>
              <w:lang w:eastAsia="pl-PL"/>
            </w:rPr>
          </w:pPr>
          <w:hyperlink w:anchor="_Toc450562503" w:history="1">
            <w:r w:rsidRPr="00EA2FA8">
              <w:rPr>
                <w:rStyle w:val="Hipercze"/>
                <w:noProof/>
                <w:lang w:eastAsia="pl-PL"/>
              </w:rPr>
              <w:t>ANALIZA SWOT DLA POSZCZEGÓLNYCH SFER ŻYCIA GMINY – PRZESTRZENNEJ., GOSPODARCZEJ I SPOŁECZNEJ.</w:t>
            </w:r>
            <w:r>
              <w:rPr>
                <w:noProof/>
                <w:webHidden/>
              </w:rPr>
              <w:tab/>
            </w:r>
            <w:r>
              <w:rPr>
                <w:noProof/>
                <w:webHidden/>
              </w:rPr>
              <w:fldChar w:fldCharType="begin"/>
            </w:r>
            <w:r>
              <w:rPr>
                <w:noProof/>
                <w:webHidden/>
              </w:rPr>
              <w:instrText xml:space="preserve"> PAGEREF _Toc450562503 \h </w:instrText>
            </w:r>
            <w:r>
              <w:rPr>
                <w:noProof/>
                <w:webHidden/>
              </w:rPr>
            </w:r>
            <w:r>
              <w:rPr>
                <w:noProof/>
                <w:webHidden/>
              </w:rPr>
              <w:fldChar w:fldCharType="separate"/>
            </w:r>
            <w:r>
              <w:rPr>
                <w:noProof/>
                <w:webHidden/>
              </w:rPr>
              <w:t>111</w:t>
            </w:r>
            <w:r>
              <w:rPr>
                <w:noProof/>
                <w:webHidden/>
              </w:rPr>
              <w:fldChar w:fldCharType="end"/>
            </w:r>
          </w:hyperlink>
        </w:p>
        <w:p w:rsidR="00D12A69" w:rsidRDefault="00D12A69">
          <w:pPr>
            <w:pStyle w:val="Spistreci2"/>
            <w:tabs>
              <w:tab w:val="right" w:leader="dot" w:pos="9062"/>
            </w:tabs>
            <w:rPr>
              <w:rFonts w:eastAsiaTheme="minorEastAsia"/>
              <w:noProof/>
              <w:lang w:eastAsia="pl-PL"/>
            </w:rPr>
          </w:pPr>
          <w:hyperlink w:anchor="_Toc450562504" w:history="1">
            <w:r w:rsidRPr="00EA2FA8">
              <w:rPr>
                <w:rStyle w:val="Hipercze"/>
                <w:noProof/>
              </w:rPr>
              <w:t>4.1. IDENTYFIKACJA PROBLEMÓW W OBSZARZE PRZESTRZENNYM</w:t>
            </w:r>
            <w:r>
              <w:rPr>
                <w:noProof/>
                <w:webHidden/>
              </w:rPr>
              <w:tab/>
            </w:r>
            <w:r>
              <w:rPr>
                <w:noProof/>
                <w:webHidden/>
              </w:rPr>
              <w:fldChar w:fldCharType="begin"/>
            </w:r>
            <w:r>
              <w:rPr>
                <w:noProof/>
                <w:webHidden/>
              </w:rPr>
              <w:instrText xml:space="preserve"> PAGEREF _Toc450562504 \h </w:instrText>
            </w:r>
            <w:r>
              <w:rPr>
                <w:noProof/>
                <w:webHidden/>
              </w:rPr>
            </w:r>
            <w:r>
              <w:rPr>
                <w:noProof/>
                <w:webHidden/>
              </w:rPr>
              <w:fldChar w:fldCharType="separate"/>
            </w:r>
            <w:r>
              <w:rPr>
                <w:noProof/>
                <w:webHidden/>
              </w:rPr>
              <w:t>112</w:t>
            </w:r>
            <w:r>
              <w:rPr>
                <w:noProof/>
                <w:webHidden/>
              </w:rPr>
              <w:fldChar w:fldCharType="end"/>
            </w:r>
          </w:hyperlink>
        </w:p>
        <w:p w:rsidR="00D12A69" w:rsidRDefault="00D12A69">
          <w:pPr>
            <w:pStyle w:val="Spistreci2"/>
            <w:tabs>
              <w:tab w:val="right" w:leader="dot" w:pos="9062"/>
            </w:tabs>
            <w:rPr>
              <w:rFonts w:eastAsiaTheme="minorEastAsia"/>
              <w:noProof/>
              <w:lang w:eastAsia="pl-PL"/>
            </w:rPr>
          </w:pPr>
          <w:hyperlink w:anchor="_Toc450562505" w:history="1">
            <w:r w:rsidRPr="00EA2FA8">
              <w:rPr>
                <w:rStyle w:val="Hipercze"/>
                <w:noProof/>
              </w:rPr>
              <w:t>4.2. IDENTYFIKACJA PROBLEMÓW W OBSZARZE GOSPODARCZYM</w:t>
            </w:r>
            <w:r>
              <w:rPr>
                <w:noProof/>
                <w:webHidden/>
              </w:rPr>
              <w:tab/>
            </w:r>
            <w:r>
              <w:rPr>
                <w:noProof/>
                <w:webHidden/>
              </w:rPr>
              <w:fldChar w:fldCharType="begin"/>
            </w:r>
            <w:r>
              <w:rPr>
                <w:noProof/>
                <w:webHidden/>
              </w:rPr>
              <w:instrText xml:space="preserve"> PAGEREF _Toc450562505 \h </w:instrText>
            </w:r>
            <w:r>
              <w:rPr>
                <w:noProof/>
                <w:webHidden/>
              </w:rPr>
            </w:r>
            <w:r>
              <w:rPr>
                <w:noProof/>
                <w:webHidden/>
              </w:rPr>
              <w:fldChar w:fldCharType="separate"/>
            </w:r>
            <w:r>
              <w:rPr>
                <w:noProof/>
                <w:webHidden/>
              </w:rPr>
              <w:t>113</w:t>
            </w:r>
            <w:r>
              <w:rPr>
                <w:noProof/>
                <w:webHidden/>
              </w:rPr>
              <w:fldChar w:fldCharType="end"/>
            </w:r>
          </w:hyperlink>
        </w:p>
        <w:p w:rsidR="00D12A69" w:rsidRDefault="00D12A69">
          <w:pPr>
            <w:pStyle w:val="Spistreci2"/>
            <w:tabs>
              <w:tab w:val="right" w:leader="dot" w:pos="9062"/>
            </w:tabs>
            <w:rPr>
              <w:rFonts w:eastAsiaTheme="minorEastAsia"/>
              <w:noProof/>
              <w:lang w:eastAsia="pl-PL"/>
            </w:rPr>
          </w:pPr>
          <w:hyperlink w:anchor="_Toc450562506" w:history="1">
            <w:r w:rsidRPr="00EA2FA8">
              <w:rPr>
                <w:rStyle w:val="Hipercze"/>
                <w:noProof/>
              </w:rPr>
              <w:t>4.3. IDENTYFIKACJA PROBLEMÓW W OBSZARZE SPOŁECZNYM</w:t>
            </w:r>
            <w:r>
              <w:rPr>
                <w:noProof/>
                <w:webHidden/>
              </w:rPr>
              <w:tab/>
            </w:r>
            <w:r>
              <w:rPr>
                <w:noProof/>
                <w:webHidden/>
              </w:rPr>
              <w:fldChar w:fldCharType="begin"/>
            </w:r>
            <w:r>
              <w:rPr>
                <w:noProof/>
                <w:webHidden/>
              </w:rPr>
              <w:instrText xml:space="preserve"> PAGEREF _Toc450562506 \h </w:instrText>
            </w:r>
            <w:r>
              <w:rPr>
                <w:noProof/>
                <w:webHidden/>
              </w:rPr>
            </w:r>
            <w:r>
              <w:rPr>
                <w:noProof/>
                <w:webHidden/>
              </w:rPr>
              <w:fldChar w:fldCharType="separate"/>
            </w:r>
            <w:r>
              <w:rPr>
                <w:noProof/>
                <w:webHidden/>
              </w:rPr>
              <w:t>114</w:t>
            </w:r>
            <w:r>
              <w:rPr>
                <w:noProof/>
                <w:webHidden/>
              </w:rPr>
              <w:fldChar w:fldCharType="end"/>
            </w:r>
          </w:hyperlink>
        </w:p>
        <w:p w:rsidR="00D12A69" w:rsidRDefault="00D12A69">
          <w:pPr>
            <w:pStyle w:val="Spistreci2"/>
            <w:tabs>
              <w:tab w:val="right" w:leader="dot" w:pos="9062"/>
            </w:tabs>
            <w:rPr>
              <w:rFonts w:eastAsiaTheme="minorEastAsia"/>
              <w:noProof/>
              <w:lang w:eastAsia="pl-PL"/>
            </w:rPr>
          </w:pPr>
          <w:hyperlink w:anchor="_Toc450562507" w:history="1">
            <w:r w:rsidRPr="00EA2FA8">
              <w:rPr>
                <w:rStyle w:val="Hipercze"/>
                <w:rFonts w:eastAsiaTheme="majorEastAsia"/>
                <w:noProof/>
              </w:rPr>
              <w:t>ROZDZIAŁ V</w:t>
            </w:r>
            <w:r>
              <w:rPr>
                <w:noProof/>
                <w:webHidden/>
              </w:rPr>
              <w:tab/>
            </w:r>
            <w:r>
              <w:rPr>
                <w:noProof/>
                <w:webHidden/>
              </w:rPr>
              <w:fldChar w:fldCharType="begin"/>
            </w:r>
            <w:r>
              <w:rPr>
                <w:noProof/>
                <w:webHidden/>
              </w:rPr>
              <w:instrText xml:space="preserve"> PAGEREF _Toc450562507 \h </w:instrText>
            </w:r>
            <w:r>
              <w:rPr>
                <w:noProof/>
                <w:webHidden/>
              </w:rPr>
            </w:r>
            <w:r>
              <w:rPr>
                <w:noProof/>
                <w:webHidden/>
              </w:rPr>
              <w:fldChar w:fldCharType="separate"/>
            </w:r>
            <w:r>
              <w:rPr>
                <w:noProof/>
                <w:webHidden/>
              </w:rPr>
              <w:t>117</w:t>
            </w:r>
            <w:r>
              <w:rPr>
                <w:noProof/>
                <w:webHidden/>
              </w:rPr>
              <w:fldChar w:fldCharType="end"/>
            </w:r>
          </w:hyperlink>
        </w:p>
        <w:p w:rsidR="00D12A69" w:rsidRDefault="00D12A69">
          <w:pPr>
            <w:pStyle w:val="Spistreci2"/>
            <w:tabs>
              <w:tab w:val="right" w:leader="dot" w:pos="9062"/>
            </w:tabs>
            <w:rPr>
              <w:rFonts w:eastAsiaTheme="minorEastAsia"/>
              <w:noProof/>
              <w:lang w:eastAsia="pl-PL"/>
            </w:rPr>
          </w:pPr>
          <w:hyperlink w:anchor="_Toc450562508" w:history="1">
            <w:r w:rsidRPr="00EA2FA8">
              <w:rPr>
                <w:rStyle w:val="Hipercze"/>
                <w:noProof/>
              </w:rPr>
              <w:t>ZAŁOŻENIA GMINNEGO PROGRAMU REWITALIZACJI GMINY MIRZEC (GPR)</w:t>
            </w:r>
            <w:r>
              <w:rPr>
                <w:noProof/>
                <w:webHidden/>
              </w:rPr>
              <w:tab/>
            </w:r>
            <w:r>
              <w:rPr>
                <w:noProof/>
                <w:webHidden/>
              </w:rPr>
              <w:fldChar w:fldCharType="begin"/>
            </w:r>
            <w:r>
              <w:rPr>
                <w:noProof/>
                <w:webHidden/>
              </w:rPr>
              <w:instrText xml:space="preserve"> PAGEREF _Toc450562508 \h </w:instrText>
            </w:r>
            <w:r>
              <w:rPr>
                <w:noProof/>
                <w:webHidden/>
              </w:rPr>
            </w:r>
            <w:r>
              <w:rPr>
                <w:noProof/>
                <w:webHidden/>
              </w:rPr>
              <w:fldChar w:fldCharType="separate"/>
            </w:r>
            <w:r>
              <w:rPr>
                <w:noProof/>
                <w:webHidden/>
              </w:rPr>
              <w:t>117</w:t>
            </w:r>
            <w:r>
              <w:rPr>
                <w:noProof/>
                <w:webHidden/>
              </w:rPr>
              <w:fldChar w:fldCharType="end"/>
            </w:r>
          </w:hyperlink>
        </w:p>
        <w:p w:rsidR="00D12A69" w:rsidRDefault="00D12A69">
          <w:pPr>
            <w:pStyle w:val="Spistreci2"/>
            <w:tabs>
              <w:tab w:val="right" w:leader="dot" w:pos="9062"/>
            </w:tabs>
            <w:rPr>
              <w:rFonts w:eastAsiaTheme="minorEastAsia"/>
              <w:noProof/>
              <w:lang w:eastAsia="pl-PL"/>
            </w:rPr>
          </w:pPr>
          <w:hyperlink w:anchor="_Toc450562509" w:history="1">
            <w:r w:rsidRPr="00EA2FA8">
              <w:rPr>
                <w:rStyle w:val="Hipercze"/>
                <w:noProof/>
              </w:rPr>
              <w:t>5.1. WIZJA REWITALIZACJI GMINY MIRZEC.</w:t>
            </w:r>
            <w:r>
              <w:rPr>
                <w:noProof/>
                <w:webHidden/>
              </w:rPr>
              <w:tab/>
            </w:r>
            <w:r>
              <w:rPr>
                <w:noProof/>
                <w:webHidden/>
              </w:rPr>
              <w:fldChar w:fldCharType="begin"/>
            </w:r>
            <w:r>
              <w:rPr>
                <w:noProof/>
                <w:webHidden/>
              </w:rPr>
              <w:instrText xml:space="preserve"> PAGEREF _Toc450562509 \h </w:instrText>
            </w:r>
            <w:r>
              <w:rPr>
                <w:noProof/>
                <w:webHidden/>
              </w:rPr>
            </w:r>
            <w:r>
              <w:rPr>
                <w:noProof/>
                <w:webHidden/>
              </w:rPr>
              <w:fldChar w:fldCharType="separate"/>
            </w:r>
            <w:r>
              <w:rPr>
                <w:noProof/>
                <w:webHidden/>
              </w:rPr>
              <w:t>117</w:t>
            </w:r>
            <w:r>
              <w:rPr>
                <w:noProof/>
                <w:webHidden/>
              </w:rPr>
              <w:fldChar w:fldCharType="end"/>
            </w:r>
          </w:hyperlink>
        </w:p>
        <w:p w:rsidR="00D12A69" w:rsidRDefault="00D12A69">
          <w:pPr>
            <w:pStyle w:val="Spistreci2"/>
            <w:tabs>
              <w:tab w:val="right" w:leader="dot" w:pos="9062"/>
            </w:tabs>
            <w:rPr>
              <w:rFonts w:eastAsiaTheme="minorEastAsia"/>
              <w:noProof/>
              <w:lang w:eastAsia="pl-PL"/>
            </w:rPr>
          </w:pPr>
          <w:hyperlink w:anchor="_Toc450562510" w:history="1">
            <w:r w:rsidRPr="00EA2FA8">
              <w:rPr>
                <w:rStyle w:val="Hipercze"/>
                <w:noProof/>
              </w:rPr>
              <w:t>5.2. MISJA REWITALIZACJI GMINY MIRZEC.</w:t>
            </w:r>
            <w:r>
              <w:rPr>
                <w:noProof/>
                <w:webHidden/>
              </w:rPr>
              <w:tab/>
            </w:r>
            <w:r>
              <w:rPr>
                <w:noProof/>
                <w:webHidden/>
              </w:rPr>
              <w:fldChar w:fldCharType="begin"/>
            </w:r>
            <w:r>
              <w:rPr>
                <w:noProof/>
                <w:webHidden/>
              </w:rPr>
              <w:instrText xml:space="preserve"> PAGEREF _Toc450562510 \h </w:instrText>
            </w:r>
            <w:r>
              <w:rPr>
                <w:noProof/>
                <w:webHidden/>
              </w:rPr>
            </w:r>
            <w:r>
              <w:rPr>
                <w:noProof/>
                <w:webHidden/>
              </w:rPr>
              <w:fldChar w:fldCharType="separate"/>
            </w:r>
            <w:r>
              <w:rPr>
                <w:noProof/>
                <w:webHidden/>
              </w:rPr>
              <w:t>117</w:t>
            </w:r>
            <w:r>
              <w:rPr>
                <w:noProof/>
                <w:webHidden/>
              </w:rPr>
              <w:fldChar w:fldCharType="end"/>
            </w:r>
          </w:hyperlink>
        </w:p>
        <w:p w:rsidR="00D12A69" w:rsidRDefault="00D12A69">
          <w:pPr>
            <w:pStyle w:val="Spistreci2"/>
            <w:tabs>
              <w:tab w:val="right" w:leader="dot" w:pos="9062"/>
            </w:tabs>
            <w:rPr>
              <w:rFonts w:eastAsiaTheme="minorEastAsia"/>
              <w:noProof/>
              <w:lang w:eastAsia="pl-PL"/>
            </w:rPr>
          </w:pPr>
          <w:hyperlink w:anchor="_Toc450562511" w:history="1">
            <w:r w:rsidRPr="00EA2FA8">
              <w:rPr>
                <w:rStyle w:val="Hipercze"/>
                <w:noProof/>
              </w:rPr>
              <w:t>5.3. CELE REWITALIZACJI I ICH REALIZACJA</w:t>
            </w:r>
            <w:r>
              <w:rPr>
                <w:noProof/>
                <w:webHidden/>
              </w:rPr>
              <w:tab/>
            </w:r>
            <w:r>
              <w:rPr>
                <w:noProof/>
                <w:webHidden/>
              </w:rPr>
              <w:fldChar w:fldCharType="begin"/>
            </w:r>
            <w:r>
              <w:rPr>
                <w:noProof/>
                <w:webHidden/>
              </w:rPr>
              <w:instrText xml:space="preserve"> PAGEREF _Toc450562511 \h </w:instrText>
            </w:r>
            <w:r>
              <w:rPr>
                <w:noProof/>
                <w:webHidden/>
              </w:rPr>
            </w:r>
            <w:r>
              <w:rPr>
                <w:noProof/>
                <w:webHidden/>
              </w:rPr>
              <w:fldChar w:fldCharType="separate"/>
            </w:r>
            <w:r>
              <w:rPr>
                <w:noProof/>
                <w:webHidden/>
              </w:rPr>
              <w:t>118</w:t>
            </w:r>
            <w:r>
              <w:rPr>
                <w:noProof/>
                <w:webHidden/>
              </w:rPr>
              <w:fldChar w:fldCharType="end"/>
            </w:r>
          </w:hyperlink>
        </w:p>
        <w:p w:rsidR="00D12A69" w:rsidRDefault="00D12A69">
          <w:pPr>
            <w:pStyle w:val="Spistreci2"/>
            <w:tabs>
              <w:tab w:val="right" w:leader="dot" w:pos="9062"/>
            </w:tabs>
            <w:rPr>
              <w:rFonts w:eastAsiaTheme="minorEastAsia"/>
              <w:noProof/>
              <w:lang w:eastAsia="pl-PL"/>
            </w:rPr>
          </w:pPr>
          <w:hyperlink w:anchor="_Toc450562512" w:history="1">
            <w:r w:rsidRPr="00EA2FA8">
              <w:rPr>
                <w:rStyle w:val="Hipercze"/>
                <w:noProof/>
              </w:rPr>
              <w:t>5.4. KRYTERIA WYBORU OBSZARÓW KRYZYSOWYCH.</w:t>
            </w:r>
            <w:r>
              <w:rPr>
                <w:noProof/>
                <w:webHidden/>
              </w:rPr>
              <w:tab/>
            </w:r>
            <w:r>
              <w:rPr>
                <w:noProof/>
                <w:webHidden/>
              </w:rPr>
              <w:fldChar w:fldCharType="begin"/>
            </w:r>
            <w:r>
              <w:rPr>
                <w:noProof/>
                <w:webHidden/>
              </w:rPr>
              <w:instrText xml:space="preserve"> PAGEREF _Toc450562512 \h </w:instrText>
            </w:r>
            <w:r>
              <w:rPr>
                <w:noProof/>
                <w:webHidden/>
              </w:rPr>
            </w:r>
            <w:r>
              <w:rPr>
                <w:noProof/>
                <w:webHidden/>
              </w:rPr>
              <w:fldChar w:fldCharType="separate"/>
            </w:r>
            <w:r>
              <w:rPr>
                <w:noProof/>
                <w:webHidden/>
              </w:rPr>
              <w:t>121</w:t>
            </w:r>
            <w:r>
              <w:rPr>
                <w:noProof/>
                <w:webHidden/>
              </w:rPr>
              <w:fldChar w:fldCharType="end"/>
            </w:r>
          </w:hyperlink>
        </w:p>
        <w:p w:rsidR="00D12A69" w:rsidRDefault="00D12A69">
          <w:pPr>
            <w:pStyle w:val="Spistreci2"/>
            <w:tabs>
              <w:tab w:val="right" w:leader="dot" w:pos="9062"/>
            </w:tabs>
            <w:rPr>
              <w:rFonts w:eastAsiaTheme="minorEastAsia"/>
              <w:noProof/>
              <w:lang w:eastAsia="pl-PL"/>
            </w:rPr>
          </w:pPr>
          <w:hyperlink w:anchor="_Toc450562513" w:history="1">
            <w:r w:rsidRPr="00EA2FA8">
              <w:rPr>
                <w:rStyle w:val="Hipercze"/>
                <w:noProof/>
              </w:rPr>
              <w:t>5.5. DELIMITACJA OBSZARÓW KRYZYSOWYCH.</w:t>
            </w:r>
            <w:r>
              <w:rPr>
                <w:noProof/>
                <w:webHidden/>
              </w:rPr>
              <w:tab/>
            </w:r>
            <w:r>
              <w:rPr>
                <w:noProof/>
                <w:webHidden/>
              </w:rPr>
              <w:fldChar w:fldCharType="begin"/>
            </w:r>
            <w:r>
              <w:rPr>
                <w:noProof/>
                <w:webHidden/>
              </w:rPr>
              <w:instrText xml:space="preserve"> PAGEREF _Toc450562513 \h </w:instrText>
            </w:r>
            <w:r>
              <w:rPr>
                <w:noProof/>
                <w:webHidden/>
              </w:rPr>
            </w:r>
            <w:r>
              <w:rPr>
                <w:noProof/>
                <w:webHidden/>
              </w:rPr>
              <w:fldChar w:fldCharType="separate"/>
            </w:r>
            <w:r>
              <w:rPr>
                <w:noProof/>
                <w:webHidden/>
              </w:rPr>
              <w:t>122</w:t>
            </w:r>
            <w:r>
              <w:rPr>
                <w:noProof/>
                <w:webHidden/>
              </w:rPr>
              <w:fldChar w:fldCharType="end"/>
            </w:r>
          </w:hyperlink>
        </w:p>
        <w:p w:rsidR="00D12A69" w:rsidRDefault="00D12A69">
          <w:pPr>
            <w:pStyle w:val="Spistreci2"/>
            <w:tabs>
              <w:tab w:val="right" w:leader="dot" w:pos="9062"/>
            </w:tabs>
            <w:rPr>
              <w:rFonts w:eastAsiaTheme="minorEastAsia"/>
              <w:noProof/>
              <w:lang w:eastAsia="pl-PL"/>
            </w:rPr>
          </w:pPr>
          <w:hyperlink w:anchor="_Toc450562514" w:history="1">
            <w:r w:rsidRPr="00EA2FA8">
              <w:rPr>
                <w:rStyle w:val="Hipercze"/>
                <w:noProof/>
              </w:rPr>
              <w:t>5.6. CHARAKTERYSTYKA OBSZARU REWITALIZACJI</w:t>
            </w:r>
            <w:r>
              <w:rPr>
                <w:noProof/>
                <w:webHidden/>
              </w:rPr>
              <w:tab/>
            </w:r>
            <w:r>
              <w:rPr>
                <w:noProof/>
                <w:webHidden/>
              </w:rPr>
              <w:fldChar w:fldCharType="begin"/>
            </w:r>
            <w:r>
              <w:rPr>
                <w:noProof/>
                <w:webHidden/>
              </w:rPr>
              <w:instrText xml:space="preserve"> PAGEREF _Toc450562514 \h </w:instrText>
            </w:r>
            <w:r>
              <w:rPr>
                <w:noProof/>
                <w:webHidden/>
              </w:rPr>
            </w:r>
            <w:r>
              <w:rPr>
                <w:noProof/>
                <w:webHidden/>
              </w:rPr>
              <w:fldChar w:fldCharType="separate"/>
            </w:r>
            <w:r>
              <w:rPr>
                <w:noProof/>
                <w:webHidden/>
              </w:rPr>
              <w:t>124</w:t>
            </w:r>
            <w:r>
              <w:rPr>
                <w:noProof/>
                <w:webHidden/>
              </w:rPr>
              <w:fldChar w:fldCharType="end"/>
            </w:r>
          </w:hyperlink>
        </w:p>
        <w:p w:rsidR="00D12A69" w:rsidRDefault="00D12A69">
          <w:pPr>
            <w:pStyle w:val="Spistreci2"/>
            <w:tabs>
              <w:tab w:val="right" w:leader="dot" w:pos="9062"/>
            </w:tabs>
            <w:rPr>
              <w:rFonts w:eastAsiaTheme="minorEastAsia"/>
              <w:noProof/>
              <w:lang w:eastAsia="pl-PL"/>
            </w:rPr>
          </w:pPr>
          <w:hyperlink w:anchor="_Toc450562515" w:history="1">
            <w:r>
              <w:rPr>
                <w:noProof/>
                <w:webHidden/>
              </w:rPr>
              <w:tab/>
            </w:r>
            <w:r>
              <w:rPr>
                <w:noProof/>
                <w:webHidden/>
              </w:rPr>
              <w:fldChar w:fldCharType="begin"/>
            </w:r>
            <w:r>
              <w:rPr>
                <w:noProof/>
                <w:webHidden/>
              </w:rPr>
              <w:instrText xml:space="preserve"> PAGEREF _Toc450562515 \h </w:instrText>
            </w:r>
            <w:r>
              <w:rPr>
                <w:noProof/>
                <w:webHidden/>
              </w:rPr>
            </w:r>
            <w:r>
              <w:rPr>
                <w:noProof/>
                <w:webHidden/>
              </w:rPr>
              <w:fldChar w:fldCharType="separate"/>
            </w:r>
            <w:r>
              <w:rPr>
                <w:noProof/>
                <w:webHidden/>
              </w:rPr>
              <w:t>135</w:t>
            </w:r>
            <w:r>
              <w:rPr>
                <w:noProof/>
                <w:webHidden/>
              </w:rPr>
              <w:fldChar w:fldCharType="end"/>
            </w:r>
          </w:hyperlink>
        </w:p>
        <w:p w:rsidR="00D12A69" w:rsidRDefault="00D12A69">
          <w:pPr>
            <w:pStyle w:val="Spistreci2"/>
            <w:tabs>
              <w:tab w:val="right" w:leader="dot" w:pos="9062"/>
            </w:tabs>
            <w:rPr>
              <w:rFonts w:eastAsiaTheme="minorEastAsia"/>
              <w:noProof/>
              <w:lang w:eastAsia="pl-PL"/>
            </w:rPr>
          </w:pPr>
          <w:hyperlink w:anchor="_Toc450562516" w:history="1">
            <w:r w:rsidRPr="00EA2FA8">
              <w:rPr>
                <w:rStyle w:val="Hipercze"/>
                <w:noProof/>
              </w:rPr>
              <w:t>5.7. OPIS OBSZARÓW KRYZYSOWYCH WRAZ Z UZASADNIENIEM WYBORU.</w:t>
            </w:r>
            <w:r>
              <w:rPr>
                <w:noProof/>
                <w:webHidden/>
              </w:rPr>
              <w:tab/>
            </w:r>
            <w:r>
              <w:rPr>
                <w:noProof/>
                <w:webHidden/>
              </w:rPr>
              <w:fldChar w:fldCharType="begin"/>
            </w:r>
            <w:r>
              <w:rPr>
                <w:noProof/>
                <w:webHidden/>
              </w:rPr>
              <w:instrText xml:space="preserve"> PAGEREF _Toc450562516 \h </w:instrText>
            </w:r>
            <w:r>
              <w:rPr>
                <w:noProof/>
                <w:webHidden/>
              </w:rPr>
            </w:r>
            <w:r>
              <w:rPr>
                <w:noProof/>
                <w:webHidden/>
              </w:rPr>
              <w:fldChar w:fldCharType="separate"/>
            </w:r>
            <w:r>
              <w:rPr>
                <w:noProof/>
                <w:webHidden/>
              </w:rPr>
              <w:t>135</w:t>
            </w:r>
            <w:r>
              <w:rPr>
                <w:noProof/>
                <w:webHidden/>
              </w:rPr>
              <w:fldChar w:fldCharType="end"/>
            </w:r>
          </w:hyperlink>
        </w:p>
        <w:p w:rsidR="00D12A69" w:rsidRDefault="00D12A69">
          <w:pPr>
            <w:pStyle w:val="Spistreci2"/>
            <w:tabs>
              <w:tab w:val="right" w:leader="dot" w:pos="9062"/>
            </w:tabs>
            <w:rPr>
              <w:rFonts w:eastAsiaTheme="minorEastAsia"/>
              <w:noProof/>
              <w:lang w:eastAsia="pl-PL"/>
            </w:rPr>
          </w:pPr>
          <w:hyperlink w:anchor="_Toc450562517" w:history="1">
            <w:r w:rsidRPr="00EA2FA8">
              <w:rPr>
                <w:rStyle w:val="Hipercze"/>
                <w:rFonts w:asciiTheme="majorHAnsi" w:eastAsiaTheme="majorEastAsia" w:hAnsiTheme="majorHAnsi" w:cstheme="majorBidi"/>
                <w:noProof/>
              </w:rPr>
              <w:t>5.8 POZOSTAŁE RODZAJE PRZEDSIĘWZIĘĆ REWITALIZACYJNYCH REALIZUJĄCYCH KIERUNKI DZIAŁAŃ, MAJĄCYCH NA CELU ELIMINACJĘ LUB OGRANICZENIE NEGATYWNYCH ZJAWISK POWODUJĄCYCH SYTUACJĘ KRYZYSOWĄ</w:t>
            </w:r>
            <w:r>
              <w:rPr>
                <w:noProof/>
                <w:webHidden/>
              </w:rPr>
              <w:tab/>
            </w:r>
            <w:r>
              <w:rPr>
                <w:noProof/>
                <w:webHidden/>
              </w:rPr>
              <w:fldChar w:fldCharType="begin"/>
            </w:r>
            <w:r>
              <w:rPr>
                <w:noProof/>
                <w:webHidden/>
              </w:rPr>
              <w:instrText xml:space="preserve"> PAGEREF _Toc450562517 \h </w:instrText>
            </w:r>
            <w:r>
              <w:rPr>
                <w:noProof/>
                <w:webHidden/>
              </w:rPr>
            </w:r>
            <w:r>
              <w:rPr>
                <w:noProof/>
                <w:webHidden/>
              </w:rPr>
              <w:fldChar w:fldCharType="separate"/>
            </w:r>
            <w:r>
              <w:rPr>
                <w:noProof/>
                <w:webHidden/>
              </w:rPr>
              <w:t>137</w:t>
            </w:r>
            <w:r>
              <w:rPr>
                <w:noProof/>
                <w:webHidden/>
              </w:rPr>
              <w:fldChar w:fldCharType="end"/>
            </w:r>
          </w:hyperlink>
        </w:p>
        <w:p w:rsidR="00D12A69" w:rsidRDefault="00D12A69">
          <w:pPr>
            <w:pStyle w:val="Spistreci2"/>
            <w:tabs>
              <w:tab w:val="right" w:leader="dot" w:pos="9062"/>
            </w:tabs>
            <w:rPr>
              <w:rFonts w:eastAsiaTheme="minorEastAsia"/>
              <w:noProof/>
              <w:lang w:eastAsia="pl-PL"/>
            </w:rPr>
          </w:pPr>
          <w:hyperlink w:anchor="_Toc450562518" w:history="1">
            <w:r w:rsidRPr="00EA2FA8">
              <w:rPr>
                <w:rStyle w:val="Hipercze"/>
                <w:rFonts w:eastAsiaTheme="majorEastAsia"/>
                <w:noProof/>
              </w:rPr>
              <w:t>ROZDZIAŁ VI</w:t>
            </w:r>
            <w:r>
              <w:rPr>
                <w:noProof/>
                <w:webHidden/>
              </w:rPr>
              <w:tab/>
            </w:r>
            <w:r>
              <w:rPr>
                <w:noProof/>
                <w:webHidden/>
              </w:rPr>
              <w:fldChar w:fldCharType="begin"/>
            </w:r>
            <w:r>
              <w:rPr>
                <w:noProof/>
                <w:webHidden/>
              </w:rPr>
              <w:instrText xml:space="preserve"> PAGEREF _Toc450562518 \h </w:instrText>
            </w:r>
            <w:r>
              <w:rPr>
                <w:noProof/>
                <w:webHidden/>
              </w:rPr>
            </w:r>
            <w:r>
              <w:rPr>
                <w:noProof/>
                <w:webHidden/>
              </w:rPr>
              <w:fldChar w:fldCharType="separate"/>
            </w:r>
            <w:r>
              <w:rPr>
                <w:noProof/>
                <w:webHidden/>
              </w:rPr>
              <w:t>141</w:t>
            </w:r>
            <w:r>
              <w:rPr>
                <w:noProof/>
                <w:webHidden/>
              </w:rPr>
              <w:fldChar w:fldCharType="end"/>
            </w:r>
          </w:hyperlink>
        </w:p>
        <w:p w:rsidR="00D12A69" w:rsidRDefault="00D12A69">
          <w:pPr>
            <w:pStyle w:val="Spistreci2"/>
            <w:tabs>
              <w:tab w:val="right" w:leader="dot" w:pos="9062"/>
            </w:tabs>
            <w:rPr>
              <w:rFonts w:eastAsiaTheme="minorEastAsia"/>
              <w:noProof/>
              <w:lang w:eastAsia="pl-PL"/>
            </w:rPr>
          </w:pPr>
          <w:hyperlink w:anchor="_Toc450562519" w:history="1">
            <w:r w:rsidRPr="00EA2FA8">
              <w:rPr>
                <w:rStyle w:val="Hipercze"/>
                <w:noProof/>
              </w:rPr>
              <w:t>ZADANIA REWITALIZACYJNE W SFERZE PRZESTRZENNEJ, GOSPODARCZEJ  I SPOŁECZNEJ.</w:t>
            </w:r>
            <w:r>
              <w:rPr>
                <w:noProof/>
                <w:webHidden/>
              </w:rPr>
              <w:tab/>
            </w:r>
            <w:r>
              <w:rPr>
                <w:noProof/>
                <w:webHidden/>
              </w:rPr>
              <w:fldChar w:fldCharType="begin"/>
            </w:r>
            <w:r>
              <w:rPr>
                <w:noProof/>
                <w:webHidden/>
              </w:rPr>
              <w:instrText xml:space="preserve"> PAGEREF _Toc450562519 \h </w:instrText>
            </w:r>
            <w:r>
              <w:rPr>
                <w:noProof/>
                <w:webHidden/>
              </w:rPr>
            </w:r>
            <w:r>
              <w:rPr>
                <w:noProof/>
                <w:webHidden/>
              </w:rPr>
              <w:fldChar w:fldCharType="separate"/>
            </w:r>
            <w:r>
              <w:rPr>
                <w:noProof/>
                <w:webHidden/>
              </w:rPr>
              <w:t>141</w:t>
            </w:r>
            <w:r>
              <w:rPr>
                <w:noProof/>
                <w:webHidden/>
              </w:rPr>
              <w:fldChar w:fldCharType="end"/>
            </w:r>
          </w:hyperlink>
        </w:p>
        <w:p w:rsidR="00D12A69" w:rsidRDefault="00D12A69">
          <w:pPr>
            <w:pStyle w:val="Spistreci2"/>
            <w:tabs>
              <w:tab w:val="right" w:leader="dot" w:pos="9062"/>
            </w:tabs>
            <w:rPr>
              <w:rFonts w:eastAsiaTheme="minorEastAsia"/>
              <w:noProof/>
              <w:lang w:eastAsia="pl-PL"/>
            </w:rPr>
          </w:pPr>
          <w:hyperlink w:anchor="_Toc450562520" w:history="1">
            <w:r w:rsidRPr="00EA2FA8">
              <w:rPr>
                <w:rStyle w:val="Hipercze"/>
                <w:noProof/>
              </w:rPr>
              <w:t>6.1. ZADANIA INWESTYCYJNE.</w:t>
            </w:r>
            <w:r>
              <w:rPr>
                <w:noProof/>
                <w:webHidden/>
              </w:rPr>
              <w:tab/>
            </w:r>
            <w:r>
              <w:rPr>
                <w:noProof/>
                <w:webHidden/>
              </w:rPr>
              <w:fldChar w:fldCharType="begin"/>
            </w:r>
            <w:r>
              <w:rPr>
                <w:noProof/>
                <w:webHidden/>
              </w:rPr>
              <w:instrText xml:space="preserve"> PAGEREF _Toc450562520 \h </w:instrText>
            </w:r>
            <w:r>
              <w:rPr>
                <w:noProof/>
                <w:webHidden/>
              </w:rPr>
            </w:r>
            <w:r>
              <w:rPr>
                <w:noProof/>
                <w:webHidden/>
              </w:rPr>
              <w:fldChar w:fldCharType="separate"/>
            </w:r>
            <w:r>
              <w:rPr>
                <w:noProof/>
                <w:webHidden/>
              </w:rPr>
              <w:t>141</w:t>
            </w:r>
            <w:r>
              <w:rPr>
                <w:noProof/>
                <w:webHidden/>
              </w:rPr>
              <w:fldChar w:fldCharType="end"/>
            </w:r>
          </w:hyperlink>
        </w:p>
        <w:p w:rsidR="00D12A69" w:rsidRDefault="00D12A69">
          <w:pPr>
            <w:pStyle w:val="Spistreci2"/>
            <w:tabs>
              <w:tab w:val="right" w:leader="dot" w:pos="9062"/>
            </w:tabs>
            <w:rPr>
              <w:rFonts w:eastAsiaTheme="minorEastAsia"/>
              <w:noProof/>
              <w:lang w:eastAsia="pl-PL"/>
            </w:rPr>
          </w:pPr>
          <w:hyperlink w:anchor="_Toc450562521" w:history="1">
            <w:r w:rsidRPr="00EA2FA8">
              <w:rPr>
                <w:rStyle w:val="Hipercze"/>
                <w:noProof/>
              </w:rPr>
              <w:t>6.2. ZADANIA SPOŁECZNE</w:t>
            </w:r>
            <w:r>
              <w:rPr>
                <w:noProof/>
                <w:webHidden/>
              </w:rPr>
              <w:tab/>
            </w:r>
            <w:r>
              <w:rPr>
                <w:noProof/>
                <w:webHidden/>
              </w:rPr>
              <w:fldChar w:fldCharType="begin"/>
            </w:r>
            <w:r>
              <w:rPr>
                <w:noProof/>
                <w:webHidden/>
              </w:rPr>
              <w:instrText xml:space="preserve"> PAGEREF _Toc450562521 \h </w:instrText>
            </w:r>
            <w:r>
              <w:rPr>
                <w:noProof/>
                <w:webHidden/>
              </w:rPr>
            </w:r>
            <w:r>
              <w:rPr>
                <w:noProof/>
                <w:webHidden/>
              </w:rPr>
              <w:fldChar w:fldCharType="separate"/>
            </w:r>
            <w:r>
              <w:rPr>
                <w:noProof/>
                <w:webHidden/>
              </w:rPr>
              <w:t>151</w:t>
            </w:r>
            <w:r>
              <w:rPr>
                <w:noProof/>
                <w:webHidden/>
              </w:rPr>
              <w:fldChar w:fldCharType="end"/>
            </w:r>
          </w:hyperlink>
        </w:p>
        <w:p w:rsidR="00D12A69" w:rsidRDefault="00D12A69">
          <w:pPr>
            <w:pStyle w:val="Spistreci2"/>
            <w:tabs>
              <w:tab w:val="right" w:leader="dot" w:pos="9062"/>
            </w:tabs>
            <w:rPr>
              <w:rFonts w:eastAsiaTheme="minorEastAsia"/>
              <w:noProof/>
              <w:lang w:eastAsia="pl-PL"/>
            </w:rPr>
          </w:pPr>
          <w:hyperlink w:anchor="_Toc450562522" w:history="1">
            <w:r w:rsidRPr="00EA2FA8">
              <w:rPr>
                <w:rStyle w:val="Hipercze"/>
                <w:noProof/>
              </w:rPr>
              <w:t>6.3. MATRYCA POWIĄZANIA ZADAŃ INWESTYCYJNYCH I SPOŁEYCH GPR.</w:t>
            </w:r>
            <w:r>
              <w:rPr>
                <w:noProof/>
                <w:webHidden/>
              </w:rPr>
              <w:tab/>
            </w:r>
            <w:r>
              <w:rPr>
                <w:noProof/>
                <w:webHidden/>
              </w:rPr>
              <w:fldChar w:fldCharType="begin"/>
            </w:r>
            <w:r>
              <w:rPr>
                <w:noProof/>
                <w:webHidden/>
              </w:rPr>
              <w:instrText xml:space="preserve"> PAGEREF _Toc450562522 \h </w:instrText>
            </w:r>
            <w:r>
              <w:rPr>
                <w:noProof/>
                <w:webHidden/>
              </w:rPr>
            </w:r>
            <w:r>
              <w:rPr>
                <w:noProof/>
                <w:webHidden/>
              </w:rPr>
              <w:fldChar w:fldCharType="separate"/>
            </w:r>
            <w:r>
              <w:rPr>
                <w:noProof/>
                <w:webHidden/>
              </w:rPr>
              <w:t>156</w:t>
            </w:r>
            <w:r>
              <w:rPr>
                <w:noProof/>
                <w:webHidden/>
              </w:rPr>
              <w:fldChar w:fldCharType="end"/>
            </w:r>
          </w:hyperlink>
        </w:p>
        <w:p w:rsidR="00D12A69" w:rsidRDefault="00D12A69">
          <w:pPr>
            <w:pStyle w:val="Spistreci2"/>
            <w:tabs>
              <w:tab w:val="right" w:leader="dot" w:pos="9062"/>
            </w:tabs>
            <w:rPr>
              <w:rFonts w:eastAsiaTheme="minorEastAsia"/>
              <w:noProof/>
              <w:lang w:eastAsia="pl-PL"/>
            </w:rPr>
          </w:pPr>
          <w:hyperlink w:anchor="_Toc450562523" w:history="1">
            <w:r w:rsidRPr="00EA2FA8">
              <w:rPr>
                <w:rStyle w:val="Hipercze"/>
                <w:rFonts w:eastAsiaTheme="majorEastAsia"/>
                <w:noProof/>
              </w:rPr>
              <w:t>6.7. OCZEKIWANE WSKAŹNIKI OSIĄGNIĘĆ</w:t>
            </w:r>
            <w:r>
              <w:rPr>
                <w:noProof/>
                <w:webHidden/>
              </w:rPr>
              <w:tab/>
            </w:r>
            <w:r>
              <w:rPr>
                <w:noProof/>
                <w:webHidden/>
              </w:rPr>
              <w:fldChar w:fldCharType="begin"/>
            </w:r>
            <w:r>
              <w:rPr>
                <w:noProof/>
                <w:webHidden/>
              </w:rPr>
              <w:instrText xml:space="preserve"> PAGEREF _Toc450562523 \h </w:instrText>
            </w:r>
            <w:r>
              <w:rPr>
                <w:noProof/>
                <w:webHidden/>
              </w:rPr>
            </w:r>
            <w:r>
              <w:rPr>
                <w:noProof/>
                <w:webHidden/>
              </w:rPr>
              <w:fldChar w:fldCharType="separate"/>
            </w:r>
            <w:r>
              <w:rPr>
                <w:noProof/>
                <w:webHidden/>
              </w:rPr>
              <w:t>163</w:t>
            </w:r>
            <w:r>
              <w:rPr>
                <w:noProof/>
                <w:webHidden/>
              </w:rPr>
              <w:fldChar w:fldCharType="end"/>
            </w:r>
          </w:hyperlink>
        </w:p>
        <w:p w:rsidR="00D12A69" w:rsidRDefault="00D12A69">
          <w:pPr>
            <w:pStyle w:val="Spistreci2"/>
            <w:tabs>
              <w:tab w:val="right" w:leader="dot" w:pos="9062"/>
            </w:tabs>
            <w:rPr>
              <w:rFonts w:eastAsiaTheme="minorEastAsia"/>
              <w:noProof/>
              <w:lang w:eastAsia="pl-PL"/>
            </w:rPr>
          </w:pPr>
          <w:hyperlink w:anchor="_Toc450562524" w:history="1">
            <w:r w:rsidRPr="00EA2FA8">
              <w:rPr>
                <w:rStyle w:val="Hipercze"/>
                <w:rFonts w:eastAsiaTheme="majorEastAsia"/>
                <w:noProof/>
              </w:rPr>
              <w:t>ROZDZIAŁ VII</w:t>
            </w:r>
            <w:r>
              <w:rPr>
                <w:noProof/>
                <w:webHidden/>
              </w:rPr>
              <w:tab/>
            </w:r>
            <w:r>
              <w:rPr>
                <w:noProof/>
                <w:webHidden/>
              </w:rPr>
              <w:fldChar w:fldCharType="begin"/>
            </w:r>
            <w:r>
              <w:rPr>
                <w:noProof/>
                <w:webHidden/>
              </w:rPr>
              <w:instrText xml:space="preserve"> PAGEREF _Toc450562524 \h </w:instrText>
            </w:r>
            <w:r>
              <w:rPr>
                <w:noProof/>
                <w:webHidden/>
              </w:rPr>
            </w:r>
            <w:r>
              <w:rPr>
                <w:noProof/>
                <w:webHidden/>
              </w:rPr>
              <w:fldChar w:fldCharType="separate"/>
            </w:r>
            <w:r>
              <w:rPr>
                <w:noProof/>
                <w:webHidden/>
              </w:rPr>
              <w:t>167</w:t>
            </w:r>
            <w:r>
              <w:rPr>
                <w:noProof/>
                <w:webHidden/>
              </w:rPr>
              <w:fldChar w:fldCharType="end"/>
            </w:r>
          </w:hyperlink>
        </w:p>
        <w:p w:rsidR="00D12A69" w:rsidRDefault="00D12A69">
          <w:pPr>
            <w:pStyle w:val="Spistreci2"/>
            <w:tabs>
              <w:tab w:val="right" w:leader="dot" w:pos="9062"/>
            </w:tabs>
            <w:rPr>
              <w:rFonts w:eastAsiaTheme="minorEastAsia"/>
              <w:noProof/>
              <w:lang w:eastAsia="pl-PL"/>
            </w:rPr>
          </w:pPr>
          <w:hyperlink w:anchor="_Toc450562525" w:history="1">
            <w:r w:rsidRPr="00EA2FA8">
              <w:rPr>
                <w:rStyle w:val="Hipercze"/>
                <w:noProof/>
              </w:rPr>
              <w:t>INDYKATYWNE RAMY FINANSOWE GPR GMINY MIRZEC</w:t>
            </w:r>
            <w:r>
              <w:rPr>
                <w:noProof/>
                <w:webHidden/>
              </w:rPr>
              <w:tab/>
            </w:r>
            <w:r>
              <w:rPr>
                <w:noProof/>
                <w:webHidden/>
              </w:rPr>
              <w:fldChar w:fldCharType="begin"/>
            </w:r>
            <w:r>
              <w:rPr>
                <w:noProof/>
                <w:webHidden/>
              </w:rPr>
              <w:instrText xml:space="preserve"> PAGEREF _Toc450562525 \h </w:instrText>
            </w:r>
            <w:r>
              <w:rPr>
                <w:noProof/>
                <w:webHidden/>
              </w:rPr>
            </w:r>
            <w:r>
              <w:rPr>
                <w:noProof/>
                <w:webHidden/>
              </w:rPr>
              <w:fldChar w:fldCharType="separate"/>
            </w:r>
            <w:r>
              <w:rPr>
                <w:noProof/>
                <w:webHidden/>
              </w:rPr>
              <w:t>167</w:t>
            </w:r>
            <w:r>
              <w:rPr>
                <w:noProof/>
                <w:webHidden/>
              </w:rPr>
              <w:fldChar w:fldCharType="end"/>
            </w:r>
          </w:hyperlink>
        </w:p>
        <w:p w:rsidR="00D12A69" w:rsidRDefault="00D12A69">
          <w:pPr>
            <w:pStyle w:val="Spistreci2"/>
            <w:tabs>
              <w:tab w:val="right" w:leader="dot" w:pos="9062"/>
            </w:tabs>
            <w:rPr>
              <w:rFonts w:eastAsiaTheme="minorEastAsia"/>
              <w:noProof/>
              <w:lang w:eastAsia="pl-PL"/>
            </w:rPr>
          </w:pPr>
          <w:hyperlink w:anchor="_Toc450562526" w:history="1">
            <w:r w:rsidRPr="00EA2FA8">
              <w:rPr>
                <w:rStyle w:val="Hipercze"/>
                <w:rFonts w:eastAsiaTheme="majorEastAsia"/>
                <w:noProof/>
              </w:rPr>
              <w:t>7.1. INSTRUMENTY FINANSOWANIA PROGRAMU REWITALIZACJI</w:t>
            </w:r>
            <w:r>
              <w:rPr>
                <w:noProof/>
                <w:webHidden/>
              </w:rPr>
              <w:tab/>
            </w:r>
            <w:r>
              <w:rPr>
                <w:noProof/>
                <w:webHidden/>
              </w:rPr>
              <w:fldChar w:fldCharType="begin"/>
            </w:r>
            <w:r>
              <w:rPr>
                <w:noProof/>
                <w:webHidden/>
              </w:rPr>
              <w:instrText xml:space="preserve"> PAGEREF _Toc450562526 \h </w:instrText>
            </w:r>
            <w:r>
              <w:rPr>
                <w:noProof/>
                <w:webHidden/>
              </w:rPr>
            </w:r>
            <w:r>
              <w:rPr>
                <w:noProof/>
                <w:webHidden/>
              </w:rPr>
              <w:fldChar w:fldCharType="separate"/>
            </w:r>
            <w:r>
              <w:rPr>
                <w:noProof/>
                <w:webHidden/>
              </w:rPr>
              <w:t>167</w:t>
            </w:r>
            <w:r>
              <w:rPr>
                <w:noProof/>
                <w:webHidden/>
              </w:rPr>
              <w:fldChar w:fldCharType="end"/>
            </w:r>
          </w:hyperlink>
        </w:p>
        <w:p w:rsidR="00D12A69" w:rsidRDefault="00D12A69">
          <w:pPr>
            <w:pStyle w:val="Spistreci2"/>
            <w:tabs>
              <w:tab w:val="left" w:pos="880"/>
              <w:tab w:val="right" w:leader="dot" w:pos="9062"/>
            </w:tabs>
            <w:rPr>
              <w:rFonts w:eastAsiaTheme="minorEastAsia"/>
              <w:noProof/>
              <w:lang w:eastAsia="pl-PL"/>
            </w:rPr>
          </w:pPr>
          <w:hyperlink w:anchor="_Toc450562527" w:history="1">
            <w:r w:rsidRPr="00EA2FA8">
              <w:rPr>
                <w:rStyle w:val="Hipercze"/>
                <w:rFonts w:eastAsiaTheme="majorEastAsia"/>
                <w:noProof/>
              </w:rPr>
              <w:t>7.2.</w:t>
            </w:r>
            <w:r>
              <w:rPr>
                <w:rFonts w:eastAsiaTheme="minorEastAsia"/>
                <w:noProof/>
                <w:lang w:eastAsia="pl-PL"/>
              </w:rPr>
              <w:tab/>
            </w:r>
            <w:r w:rsidRPr="00EA2FA8">
              <w:rPr>
                <w:rStyle w:val="Hipercze"/>
                <w:rFonts w:eastAsiaTheme="majorEastAsia"/>
                <w:noProof/>
              </w:rPr>
              <w:t>FINANSOWANIE INWESTYCJI W OPARCIU O PARTNERSTWO PUBLICZNO-PRYWATNE (PPP)</w:t>
            </w:r>
            <w:r>
              <w:rPr>
                <w:noProof/>
                <w:webHidden/>
              </w:rPr>
              <w:tab/>
            </w:r>
            <w:r>
              <w:rPr>
                <w:noProof/>
                <w:webHidden/>
              </w:rPr>
              <w:fldChar w:fldCharType="begin"/>
            </w:r>
            <w:r>
              <w:rPr>
                <w:noProof/>
                <w:webHidden/>
              </w:rPr>
              <w:instrText xml:space="preserve"> PAGEREF _Toc450562527 \h </w:instrText>
            </w:r>
            <w:r>
              <w:rPr>
                <w:noProof/>
                <w:webHidden/>
              </w:rPr>
            </w:r>
            <w:r>
              <w:rPr>
                <w:noProof/>
                <w:webHidden/>
              </w:rPr>
              <w:fldChar w:fldCharType="separate"/>
            </w:r>
            <w:r>
              <w:rPr>
                <w:noProof/>
                <w:webHidden/>
              </w:rPr>
              <w:t>172</w:t>
            </w:r>
            <w:r>
              <w:rPr>
                <w:noProof/>
                <w:webHidden/>
              </w:rPr>
              <w:fldChar w:fldCharType="end"/>
            </w:r>
          </w:hyperlink>
        </w:p>
        <w:p w:rsidR="00D12A69" w:rsidRDefault="00D12A69">
          <w:pPr>
            <w:pStyle w:val="Spistreci2"/>
            <w:tabs>
              <w:tab w:val="right" w:leader="dot" w:pos="9062"/>
            </w:tabs>
            <w:rPr>
              <w:rFonts w:eastAsiaTheme="minorEastAsia"/>
              <w:noProof/>
              <w:lang w:eastAsia="pl-PL"/>
            </w:rPr>
          </w:pPr>
          <w:hyperlink w:anchor="_Toc450562528" w:history="1">
            <w:r w:rsidRPr="00EA2FA8">
              <w:rPr>
                <w:rStyle w:val="Hipercze"/>
                <w:rFonts w:eastAsia="SimSun"/>
                <w:noProof/>
              </w:rPr>
              <w:t>7.3. ŹRÓDŁA FINANSOWANIA INWESTYCJI W GPR GMINY MIRZEC</w:t>
            </w:r>
            <w:r>
              <w:rPr>
                <w:noProof/>
                <w:webHidden/>
              </w:rPr>
              <w:tab/>
            </w:r>
            <w:r>
              <w:rPr>
                <w:noProof/>
                <w:webHidden/>
              </w:rPr>
              <w:fldChar w:fldCharType="begin"/>
            </w:r>
            <w:r>
              <w:rPr>
                <w:noProof/>
                <w:webHidden/>
              </w:rPr>
              <w:instrText xml:space="preserve"> PAGEREF _Toc450562528 \h </w:instrText>
            </w:r>
            <w:r>
              <w:rPr>
                <w:noProof/>
                <w:webHidden/>
              </w:rPr>
            </w:r>
            <w:r>
              <w:rPr>
                <w:noProof/>
                <w:webHidden/>
              </w:rPr>
              <w:fldChar w:fldCharType="separate"/>
            </w:r>
            <w:r>
              <w:rPr>
                <w:noProof/>
                <w:webHidden/>
              </w:rPr>
              <w:t>177</w:t>
            </w:r>
            <w:r>
              <w:rPr>
                <w:noProof/>
                <w:webHidden/>
              </w:rPr>
              <w:fldChar w:fldCharType="end"/>
            </w:r>
          </w:hyperlink>
        </w:p>
        <w:p w:rsidR="00D12A69" w:rsidRDefault="00D12A69">
          <w:pPr>
            <w:pStyle w:val="Spistreci2"/>
            <w:tabs>
              <w:tab w:val="right" w:leader="dot" w:pos="9062"/>
            </w:tabs>
            <w:rPr>
              <w:rFonts w:eastAsiaTheme="minorEastAsia"/>
              <w:noProof/>
              <w:lang w:eastAsia="pl-PL"/>
            </w:rPr>
          </w:pPr>
          <w:hyperlink w:anchor="_Toc450562529" w:history="1">
            <w:r w:rsidRPr="00EA2FA8">
              <w:rPr>
                <w:rStyle w:val="Hipercze"/>
                <w:rFonts w:eastAsiaTheme="majorEastAsia"/>
                <w:noProof/>
              </w:rPr>
              <w:t>ROZDZIAŁ VIII</w:t>
            </w:r>
            <w:r>
              <w:rPr>
                <w:noProof/>
                <w:webHidden/>
              </w:rPr>
              <w:tab/>
            </w:r>
            <w:r>
              <w:rPr>
                <w:noProof/>
                <w:webHidden/>
              </w:rPr>
              <w:fldChar w:fldCharType="begin"/>
            </w:r>
            <w:r>
              <w:rPr>
                <w:noProof/>
                <w:webHidden/>
              </w:rPr>
              <w:instrText xml:space="preserve"> PAGEREF _Toc450562529 \h </w:instrText>
            </w:r>
            <w:r>
              <w:rPr>
                <w:noProof/>
                <w:webHidden/>
              </w:rPr>
            </w:r>
            <w:r>
              <w:rPr>
                <w:noProof/>
                <w:webHidden/>
              </w:rPr>
              <w:fldChar w:fldCharType="separate"/>
            </w:r>
            <w:r>
              <w:rPr>
                <w:noProof/>
                <w:webHidden/>
              </w:rPr>
              <w:t>179</w:t>
            </w:r>
            <w:r>
              <w:rPr>
                <w:noProof/>
                <w:webHidden/>
              </w:rPr>
              <w:fldChar w:fldCharType="end"/>
            </w:r>
          </w:hyperlink>
        </w:p>
        <w:p w:rsidR="00D12A69" w:rsidRDefault="00D12A69">
          <w:pPr>
            <w:pStyle w:val="Spistreci2"/>
            <w:tabs>
              <w:tab w:val="right" w:leader="dot" w:pos="9062"/>
            </w:tabs>
            <w:rPr>
              <w:rFonts w:eastAsiaTheme="minorEastAsia"/>
              <w:noProof/>
              <w:lang w:eastAsia="pl-PL"/>
            </w:rPr>
          </w:pPr>
          <w:hyperlink w:anchor="_Toc450562530" w:history="1">
            <w:r w:rsidRPr="00EA2FA8">
              <w:rPr>
                <w:rStyle w:val="Hipercze"/>
                <w:noProof/>
              </w:rPr>
              <w:t>MECHANIZMY WŁĄCZENIA MIESZKAŃCÓW, PRZEDSIĘBIORCÓW I INNYCH PODMIOTÓW I GRUP AKTYWNYCH NA TERENIE GMINY W PROCES REWITALIZACJI</w:t>
            </w:r>
            <w:r>
              <w:rPr>
                <w:noProof/>
                <w:webHidden/>
              </w:rPr>
              <w:tab/>
            </w:r>
            <w:r>
              <w:rPr>
                <w:noProof/>
                <w:webHidden/>
              </w:rPr>
              <w:fldChar w:fldCharType="begin"/>
            </w:r>
            <w:r>
              <w:rPr>
                <w:noProof/>
                <w:webHidden/>
              </w:rPr>
              <w:instrText xml:space="preserve"> PAGEREF _Toc450562530 \h </w:instrText>
            </w:r>
            <w:r>
              <w:rPr>
                <w:noProof/>
                <w:webHidden/>
              </w:rPr>
            </w:r>
            <w:r>
              <w:rPr>
                <w:noProof/>
                <w:webHidden/>
              </w:rPr>
              <w:fldChar w:fldCharType="separate"/>
            </w:r>
            <w:r>
              <w:rPr>
                <w:noProof/>
                <w:webHidden/>
              </w:rPr>
              <w:t>179</w:t>
            </w:r>
            <w:r>
              <w:rPr>
                <w:noProof/>
                <w:webHidden/>
              </w:rPr>
              <w:fldChar w:fldCharType="end"/>
            </w:r>
          </w:hyperlink>
        </w:p>
        <w:p w:rsidR="00D12A69" w:rsidRDefault="00D12A69">
          <w:pPr>
            <w:pStyle w:val="Spistreci2"/>
            <w:tabs>
              <w:tab w:val="right" w:leader="dot" w:pos="9062"/>
            </w:tabs>
            <w:rPr>
              <w:rFonts w:eastAsiaTheme="minorEastAsia"/>
              <w:noProof/>
              <w:lang w:eastAsia="pl-PL"/>
            </w:rPr>
          </w:pPr>
          <w:hyperlink w:anchor="_Toc450562531" w:history="1">
            <w:r w:rsidRPr="00EA2FA8">
              <w:rPr>
                <w:rStyle w:val="Hipercze"/>
                <w:rFonts w:eastAsia="SimSun"/>
                <w:noProof/>
                <w:lang w:eastAsia="zh-CN" w:bidi="hi-IN"/>
              </w:rPr>
              <w:t>8.1. PODSUMOWANIE KONSULTACJI SPOŁECZNYCH.</w:t>
            </w:r>
            <w:r>
              <w:rPr>
                <w:noProof/>
                <w:webHidden/>
              </w:rPr>
              <w:tab/>
            </w:r>
            <w:r>
              <w:rPr>
                <w:noProof/>
                <w:webHidden/>
              </w:rPr>
              <w:fldChar w:fldCharType="begin"/>
            </w:r>
            <w:r>
              <w:rPr>
                <w:noProof/>
                <w:webHidden/>
              </w:rPr>
              <w:instrText xml:space="preserve"> PAGEREF _Toc450562531 \h </w:instrText>
            </w:r>
            <w:r>
              <w:rPr>
                <w:noProof/>
                <w:webHidden/>
              </w:rPr>
            </w:r>
            <w:r>
              <w:rPr>
                <w:noProof/>
                <w:webHidden/>
              </w:rPr>
              <w:fldChar w:fldCharType="separate"/>
            </w:r>
            <w:r>
              <w:rPr>
                <w:noProof/>
                <w:webHidden/>
              </w:rPr>
              <w:t>179</w:t>
            </w:r>
            <w:r>
              <w:rPr>
                <w:noProof/>
                <w:webHidden/>
              </w:rPr>
              <w:fldChar w:fldCharType="end"/>
            </w:r>
          </w:hyperlink>
        </w:p>
        <w:p w:rsidR="00D12A69" w:rsidRDefault="00D12A69">
          <w:pPr>
            <w:pStyle w:val="Spistreci2"/>
            <w:tabs>
              <w:tab w:val="right" w:leader="dot" w:pos="9062"/>
            </w:tabs>
            <w:rPr>
              <w:rFonts w:eastAsiaTheme="minorEastAsia"/>
              <w:noProof/>
              <w:lang w:eastAsia="pl-PL"/>
            </w:rPr>
          </w:pPr>
          <w:hyperlink w:anchor="_Toc450562532" w:history="1">
            <w:r w:rsidRPr="00EA2FA8">
              <w:rPr>
                <w:rStyle w:val="Hipercze"/>
                <w:noProof/>
              </w:rPr>
              <w:t>ROZDZIAŁ IX</w:t>
            </w:r>
            <w:r>
              <w:rPr>
                <w:noProof/>
                <w:webHidden/>
              </w:rPr>
              <w:tab/>
            </w:r>
            <w:r>
              <w:rPr>
                <w:noProof/>
                <w:webHidden/>
              </w:rPr>
              <w:fldChar w:fldCharType="begin"/>
            </w:r>
            <w:r>
              <w:rPr>
                <w:noProof/>
                <w:webHidden/>
              </w:rPr>
              <w:instrText xml:space="preserve"> PAGEREF _Toc450562532 \h </w:instrText>
            </w:r>
            <w:r>
              <w:rPr>
                <w:noProof/>
                <w:webHidden/>
              </w:rPr>
            </w:r>
            <w:r>
              <w:rPr>
                <w:noProof/>
                <w:webHidden/>
              </w:rPr>
              <w:fldChar w:fldCharType="separate"/>
            </w:r>
            <w:r>
              <w:rPr>
                <w:noProof/>
                <w:webHidden/>
              </w:rPr>
              <w:t>185</w:t>
            </w:r>
            <w:r>
              <w:rPr>
                <w:noProof/>
                <w:webHidden/>
              </w:rPr>
              <w:fldChar w:fldCharType="end"/>
            </w:r>
          </w:hyperlink>
        </w:p>
        <w:p w:rsidR="00D12A69" w:rsidRDefault="00D12A69">
          <w:pPr>
            <w:pStyle w:val="Spistreci2"/>
            <w:tabs>
              <w:tab w:val="right" w:leader="dot" w:pos="9062"/>
            </w:tabs>
            <w:rPr>
              <w:rFonts w:eastAsiaTheme="minorEastAsia"/>
              <w:noProof/>
              <w:lang w:eastAsia="pl-PL"/>
            </w:rPr>
          </w:pPr>
          <w:hyperlink w:anchor="_Toc450562533" w:history="1">
            <w:r w:rsidRPr="00EA2FA8">
              <w:rPr>
                <w:rStyle w:val="Hipercze"/>
                <w:noProof/>
              </w:rPr>
              <w:t>SYSTEM WDRAŻANIA GPR GMINYMIRZEC</w:t>
            </w:r>
            <w:r>
              <w:rPr>
                <w:noProof/>
                <w:webHidden/>
              </w:rPr>
              <w:tab/>
            </w:r>
            <w:r>
              <w:rPr>
                <w:noProof/>
                <w:webHidden/>
              </w:rPr>
              <w:fldChar w:fldCharType="begin"/>
            </w:r>
            <w:r>
              <w:rPr>
                <w:noProof/>
                <w:webHidden/>
              </w:rPr>
              <w:instrText xml:space="preserve"> PAGEREF _Toc450562533 \h </w:instrText>
            </w:r>
            <w:r>
              <w:rPr>
                <w:noProof/>
                <w:webHidden/>
              </w:rPr>
            </w:r>
            <w:r>
              <w:rPr>
                <w:noProof/>
                <w:webHidden/>
              </w:rPr>
              <w:fldChar w:fldCharType="separate"/>
            </w:r>
            <w:r>
              <w:rPr>
                <w:noProof/>
                <w:webHidden/>
              </w:rPr>
              <w:t>185</w:t>
            </w:r>
            <w:r>
              <w:rPr>
                <w:noProof/>
                <w:webHidden/>
              </w:rPr>
              <w:fldChar w:fldCharType="end"/>
            </w:r>
          </w:hyperlink>
        </w:p>
        <w:p w:rsidR="00D12A69" w:rsidRDefault="00D12A69">
          <w:pPr>
            <w:pStyle w:val="Spistreci2"/>
            <w:tabs>
              <w:tab w:val="right" w:leader="dot" w:pos="9062"/>
            </w:tabs>
            <w:rPr>
              <w:rFonts w:eastAsiaTheme="minorEastAsia"/>
              <w:noProof/>
              <w:lang w:eastAsia="pl-PL"/>
            </w:rPr>
          </w:pPr>
          <w:hyperlink w:anchor="_Toc450562534" w:history="1">
            <w:r w:rsidRPr="00EA2FA8">
              <w:rPr>
                <w:rStyle w:val="Hipercze"/>
                <w:noProof/>
              </w:rPr>
              <w:t>ROZDZIAŁ X</w:t>
            </w:r>
            <w:r>
              <w:rPr>
                <w:noProof/>
                <w:webHidden/>
              </w:rPr>
              <w:tab/>
            </w:r>
            <w:r>
              <w:rPr>
                <w:noProof/>
                <w:webHidden/>
              </w:rPr>
              <w:fldChar w:fldCharType="begin"/>
            </w:r>
            <w:r>
              <w:rPr>
                <w:noProof/>
                <w:webHidden/>
              </w:rPr>
              <w:instrText xml:space="preserve"> PAGEREF _Toc450562534 \h </w:instrText>
            </w:r>
            <w:r>
              <w:rPr>
                <w:noProof/>
                <w:webHidden/>
              </w:rPr>
            </w:r>
            <w:r>
              <w:rPr>
                <w:noProof/>
                <w:webHidden/>
              </w:rPr>
              <w:fldChar w:fldCharType="separate"/>
            </w:r>
            <w:r>
              <w:rPr>
                <w:noProof/>
                <w:webHidden/>
              </w:rPr>
              <w:t>187</w:t>
            </w:r>
            <w:r>
              <w:rPr>
                <w:noProof/>
                <w:webHidden/>
              </w:rPr>
              <w:fldChar w:fldCharType="end"/>
            </w:r>
          </w:hyperlink>
        </w:p>
        <w:p w:rsidR="00D12A69" w:rsidRDefault="00D12A69">
          <w:pPr>
            <w:pStyle w:val="Spistreci2"/>
            <w:tabs>
              <w:tab w:val="right" w:leader="dot" w:pos="9062"/>
            </w:tabs>
            <w:rPr>
              <w:rFonts w:eastAsiaTheme="minorEastAsia"/>
              <w:noProof/>
              <w:lang w:eastAsia="pl-PL"/>
            </w:rPr>
          </w:pPr>
          <w:hyperlink w:anchor="_Toc450562535" w:history="1">
            <w:r w:rsidRPr="00EA2FA8">
              <w:rPr>
                <w:rStyle w:val="Hipercze"/>
                <w:noProof/>
              </w:rPr>
              <w:t>ZARZĄDZANIE, MONITORING, EWALUACJA I GPR MIRZEC</w:t>
            </w:r>
            <w:r>
              <w:rPr>
                <w:noProof/>
                <w:webHidden/>
              </w:rPr>
              <w:tab/>
            </w:r>
            <w:r>
              <w:rPr>
                <w:noProof/>
                <w:webHidden/>
              </w:rPr>
              <w:fldChar w:fldCharType="begin"/>
            </w:r>
            <w:r>
              <w:rPr>
                <w:noProof/>
                <w:webHidden/>
              </w:rPr>
              <w:instrText xml:space="preserve"> PAGEREF _Toc450562535 \h </w:instrText>
            </w:r>
            <w:r>
              <w:rPr>
                <w:noProof/>
                <w:webHidden/>
              </w:rPr>
            </w:r>
            <w:r>
              <w:rPr>
                <w:noProof/>
                <w:webHidden/>
              </w:rPr>
              <w:fldChar w:fldCharType="separate"/>
            </w:r>
            <w:r>
              <w:rPr>
                <w:noProof/>
                <w:webHidden/>
              </w:rPr>
              <w:t>187</w:t>
            </w:r>
            <w:r>
              <w:rPr>
                <w:noProof/>
                <w:webHidden/>
              </w:rPr>
              <w:fldChar w:fldCharType="end"/>
            </w:r>
          </w:hyperlink>
        </w:p>
        <w:p w:rsidR="00D12A69" w:rsidRDefault="00D12A69">
          <w:pPr>
            <w:pStyle w:val="Spistreci2"/>
            <w:tabs>
              <w:tab w:val="right" w:leader="dot" w:pos="9062"/>
            </w:tabs>
            <w:rPr>
              <w:rFonts w:eastAsiaTheme="minorEastAsia"/>
              <w:noProof/>
              <w:lang w:eastAsia="pl-PL"/>
            </w:rPr>
          </w:pPr>
          <w:hyperlink w:anchor="_Toc450562536" w:history="1">
            <w:r w:rsidRPr="00EA2FA8">
              <w:rPr>
                <w:rStyle w:val="Hipercze"/>
                <w:rFonts w:eastAsiaTheme="majorEastAsia"/>
                <w:noProof/>
              </w:rPr>
              <w:t>BIBLIOGRAFIA</w:t>
            </w:r>
            <w:r>
              <w:rPr>
                <w:noProof/>
                <w:webHidden/>
              </w:rPr>
              <w:tab/>
            </w:r>
            <w:r>
              <w:rPr>
                <w:noProof/>
                <w:webHidden/>
              </w:rPr>
              <w:fldChar w:fldCharType="begin"/>
            </w:r>
            <w:r>
              <w:rPr>
                <w:noProof/>
                <w:webHidden/>
              </w:rPr>
              <w:instrText xml:space="preserve"> PAGEREF _Toc450562536 \h </w:instrText>
            </w:r>
            <w:r>
              <w:rPr>
                <w:noProof/>
                <w:webHidden/>
              </w:rPr>
            </w:r>
            <w:r>
              <w:rPr>
                <w:noProof/>
                <w:webHidden/>
              </w:rPr>
              <w:fldChar w:fldCharType="separate"/>
            </w:r>
            <w:r>
              <w:rPr>
                <w:noProof/>
                <w:webHidden/>
              </w:rPr>
              <w:t>191</w:t>
            </w:r>
            <w:r>
              <w:rPr>
                <w:noProof/>
                <w:webHidden/>
              </w:rPr>
              <w:fldChar w:fldCharType="end"/>
            </w:r>
          </w:hyperlink>
        </w:p>
        <w:p w:rsidR="008903A4" w:rsidRDefault="001B3CFD">
          <w:r>
            <w:rPr>
              <w:b/>
              <w:bCs/>
            </w:rPr>
            <w:fldChar w:fldCharType="end"/>
          </w:r>
        </w:p>
      </w:sdtContent>
    </w:sdt>
    <w:p w:rsidR="00A76BDB" w:rsidRDefault="00A76BDB" w:rsidP="00A76BDB">
      <w:pPr>
        <w:rPr>
          <w:rFonts w:asciiTheme="majorHAnsi" w:eastAsiaTheme="majorEastAsia" w:hAnsiTheme="majorHAnsi" w:cstheme="majorBidi"/>
          <w:color w:val="17365D" w:themeColor="text2" w:themeShade="BF"/>
          <w:spacing w:val="5"/>
          <w:kern w:val="28"/>
          <w:sz w:val="52"/>
          <w:szCs w:val="52"/>
        </w:rPr>
      </w:pPr>
      <w:r>
        <w:br w:type="page"/>
      </w:r>
    </w:p>
    <w:p w:rsidR="00BC2E09" w:rsidRDefault="00BC2E09" w:rsidP="00BC2E09">
      <w:pPr>
        <w:pStyle w:val="Nagwek2"/>
        <w:rPr>
          <w:rStyle w:val="Tytuksiki"/>
          <w:b/>
          <w:bCs/>
          <w:smallCaps w:val="0"/>
          <w:spacing w:val="0"/>
          <w:sz w:val="52"/>
        </w:rPr>
        <w:sectPr w:rsidR="00BC2E09" w:rsidSect="00A76BDB">
          <w:headerReference w:type="default" r:id="rId9"/>
          <w:footerReference w:type="default" r:id="rId10"/>
          <w:pgSz w:w="11906" w:h="16838"/>
          <w:pgMar w:top="1417" w:right="1417" w:bottom="1417" w:left="1417" w:header="708" w:footer="708" w:gutter="0"/>
          <w:cols w:space="708"/>
          <w:docGrid w:linePitch="360"/>
        </w:sectPr>
      </w:pPr>
      <w:bookmarkStart w:id="0" w:name="_Toc449963522"/>
    </w:p>
    <w:p w:rsidR="00BC2E09" w:rsidRDefault="00BC2E09" w:rsidP="00BC2E09">
      <w:pPr>
        <w:pStyle w:val="Nagwek2"/>
        <w:rPr>
          <w:rStyle w:val="Tytuksiki"/>
          <w:b/>
          <w:bCs/>
          <w:smallCaps w:val="0"/>
          <w:spacing w:val="0"/>
          <w:sz w:val="52"/>
        </w:rPr>
        <w:sectPr w:rsidR="00BC2E09" w:rsidSect="00A76BDB">
          <w:pgSz w:w="11906" w:h="16838"/>
          <w:pgMar w:top="1417" w:right="1417" w:bottom="1417" w:left="1417" w:header="708" w:footer="708" w:gutter="0"/>
          <w:cols w:space="708"/>
          <w:docGrid w:linePitch="360"/>
        </w:sectPr>
      </w:pPr>
      <w:bookmarkStart w:id="1" w:name="_GoBack"/>
      <w:bookmarkEnd w:id="1"/>
    </w:p>
    <w:p w:rsidR="008903A4" w:rsidRPr="00BC2E09" w:rsidRDefault="00A6085B" w:rsidP="00BC2E09">
      <w:pPr>
        <w:pStyle w:val="Nagwek2"/>
        <w:rPr>
          <w:rStyle w:val="Tytuksiki"/>
          <w:b/>
          <w:bCs/>
          <w:smallCaps w:val="0"/>
          <w:spacing w:val="0"/>
          <w:sz w:val="52"/>
        </w:rPr>
      </w:pPr>
      <w:bookmarkStart w:id="2" w:name="_Toc450562464"/>
      <w:r w:rsidRPr="00BC2E09">
        <w:rPr>
          <w:rStyle w:val="Tytuksiki"/>
          <w:b/>
          <w:bCs/>
          <w:smallCaps w:val="0"/>
          <w:spacing w:val="0"/>
          <w:sz w:val="52"/>
        </w:rPr>
        <w:lastRenderedPageBreak/>
        <w:t>ROZDZIAŁ I</w:t>
      </w:r>
      <w:bookmarkEnd w:id="0"/>
      <w:bookmarkEnd w:id="2"/>
      <w:r w:rsidR="008903A4" w:rsidRPr="00BC2E09">
        <w:rPr>
          <w:rStyle w:val="Tytuksiki"/>
          <w:b/>
          <w:bCs/>
          <w:smallCaps w:val="0"/>
          <w:spacing w:val="0"/>
          <w:sz w:val="52"/>
        </w:rPr>
        <w:t xml:space="preserve"> </w:t>
      </w:r>
    </w:p>
    <w:p w:rsidR="00A6085B" w:rsidRPr="008903A4" w:rsidRDefault="00A6085B" w:rsidP="00A76BDB">
      <w:pPr>
        <w:pStyle w:val="Nagwek2"/>
        <w:rPr>
          <w:smallCaps/>
          <w:spacing w:val="5"/>
        </w:rPr>
      </w:pPr>
      <w:bookmarkStart w:id="3" w:name="_Toc449963523"/>
      <w:bookmarkStart w:id="4" w:name="_Toc450562465"/>
      <w:r w:rsidRPr="008903A4">
        <w:rPr>
          <w:rFonts w:eastAsiaTheme="minorEastAsia"/>
        </w:rPr>
        <w:t>WPROWADZENIE</w:t>
      </w:r>
      <w:bookmarkEnd w:id="3"/>
      <w:bookmarkEnd w:id="4"/>
    </w:p>
    <w:p w:rsidR="00A6085B" w:rsidRDefault="00A6085B" w:rsidP="00A76BDB">
      <w:pPr>
        <w:pStyle w:val="Nagwek2"/>
        <w:rPr>
          <w:rFonts w:eastAsiaTheme="minorEastAsia"/>
          <w:lang w:eastAsia="pl-PL"/>
        </w:rPr>
      </w:pPr>
      <w:bookmarkStart w:id="5" w:name="_Toc449963524"/>
      <w:bookmarkStart w:id="6" w:name="_Toc450562466"/>
      <w:r w:rsidRPr="00A6085B">
        <w:rPr>
          <w:rFonts w:eastAsiaTheme="minorEastAsia"/>
          <w:lang w:eastAsia="pl-PL"/>
        </w:rPr>
        <w:t>1.1. UWARUNKOWANIA PRAWNE I PODSTAWOWE DEFINICJE DOTYCZĄCE REWITALIZACJI.</w:t>
      </w:r>
      <w:bookmarkEnd w:id="5"/>
      <w:bookmarkEnd w:id="6"/>
    </w:p>
    <w:p w:rsidR="00A76BDB" w:rsidRPr="00A76BDB" w:rsidRDefault="00A76BDB" w:rsidP="00A76BDB">
      <w:pPr>
        <w:rPr>
          <w:lang w:eastAsia="pl-PL"/>
        </w:rPr>
      </w:pPr>
    </w:p>
    <w:p w:rsidR="00A6085B" w:rsidRPr="00A6085B" w:rsidRDefault="00A6085B" w:rsidP="00A6085B">
      <w:pPr>
        <w:jc w:val="both"/>
        <w:rPr>
          <w:rFonts w:eastAsia="Times New Roman" w:cs="Times New Roman"/>
          <w:lang w:eastAsia="pl-PL"/>
        </w:rPr>
      </w:pPr>
      <w:r w:rsidRPr="00A6085B">
        <w:rPr>
          <w:rFonts w:eastAsia="Times New Roman" w:cs="Times New Roman"/>
          <w:b/>
          <w:lang w:eastAsia="pl-PL"/>
        </w:rPr>
        <w:t>Rewitalizacja</w:t>
      </w:r>
      <w:r w:rsidRPr="00A6085B">
        <w:rPr>
          <w:rFonts w:eastAsia="Times New Roman" w:cs="Times New Roman"/>
          <w:lang w:eastAsia="pl-PL"/>
        </w:rPr>
        <w:t xml:space="preserve"> stanowi proces wyprowadzania ze stanu kryzysowego obszarów zdegradowanych, prowadzonych w sposób kompleksowy, poprzez zintegrowane działania na rzecz lokalnej społeczności, przestrzeni i gospodarki, skoncentrowane terytorialnie i prowadzone przez interesariuszy rewitalizacji na podstawie </w:t>
      </w:r>
      <w:r w:rsidR="00D31D10">
        <w:rPr>
          <w:rFonts w:eastAsia="Times New Roman" w:cs="Times New Roman"/>
          <w:lang w:eastAsia="pl-PL"/>
        </w:rPr>
        <w:t>G</w:t>
      </w:r>
      <w:r w:rsidRPr="00A6085B">
        <w:rPr>
          <w:rFonts w:eastAsia="Times New Roman" w:cs="Times New Roman"/>
          <w:lang w:eastAsia="pl-PL"/>
        </w:rPr>
        <w:t xml:space="preserve">minnego </w:t>
      </w:r>
      <w:r w:rsidR="00D31D10">
        <w:rPr>
          <w:rFonts w:eastAsia="Times New Roman" w:cs="Times New Roman"/>
          <w:lang w:eastAsia="pl-PL"/>
        </w:rPr>
        <w:t>P</w:t>
      </w:r>
      <w:r w:rsidRPr="00A6085B">
        <w:rPr>
          <w:rFonts w:eastAsia="Times New Roman" w:cs="Times New Roman"/>
          <w:lang w:eastAsia="pl-PL"/>
        </w:rPr>
        <w:t>rogram rewitalizacji</w:t>
      </w:r>
      <w:r w:rsidRPr="00A6085B">
        <w:rPr>
          <w:rFonts w:eastAsia="Times New Roman" w:cs="Times New Roman"/>
          <w:vertAlign w:val="superscript"/>
          <w:lang w:eastAsia="pl-PL"/>
        </w:rPr>
        <w:footnoteReference w:id="1"/>
      </w:r>
      <w:r w:rsidRPr="00A6085B">
        <w:rPr>
          <w:rFonts w:eastAsia="Times New Roman" w:cs="Times New Roman"/>
          <w:lang w:eastAsia="pl-PL"/>
        </w:rPr>
        <w:t xml:space="preserve">. </w:t>
      </w:r>
    </w:p>
    <w:p w:rsidR="00A6085B" w:rsidRPr="00A6085B" w:rsidRDefault="00A6085B" w:rsidP="00A6085B">
      <w:pPr>
        <w:jc w:val="both"/>
        <w:rPr>
          <w:rFonts w:eastAsia="Times New Roman" w:cs="Times New Roman"/>
          <w:lang w:eastAsia="pl-PL"/>
        </w:rPr>
      </w:pPr>
      <w:r w:rsidRPr="00A6085B">
        <w:rPr>
          <w:rFonts w:eastAsia="Times New Roman" w:cs="Times New Roman"/>
          <w:b/>
          <w:lang w:eastAsia="pl-PL"/>
        </w:rPr>
        <w:t>Rewitalizacja</w:t>
      </w:r>
      <w:r w:rsidRPr="00A6085B">
        <w:rPr>
          <w:rFonts w:eastAsia="Times New Roman" w:cs="Times New Roman"/>
          <w:lang w:eastAsia="pl-PL"/>
        </w:rPr>
        <w:t xml:space="preserve"> zakłada optymalne wykorzystanie specyficznych uwarunkowań danego obszaru oraz wzmacnianie jego lokalnych potencjałów w tym także kulturowych.</w:t>
      </w:r>
    </w:p>
    <w:p w:rsidR="00A6085B" w:rsidRPr="00A6085B" w:rsidRDefault="00A6085B" w:rsidP="00A6085B">
      <w:pPr>
        <w:jc w:val="both"/>
        <w:rPr>
          <w:rFonts w:eastAsia="Times New Roman" w:cs="Times New Roman"/>
          <w:b/>
          <w:lang w:eastAsia="pl-PL"/>
        </w:rPr>
      </w:pPr>
      <w:r w:rsidRPr="00A6085B">
        <w:rPr>
          <w:rFonts w:eastAsia="Times New Roman" w:cs="Times New Roman"/>
          <w:b/>
          <w:lang w:eastAsia="pl-PL"/>
        </w:rPr>
        <w:t>Gmina przygotowuje, koordynuje i tworzy warunki do prowadzenie rewitalizacji, ale rewitalizacja prowadzona jest przez wielu interesariuszy.</w:t>
      </w:r>
    </w:p>
    <w:p w:rsidR="00A6085B" w:rsidRPr="00A6085B" w:rsidRDefault="00A6085B" w:rsidP="00A6085B">
      <w:pPr>
        <w:autoSpaceDE w:val="0"/>
        <w:autoSpaceDN w:val="0"/>
        <w:adjustRightInd w:val="0"/>
        <w:rPr>
          <w:rFonts w:eastAsia="Calibri" w:cs="Times New Roman"/>
          <w:iCs/>
          <w:lang w:eastAsia="pl-PL"/>
        </w:rPr>
      </w:pPr>
      <w:r w:rsidRPr="00A6085B">
        <w:rPr>
          <w:rFonts w:eastAsia="Calibri" w:cs="Times New Roman"/>
          <w:iCs/>
          <w:lang w:eastAsia="pl-PL"/>
        </w:rPr>
        <w:t>Interesariuszami rewitalizacji są w szczególności:</w:t>
      </w:r>
    </w:p>
    <w:p w:rsidR="00A6085B" w:rsidRPr="00A6085B" w:rsidRDefault="00A6085B" w:rsidP="00A6085B">
      <w:pPr>
        <w:numPr>
          <w:ilvl w:val="0"/>
          <w:numId w:val="3"/>
        </w:numPr>
        <w:autoSpaceDE w:val="0"/>
        <w:autoSpaceDN w:val="0"/>
        <w:adjustRightInd w:val="0"/>
        <w:rPr>
          <w:rFonts w:eastAsia="Calibri" w:cs="Times New Roman"/>
          <w:iCs/>
          <w:lang w:eastAsia="pl-PL"/>
        </w:rPr>
      </w:pPr>
      <w:r w:rsidRPr="00A6085B">
        <w:rPr>
          <w:rFonts w:eastAsia="Calibri" w:cs="Times New Roman"/>
          <w:iCs/>
          <w:lang w:eastAsia="pl-PL"/>
        </w:rPr>
        <w:t xml:space="preserve">mieszkańcy obszaru rewitalizacji oraz właściciele, użytkownicy wieczyści nieruchomości </w:t>
      </w:r>
      <w:r w:rsidRPr="00A6085B">
        <w:rPr>
          <w:rFonts w:eastAsia="Calibri" w:cs="Times New Roman"/>
          <w:iCs/>
          <w:lang w:eastAsia="pl-PL"/>
        </w:rPr>
        <w:br/>
        <w:t>i podmioty zarządzające nieruchomościami znajdującymi się na tym obszarze (…);</w:t>
      </w:r>
      <w:r w:rsidRPr="00A6085B">
        <w:rPr>
          <w:rFonts w:eastAsia="Calibri" w:cs="Times New Roman"/>
          <w:iCs/>
          <w:lang w:eastAsia="pl-PL"/>
        </w:rPr>
        <w:tab/>
      </w:r>
    </w:p>
    <w:p w:rsidR="00A6085B" w:rsidRPr="00A6085B" w:rsidRDefault="00A6085B" w:rsidP="00A6085B">
      <w:pPr>
        <w:numPr>
          <w:ilvl w:val="0"/>
          <w:numId w:val="3"/>
        </w:numPr>
        <w:autoSpaceDE w:val="0"/>
        <w:autoSpaceDN w:val="0"/>
        <w:adjustRightInd w:val="0"/>
        <w:rPr>
          <w:rFonts w:eastAsia="Calibri" w:cs="Times New Roman"/>
          <w:iCs/>
          <w:lang w:eastAsia="pl-PL"/>
        </w:rPr>
      </w:pPr>
      <w:r w:rsidRPr="00A6085B">
        <w:rPr>
          <w:rFonts w:eastAsia="Calibri" w:cs="Times New Roman"/>
          <w:iCs/>
          <w:lang w:eastAsia="pl-PL"/>
        </w:rPr>
        <w:t>mieszkańcy gminy inni niż wymienieni w pkt 1;</w:t>
      </w:r>
    </w:p>
    <w:p w:rsidR="00A6085B" w:rsidRPr="00A6085B" w:rsidRDefault="00A6085B" w:rsidP="00A6085B">
      <w:pPr>
        <w:numPr>
          <w:ilvl w:val="0"/>
          <w:numId w:val="3"/>
        </w:numPr>
        <w:autoSpaceDE w:val="0"/>
        <w:autoSpaceDN w:val="0"/>
        <w:adjustRightInd w:val="0"/>
        <w:rPr>
          <w:rFonts w:eastAsia="Calibri" w:cs="Times New Roman"/>
          <w:iCs/>
          <w:lang w:eastAsia="pl-PL"/>
        </w:rPr>
      </w:pPr>
      <w:r w:rsidRPr="00A6085B">
        <w:rPr>
          <w:rFonts w:eastAsia="Calibri" w:cs="Times New Roman"/>
          <w:iCs/>
          <w:lang w:eastAsia="pl-PL"/>
        </w:rPr>
        <w:t>podmioty prowadzące lub zamierzające prowadzić na obszarze gminy działalność gospodarczą;</w:t>
      </w:r>
    </w:p>
    <w:p w:rsidR="00A6085B" w:rsidRPr="00A6085B" w:rsidRDefault="00A6085B" w:rsidP="00A6085B">
      <w:pPr>
        <w:numPr>
          <w:ilvl w:val="0"/>
          <w:numId w:val="3"/>
        </w:numPr>
        <w:autoSpaceDE w:val="0"/>
        <w:autoSpaceDN w:val="0"/>
        <w:adjustRightInd w:val="0"/>
        <w:rPr>
          <w:rFonts w:eastAsia="Calibri" w:cs="Times New Roman"/>
          <w:iCs/>
          <w:lang w:eastAsia="pl-PL"/>
        </w:rPr>
      </w:pPr>
      <w:r w:rsidRPr="00A6085B">
        <w:rPr>
          <w:rFonts w:eastAsia="Calibri" w:cs="Times New Roman"/>
          <w:iCs/>
          <w:lang w:eastAsia="pl-PL"/>
        </w:rPr>
        <w:t>podmioty prowadzące lub zamierzające prowadzić na obszarze gminy działalność społeczną, w tym organizacje pozarządowe i grupy nieformalne;</w:t>
      </w:r>
    </w:p>
    <w:p w:rsidR="00A6085B" w:rsidRPr="00A6085B" w:rsidRDefault="00A6085B" w:rsidP="00A6085B">
      <w:pPr>
        <w:numPr>
          <w:ilvl w:val="0"/>
          <w:numId w:val="3"/>
        </w:numPr>
        <w:autoSpaceDE w:val="0"/>
        <w:autoSpaceDN w:val="0"/>
        <w:adjustRightInd w:val="0"/>
        <w:rPr>
          <w:rFonts w:eastAsia="Calibri" w:cs="Times New Roman"/>
          <w:iCs/>
          <w:lang w:eastAsia="pl-PL"/>
        </w:rPr>
      </w:pPr>
      <w:r w:rsidRPr="00A6085B">
        <w:rPr>
          <w:rFonts w:eastAsia="Calibri" w:cs="Times New Roman"/>
          <w:iCs/>
          <w:lang w:eastAsia="pl-PL"/>
        </w:rPr>
        <w:t>jednostki samorządu terytorialnego i ich jednostki organizacyjne;</w:t>
      </w:r>
    </w:p>
    <w:p w:rsidR="00A6085B" w:rsidRPr="00A6085B" w:rsidRDefault="00A6085B" w:rsidP="00A6085B">
      <w:pPr>
        <w:numPr>
          <w:ilvl w:val="0"/>
          <w:numId w:val="3"/>
        </w:numPr>
        <w:autoSpaceDE w:val="0"/>
        <w:autoSpaceDN w:val="0"/>
        <w:adjustRightInd w:val="0"/>
        <w:rPr>
          <w:rFonts w:eastAsia="Calibri" w:cs="Times New Roman"/>
          <w:iCs/>
          <w:lang w:eastAsia="pl-PL"/>
        </w:rPr>
      </w:pPr>
      <w:r w:rsidRPr="00A6085B">
        <w:rPr>
          <w:rFonts w:eastAsia="Calibri" w:cs="Times New Roman"/>
          <w:iCs/>
          <w:lang w:eastAsia="pl-PL"/>
        </w:rPr>
        <w:t>organy władzy publicznej;</w:t>
      </w:r>
    </w:p>
    <w:p w:rsidR="00A6085B" w:rsidRPr="00A6085B" w:rsidRDefault="00A6085B" w:rsidP="00A6085B">
      <w:pPr>
        <w:numPr>
          <w:ilvl w:val="0"/>
          <w:numId w:val="3"/>
        </w:numPr>
        <w:autoSpaceDE w:val="0"/>
        <w:autoSpaceDN w:val="0"/>
        <w:adjustRightInd w:val="0"/>
        <w:rPr>
          <w:rFonts w:eastAsia="Times New Roman" w:cs="Times New Roman"/>
          <w:b/>
          <w:lang w:eastAsia="pl-PL"/>
        </w:rPr>
      </w:pPr>
      <w:r w:rsidRPr="00A6085B">
        <w:rPr>
          <w:rFonts w:eastAsia="Calibri" w:cs="Times New Roman"/>
          <w:iCs/>
          <w:lang w:eastAsia="pl-PL"/>
        </w:rPr>
        <w:t>podmioty, inne niż wymienione w pkt 6, realizujące na obszarze rewitalizacji uprawnienia Skarbu Państwa.</w:t>
      </w:r>
    </w:p>
    <w:p w:rsidR="00A6085B" w:rsidRPr="00A6085B" w:rsidRDefault="00A6085B" w:rsidP="00A6085B">
      <w:pPr>
        <w:jc w:val="both"/>
        <w:rPr>
          <w:rFonts w:eastAsia="Times New Roman" w:cs="Times New Roman"/>
          <w:lang w:eastAsia="pl-PL"/>
        </w:rPr>
      </w:pPr>
      <w:r w:rsidRPr="00A6085B">
        <w:rPr>
          <w:rFonts w:eastAsia="Times New Roman" w:cs="Times New Roman"/>
          <w:b/>
          <w:lang w:eastAsia="pl-PL"/>
        </w:rPr>
        <w:t>Rewitalizacja</w:t>
      </w:r>
      <w:r w:rsidRPr="00A6085B">
        <w:rPr>
          <w:rFonts w:eastAsia="Times New Roman" w:cs="Times New Roman"/>
          <w:lang w:eastAsia="pl-PL"/>
        </w:rPr>
        <w:t xml:space="preserve"> jest procesem wieloletnim, prowadzonym przez szeroki i otwarty katalog interesariuszy ze szczególnym uwzględnieniem mieszkańców obszaru rewitalizacji.</w:t>
      </w:r>
    </w:p>
    <w:p w:rsidR="00A6085B" w:rsidRPr="00A6085B" w:rsidRDefault="00A6085B" w:rsidP="00A6085B">
      <w:pPr>
        <w:jc w:val="both"/>
        <w:rPr>
          <w:rFonts w:eastAsia="Times New Roman" w:cs="Times New Roman"/>
          <w:lang w:eastAsia="pl-PL"/>
        </w:rPr>
      </w:pPr>
      <w:r w:rsidRPr="00A6085B">
        <w:rPr>
          <w:rFonts w:eastAsia="Times New Roman" w:cs="Times New Roman"/>
          <w:lang w:eastAsia="pl-PL"/>
        </w:rPr>
        <w:t xml:space="preserve">Działania służące wspieraniu procesów rewitalizacji prowadzone są w sposób spójny: wewnętrznie (poszczególne działania pomiędzy sobą) oraz zewnętrznie (z lokalnymi politykami sektorowymi, np. </w:t>
      </w:r>
      <w:r w:rsidRPr="00A6085B">
        <w:rPr>
          <w:rFonts w:eastAsia="Times New Roman" w:cs="Times New Roman"/>
          <w:lang w:eastAsia="pl-PL"/>
        </w:rPr>
        <w:lastRenderedPageBreak/>
        <w:t xml:space="preserve">transportową, energetyczną, celami i kierunkami wynikającymi z dokumentów strategicznych </w:t>
      </w:r>
      <w:r w:rsidRPr="00A6085B">
        <w:rPr>
          <w:rFonts w:eastAsia="Times New Roman" w:cs="Times New Roman"/>
          <w:lang w:eastAsia="pl-PL"/>
        </w:rPr>
        <w:br/>
        <w:t>i planistycznych)</w:t>
      </w:r>
      <w:r w:rsidRPr="00A6085B">
        <w:rPr>
          <w:rFonts w:eastAsia="Times New Roman" w:cs="Times New Roman"/>
          <w:vertAlign w:val="superscript"/>
          <w:lang w:eastAsia="pl-PL"/>
        </w:rPr>
        <w:footnoteReference w:id="2"/>
      </w:r>
      <w:r w:rsidRPr="00A6085B">
        <w:rPr>
          <w:rFonts w:eastAsia="Times New Roman" w:cs="Times New Roman"/>
          <w:lang w:eastAsia="pl-PL"/>
        </w:rPr>
        <w:t>.</w:t>
      </w:r>
    </w:p>
    <w:p w:rsidR="00A6085B" w:rsidRPr="00A6085B" w:rsidRDefault="00A6085B" w:rsidP="00A6085B">
      <w:pPr>
        <w:contextualSpacing/>
        <w:rPr>
          <w:rFonts w:eastAsia="Times New Roman" w:cs="Times New Roman"/>
          <w:b/>
          <w:bCs/>
          <w:lang w:eastAsia="pl-PL"/>
        </w:rPr>
      </w:pPr>
    </w:p>
    <w:p w:rsidR="00A6085B" w:rsidRPr="00A6085B" w:rsidRDefault="00A6085B" w:rsidP="00A76BDB">
      <w:pPr>
        <w:pStyle w:val="Nagwek2"/>
        <w:rPr>
          <w:rFonts w:eastAsiaTheme="minorEastAsia"/>
          <w:lang w:eastAsia="pl-PL"/>
        </w:rPr>
      </w:pPr>
      <w:bookmarkStart w:id="7" w:name="_Toc449963525"/>
      <w:bookmarkStart w:id="8" w:name="_Toc450562467"/>
      <w:r w:rsidRPr="00A6085B">
        <w:rPr>
          <w:rFonts w:eastAsiaTheme="minorEastAsia"/>
          <w:lang w:eastAsia="pl-PL"/>
        </w:rPr>
        <w:t>1.1.1.  NARODOWY PLAN REWITALIZACJI</w:t>
      </w:r>
      <w:bookmarkEnd w:id="7"/>
      <w:bookmarkEnd w:id="8"/>
    </w:p>
    <w:p w:rsidR="00A6085B" w:rsidRPr="00A6085B" w:rsidRDefault="00A6085B" w:rsidP="00A6085B">
      <w:pPr>
        <w:contextualSpacing/>
        <w:rPr>
          <w:rFonts w:eastAsiaTheme="minorEastAsia"/>
          <w:b/>
          <w:bCs/>
          <w:iCs/>
          <w:color w:val="4F81BD" w:themeColor="accent1"/>
          <w:sz w:val="32"/>
          <w:szCs w:val="32"/>
          <w:lang w:eastAsia="pl-PL"/>
        </w:rPr>
      </w:pPr>
    </w:p>
    <w:p w:rsidR="00A6085B" w:rsidRPr="00A6085B" w:rsidRDefault="00A6085B" w:rsidP="00A6085B">
      <w:pPr>
        <w:jc w:val="both"/>
        <w:rPr>
          <w:rFonts w:eastAsia="Times New Roman" w:cs="Times New Roman"/>
          <w:lang w:eastAsia="pl-PL"/>
        </w:rPr>
      </w:pPr>
      <w:r w:rsidRPr="00A6085B">
        <w:rPr>
          <w:rFonts w:eastAsia="Times New Roman" w:cs="Times New Roman"/>
          <w:lang w:eastAsia="pl-PL"/>
        </w:rPr>
        <w:t xml:space="preserve">Ministerstwo Infrastruktury i Rozwoju prowadzi prace nad przygotowaniem systemu wspierania rewitalizacji w Polsce. Jego elementami są m.in., Narodowy Plan Rewitalizacji oraz Wytyczne </w:t>
      </w:r>
      <w:r w:rsidRPr="00A6085B">
        <w:rPr>
          <w:rFonts w:eastAsia="Times New Roman" w:cs="Times New Roman"/>
          <w:lang w:eastAsia="pl-PL"/>
        </w:rPr>
        <w:br/>
        <w:t>w zakresie rewitalizacji w programach operacyjnych na lata 2014-2020.</w:t>
      </w:r>
    </w:p>
    <w:p w:rsidR="00A6085B" w:rsidRPr="00A6085B" w:rsidRDefault="00A6085B" w:rsidP="00A6085B">
      <w:pPr>
        <w:jc w:val="both"/>
        <w:rPr>
          <w:rFonts w:eastAsia="Times New Roman" w:cs="Times New Roman"/>
          <w:lang w:eastAsia="pl-PL"/>
        </w:rPr>
      </w:pPr>
      <w:r w:rsidRPr="00A6085B">
        <w:rPr>
          <w:rFonts w:eastAsia="Times New Roman" w:cs="Times New Roman"/>
          <w:lang w:eastAsia="pl-PL"/>
        </w:rPr>
        <w:t>Działania dotyczące rewitalizacji wpisują się także w szerszy kontekst działań Ministerstwa dotyczących polityki przestrzennej kraju, w szczególności Krajowej Strategii Rozwoju Regionalnego 2010-2020 i Koncepcji Przestrzennego Zagospodarowania Kraju 2030, m.in. w zakresie:</w:t>
      </w:r>
    </w:p>
    <w:p w:rsidR="00A6085B" w:rsidRPr="00A6085B" w:rsidRDefault="00A6085B" w:rsidP="00A6085B">
      <w:pPr>
        <w:numPr>
          <w:ilvl w:val="0"/>
          <w:numId w:val="4"/>
        </w:numPr>
        <w:jc w:val="both"/>
        <w:rPr>
          <w:rFonts w:eastAsia="Times New Roman" w:cs="Times New Roman"/>
          <w:lang w:eastAsia="pl-PL"/>
        </w:rPr>
      </w:pPr>
      <w:r w:rsidRPr="00A6085B">
        <w:rPr>
          <w:rFonts w:eastAsia="Times New Roman" w:cs="Times New Roman"/>
          <w:lang w:eastAsia="pl-PL"/>
        </w:rPr>
        <w:t>przywrócenia i utrwalenia ładu przestrzennego,</w:t>
      </w:r>
    </w:p>
    <w:p w:rsidR="00A6085B" w:rsidRPr="00A6085B" w:rsidRDefault="00A6085B" w:rsidP="00A6085B">
      <w:pPr>
        <w:numPr>
          <w:ilvl w:val="0"/>
          <w:numId w:val="4"/>
        </w:numPr>
        <w:jc w:val="both"/>
        <w:rPr>
          <w:rFonts w:eastAsia="Times New Roman" w:cs="Times New Roman"/>
          <w:lang w:eastAsia="pl-PL"/>
        </w:rPr>
      </w:pPr>
      <w:r w:rsidRPr="00A6085B">
        <w:rPr>
          <w:rFonts w:eastAsia="Times New Roman" w:cs="Times New Roman"/>
          <w:lang w:eastAsia="pl-PL"/>
        </w:rPr>
        <w:t>przeciwdziałania suburbanizacji,</w:t>
      </w:r>
    </w:p>
    <w:p w:rsidR="00A6085B" w:rsidRPr="00A6085B" w:rsidRDefault="00A6085B" w:rsidP="00A6085B">
      <w:pPr>
        <w:numPr>
          <w:ilvl w:val="0"/>
          <w:numId w:val="4"/>
        </w:numPr>
        <w:jc w:val="both"/>
        <w:rPr>
          <w:rFonts w:eastAsia="Times New Roman" w:cs="Times New Roman"/>
          <w:lang w:eastAsia="pl-PL"/>
        </w:rPr>
      </w:pPr>
      <w:r w:rsidRPr="00A6085B">
        <w:rPr>
          <w:rFonts w:eastAsia="Times New Roman" w:cs="Times New Roman"/>
          <w:lang w:eastAsia="pl-PL"/>
        </w:rPr>
        <w:t xml:space="preserve">optymalizacji gospodarowania przestrzenią i zasobami środowiskowymi, głównie poprzez nadanie priorytetu inwestycjom typu brownfield zamiast greenfield, głęboką przebudowę </w:t>
      </w:r>
      <w:r w:rsidRPr="00A6085B">
        <w:rPr>
          <w:rFonts w:eastAsia="Times New Roman" w:cs="Times New Roman"/>
          <w:lang w:eastAsia="pl-PL"/>
        </w:rPr>
        <w:br/>
        <w:t>i adaptację zdegradowanych obiektów do pełnienia nowych funkcji, np. kulturalnych, rekreacyjnych, społecznych, gospodarczych oraz rekultywację terenów zdegradowanych na cele przyrodnicze.</w:t>
      </w:r>
    </w:p>
    <w:p w:rsidR="00A6085B" w:rsidRPr="00A6085B" w:rsidRDefault="00A6085B" w:rsidP="00A6085B">
      <w:pPr>
        <w:jc w:val="both"/>
        <w:rPr>
          <w:rFonts w:eastAsia="Times New Roman" w:cs="Times New Roman"/>
          <w:lang w:eastAsia="pl-PL"/>
        </w:rPr>
      </w:pPr>
      <w:r w:rsidRPr="00A6085B">
        <w:rPr>
          <w:rFonts w:eastAsia="Times New Roman" w:cs="Times New Roman"/>
          <w:lang w:eastAsia="pl-PL"/>
        </w:rPr>
        <w:t xml:space="preserve">NPR będzie stanowić pakiet rozwiązań systemowych.  Głównym, scalającym dokumentem będzie Narodowy Plan Rewitalizacji stanowiący dokument rządowy przyjmowany przez Radę Ministrów </w:t>
      </w:r>
      <w:r w:rsidRPr="00A6085B">
        <w:rPr>
          <w:rFonts w:eastAsia="Times New Roman" w:cs="Times New Roman"/>
          <w:lang w:eastAsia="pl-PL"/>
        </w:rPr>
        <w:br/>
        <w:t xml:space="preserve">i opisujący całościowo plan, jego cele, elementy, mechanizmy działania. </w:t>
      </w:r>
    </w:p>
    <w:p w:rsidR="00A6085B" w:rsidRPr="00A6085B" w:rsidRDefault="00A6085B" w:rsidP="00A6085B">
      <w:pPr>
        <w:jc w:val="both"/>
        <w:rPr>
          <w:rFonts w:eastAsia="Times New Roman" w:cs="Times New Roman"/>
          <w:lang w:eastAsia="pl-PL"/>
        </w:rPr>
      </w:pPr>
      <w:r w:rsidRPr="00A6085B">
        <w:rPr>
          <w:rFonts w:eastAsia="Times New Roman" w:cs="Times New Roman"/>
          <w:lang w:eastAsia="pl-PL"/>
        </w:rPr>
        <w:t xml:space="preserve">Jego konstrukcja będzie się opierała na 4 modułach w zakresie:  </w:t>
      </w:r>
    </w:p>
    <w:p w:rsidR="00A6085B" w:rsidRPr="00A6085B" w:rsidRDefault="00A6085B" w:rsidP="00A6085B">
      <w:pPr>
        <w:numPr>
          <w:ilvl w:val="0"/>
          <w:numId w:val="5"/>
        </w:numPr>
        <w:ind w:left="284"/>
        <w:rPr>
          <w:rFonts w:eastAsia="Times New Roman" w:cs="Times New Roman"/>
          <w:lang w:eastAsia="pl-PL"/>
        </w:rPr>
      </w:pPr>
      <w:r w:rsidRPr="00A6085B">
        <w:rPr>
          <w:rFonts w:eastAsia="Times New Roman" w:cs="Times New Roman"/>
          <w:lang w:eastAsia="pl-PL"/>
        </w:rPr>
        <w:t xml:space="preserve">dokumentów,  </w:t>
      </w:r>
      <w:r w:rsidRPr="00A6085B">
        <w:rPr>
          <w:rFonts w:eastAsia="Times New Roman" w:cs="Times New Roman"/>
          <w:lang w:eastAsia="pl-PL"/>
        </w:rPr>
        <w:br/>
        <w:t>2.</w:t>
      </w:r>
      <w:r w:rsidRPr="00A6085B">
        <w:rPr>
          <w:rFonts w:eastAsia="Times New Roman" w:cs="Times New Roman"/>
          <w:lang w:eastAsia="pl-PL"/>
        </w:rPr>
        <w:tab/>
        <w:t xml:space="preserve">zmian w regulacjach i nowych regulacji (rozwiązań legislacyjnych),  </w:t>
      </w:r>
      <w:r w:rsidRPr="00A6085B">
        <w:rPr>
          <w:rFonts w:eastAsia="Times New Roman" w:cs="Times New Roman"/>
          <w:lang w:eastAsia="pl-PL"/>
        </w:rPr>
        <w:br/>
        <w:t>3.</w:t>
      </w:r>
      <w:r w:rsidRPr="00A6085B">
        <w:rPr>
          <w:rFonts w:eastAsia="Times New Roman" w:cs="Times New Roman"/>
          <w:lang w:eastAsia="pl-PL"/>
        </w:rPr>
        <w:tab/>
        <w:t xml:space="preserve">instrumentów wsparcia (krajowych i unijnych),  </w:t>
      </w:r>
      <w:r w:rsidRPr="00A6085B">
        <w:rPr>
          <w:rFonts w:eastAsia="Times New Roman" w:cs="Times New Roman"/>
          <w:lang w:eastAsia="pl-PL"/>
        </w:rPr>
        <w:br/>
        <w:t>4.</w:t>
      </w:r>
      <w:r w:rsidRPr="00A6085B">
        <w:rPr>
          <w:rFonts w:eastAsia="Times New Roman" w:cs="Times New Roman"/>
          <w:lang w:eastAsia="pl-PL"/>
        </w:rPr>
        <w:tab/>
        <w:t xml:space="preserve">informacji i edukacji.  </w:t>
      </w:r>
    </w:p>
    <w:p w:rsidR="00A6085B" w:rsidRPr="00A6085B" w:rsidRDefault="00A6085B" w:rsidP="00A6085B">
      <w:pPr>
        <w:jc w:val="both"/>
        <w:rPr>
          <w:rFonts w:eastAsia="Times New Roman" w:cs="Times New Roman"/>
          <w:lang w:eastAsia="pl-PL"/>
        </w:rPr>
      </w:pPr>
      <w:r w:rsidRPr="00A6085B">
        <w:rPr>
          <w:rFonts w:eastAsia="Times New Roman" w:cs="Times New Roman"/>
          <w:lang w:eastAsia="pl-PL"/>
        </w:rPr>
        <w:t>Narodowy Plan Rewitalizacji stanowić będzie rdzeń systemu i zawiera opis jego głównych elementów, diagnozę aktualnego stanu procesów rewitalizacyjnych w Polsce, cel strategiczny, kierunki interwencji, charakterystykę poszczególnych narzędzi i rozwiązań na rzecz rewitalizacji oraz planowane i postulowane kierunki ich zmian lub potrzeby wprowadzania nowych instrumentów. NPR będzie zawierał także opis wymagań dla programów rewitalizacji i dla prowadzenia samego procesu rewitalizacji, aby można było uznać go za pełny i prawidłowy. Poza dokumentem głównym, na pakiet NPR będą się składały: regulacje i nowe regulacje (rozwiązania legislacyjne, ustawa o rewitalizacji), instrumenty wsparcia (krajowe i unijne), informacja i edukacja.</w:t>
      </w:r>
    </w:p>
    <w:p w:rsidR="00A6085B" w:rsidRPr="00A6085B" w:rsidRDefault="00A6085B" w:rsidP="00A6085B">
      <w:pPr>
        <w:jc w:val="both"/>
        <w:rPr>
          <w:rFonts w:eastAsia="Times New Roman" w:cs="Times New Roman"/>
          <w:lang w:eastAsia="pl-PL"/>
        </w:rPr>
      </w:pPr>
      <w:r w:rsidRPr="00A6085B">
        <w:rPr>
          <w:rFonts w:eastAsia="Times New Roman" w:cs="Times New Roman"/>
          <w:lang w:eastAsia="pl-PL"/>
        </w:rPr>
        <w:lastRenderedPageBreak/>
        <w:t>W NPR wskazana zostanie konieczność powiazania procesu rewitalizacji ze wszystkimi politykami gminy, m.in. poprzez uwzględnianie interwencji w zakresie przekształceń terenu oraz koordynację programów rewitalizacji z gminnymi dokumentami planowania przestrzennego, polityką społeczną, mieszkaniową czy lokalnymi dokumentami strategicznymi. (Ministerstwo Infrastruktury i Rozwoju)</w:t>
      </w:r>
    </w:p>
    <w:p w:rsidR="00A6085B" w:rsidRPr="00A6085B" w:rsidRDefault="00A6085B" w:rsidP="00A6085B">
      <w:pPr>
        <w:jc w:val="both"/>
        <w:rPr>
          <w:rFonts w:eastAsia="Times New Roman" w:cs="Times New Roman"/>
          <w:lang w:eastAsia="pl-PL"/>
        </w:rPr>
      </w:pPr>
      <w:r w:rsidRPr="00A6085B">
        <w:rPr>
          <w:rFonts w:eastAsia="Times New Roman" w:cs="Times New Roman"/>
          <w:lang w:eastAsia="pl-PL"/>
        </w:rPr>
        <w:t xml:space="preserve">Horyzont czasowy dokumentu to 2022 rok. Wyznaczenie go związane jest z jednej strony z dużymi środkami dostępnymi dla Polski z budżetu UE na lata 2014-2020, a z drugiej umożliwi zbudowanie mocnych podstaw dla krajowych instrumentów, które będą nabierały coraz większego znaczenia </w:t>
      </w:r>
      <w:r w:rsidRPr="00A6085B">
        <w:rPr>
          <w:rFonts w:eastAsia="Times New Roman" w:cs="Times New Roman"/>
          <w:lang w:eastAsia="pl-PL"/>
        </w:rPr>
        <w:br/>
        <w:t>w miarę ubywania środków UE</w:t>
      </w:r>
      <w:r w:rsidRPr="00A6085B">
        <w:rPr>
          <w:rFonts w:eastAsia="Times New Roman" w:cs="Times New Roman"/>
          <w:vertAlign w:val="superscript"/>
          <w:lang w:eastAsia="pl-PL"/>
        </w:rPr>
        <w:footnoteReference w:id="3"/>
      </w:r>
      <w:r w:rsidRPr="00A6085B">
        <w:rPr>
          <w:rFonts w:eastAsia="Times New Roman" w:cs="Times New Roman"/>
          <w:lang w:eastAsia="pl-PL"/>
        </w:rPr>
        <w:t>.</w:t>
      </w:r>
    </w:p>
    <w:p w:rsidR="00A6085B" w:rsidRPr="00A6085B" w:rsidRDefault="00A6085B" w:rsidP="00A6085B">
      <w:pPr>
        <w:jc w:val="both"/>
        <w:rPr>
          <w:rFonts w:eastAsia="Times New Roman" w:cs="Times New Roman"/>
          <w:b/>
          <w:u w:val="single"/>
          <w:lang w:eastAsia="pl-PL"/>
        </w:rPr>
      </w:pPr>
      <w:r w:rsidRPr="00A6085B">
        <w:rPr>
          <w:rFonts w:eastAsia="Times New Roman" w:cs="Times New Roman"/>
          <w:b/>
          <w:u w:val="single"/>
          <w:lang w:eastAsia="pl-PL"/>
        </w:rPr>
        <w:t>Wizja Narodowego Planu Rewitalizacji</w:t>
      </w:r>
    </w:p>
    <w:p w:rsidR="00A6085B" w:rsidRPr="00A6085B" w:rsidRDefault="00A6085B" w:rsidP="00A6085B">
      <w:pPr>
        <w:jc w:val="both"/>
        <w:rPr>
          <w:rFonts w:eastAsia="Times New Roman" w:cs="Times New Roman"/>
          <w:lang w:eastAsia="pl-PL"/>
        </w:rPr>
      </w:pPr>
      <w:r w:rsidRPr="00A6085B">
        <w:rPr>
          <w:rFonts w:eastAsia="Times New Roman" w:cs="Times New Roman"/>
          <w:lang w:eastAsia="pl-PL"/>
        </w:rPr>
        <w:t xml:space="preserve">Myślą przewodnią Narodowego Planu Rewitalizacji ma być </w:t>
      </w:r>
      <w:r w:rsidRPr="00A6085B">
        <w:rPr>
          <w:rFonts w:eastAsia="Times New Roman" w:cs="Times New Roman"/>
          <w:b/>
          <w:lang w:eastAsia="pl-PL"/>
        </w:rPr>
        <w:t xml:space="preserve">zapewnienie mu możliwie powszechnego charakteru </w:t>
      </w:r>
      <w:r w:rsidRPr="00A6085B">
        <w:rPr>
          <w:rFonts w:eastAsia="Times New Roman" w:cs="Times New Roman"/>
          <w:lang w:eastAsia="pl-PL"/>
        </w:rPr>
        <w:t xml:space="preserve">tak, aby jak najszersze grono obywateli i podmiotów mogło się utożsamić </w:t>
      </w:r>
      <w:r w:rsidRPr="00A6085B">
        <w:rPr>
          <w:rFonts w:eastAsia="Times New Roman" w:cs="Times New Roman"/>
          <w:lang w:eastAsia="pl-PL"/>
        </w:rPr>
        <w:br/>
        <w:t xml:space="preserve">z ideą naprawy środowiska miejskiego i włączać się lub podejmować z własnej inicjatywy działania </w:t>
      </w:r>
      <w:r w:rsidRPr="00A6085B">
        <w:rPr>
          <w:rFonts w:eastAsia="Times New Roman" w:cs="Times New Roman"/>
          <w:lang w:eastAsia="pl-PL"/>
        </w:rPr>
        <w:br/>
        <w:t xml:space="preserve">w tym zakresie. Z tej perspektywy plan odnieść się ma zarówno do zagadnienia przywracania świetności dzielnicom śródmiejskim, uzdrawiania relacji społecznych i rozwiązywania problemów infrastrukturalno-technicznych w zaniedbanych dzielnicach „miasta XIX-wiecznego” i blokowiskach, ponownego zagospodarowania terenów poprzemysłowych, powojskowych, pokolejowych </w:t>
      </w:r>
      <w:r w:rsidRPr="00A6085B">
        <w:rPr>
          <w:rFonts w:eastAsia="Times New Roman" w:cs="Times New Roman"/>
          <w:lang w:eastAsia="pl-PL"/>
        </w:rPr>
        <w:br/>
        <w:t xml:space="preserve">i poportowych, jak i innych sytuacji, w których władze samorządowe lub mieszkańcy dochodzą do wniosku, że miasto powinno być na danym obszarze „uzdrowione”. </w:t>
      </w:r>
    </w:p>
    <w:p w:rsidR="00A6085B" w:rsidRPr="00A6085B" w:rsidRDefault="00A6085B" w:rsidP="00A6085B">
      <w:pPr>
        <w:jc w:val="both"/>
        <w:rPr>
          <w:rFonts w:eastAsia="Times New Roman" w:cs="Times New Roman"/>
          <w:lang w:eastAsia="pl-PL"/>
        </w:rPr>
      </w:pPr>
      <w:r w:rsidRPr="00A6085B">
        <w:rPr>
          <w:rFonts w:eastAsia="Times New Roman" w:cs="Times New Roman"/>
          <w:lang w:eastAsia="pl-PL"/>
        </w:rPr>
        <w:t xml:space="preserve">Podkreślić należy, że dokonywane w ramach NPR wyznaczanie obszarów zdegradowanych ma mieć na celu wskazanie priorytetów i miejsc koncentracji działań, a nie kreślenie granic, poza którymi znajdą się mieszkańcy miast niezainteresowani NPR. Podejście NPR ma być inne: ma wskazywać, że każdy, – jeśli odczuwa taką potrzebę i ma wolę się w to angażować – może włączyć się w zmienianie na lepsze otaczającego środowiska miejskiego. W sferze zainteresowania NPR pozostawać będzie możliwie szeroki zakres przedsięwzięć i inicjatyw nakierowanych na odnowę i ulepszanie miast.  </w:t>
      </w:r>
    </w:p>
    <w:p w:rsidR="00A6085B" w:rsidRPr="00A6085B" w:rsidRDefault="00A6085B" w:rsidP="00A6085B">
      <w:pPr>
        <w:jc w:val="both"/>
        <w:rPr>
          <w:rFonts w:eastAsia="Times New Roman" w:cs="Times New Roman"/>
          <w:lang w:eastAsia="pl-PL"/>
        </w:rPr>
      </w:pPr>
      <w:r w:rsidRPr="00A6085B">
        <w:rPr>
          <w:rFonts w:eastAsia="Times New Roman" w:cs="Times New Roman"/>
          <w:lang w:eastAsia="pl-PL"/>
        </w:rPr>
        <w:t xml:space="preserve">Powszechność NPR znajdzie odzwierciedlenie także z tego powodu, że będzie on w praktyce realizował zasadę terytorializacji, wyrażającą nowe, proefektywnościowe podejście ·w polityce rozwoju. W podejściu tym chodzi o świadome i zdecydowane ukierunkowanie wsparcia </w:t>
      </w:r>
      <w:r w:rsidRPr="00A6085B">
        <w:rPr>
          <w:rFonts w:eastAsia="Times New Roman" w:cs="Times New Roman"/>
          <w:lang w:eastAsia="pl-PL"/>
        </w:rPr>
        <w:br/>
        <w:t xml:space="preserve">w ramach poszczególnych polityk publicznych na obszary strategicznej interwencji, wśród których są obszary zdegradowane. Podejście terytorialne oznacza koncentrację geograficzną wsparcia </w:t>
      </w:r>
      <w:r w:rsidRPr="00A6085B">
        <w:rPr>
          <w:rFonts w:eastAsia="Times New Roman" w:cs="Times New Roman"/>
          <w:lang w:eastAsia="pl-PL"/>
        </w:rPr>
        <w:br/>
        <w:t xml:space="preserve">i dostosowanie go do lokalnych uwarunkowań i potrzeb. Warunkiem powodzenia tego podejścia jest maksymalna synchronizacja i koordynacja polityk, instrumentów i podmiotów. Dotyczy to szczególnie koordynacji instrumentów krajowych.  </w:t>
      </w:r>
    </w:p>
    <w:p w:rsidR="00A6085B" w:rsidRPr="00A6085B" w:rsidRDefault="00A6085B" w:rsidP="00A6085B">
      <w:pPr>
        <w:jc w:val="both"/>
        <w:rPr>
          <w:rFonts w:eastAsia="Times New Roman" w:cs="Times New Roman"/>
          <w:lang w:eastAsia="pl-PL"/>
        </w:rPr>
      </w:pPr>
      <w:r w:rsidRPr="00A6085B">
        <w:rPr>
          <w:rFonts w:eastAsia="Times New Roman" w:cs="Times New Roman"/>
          <w:lang w:eastAsia="pl-PL"/>
        </w:rPr>
        <w:t xml:space="preserve">Równocześnie, obok dążenia do powszechności, drugim, niemniej ważnym filarem NPR, będzie przejście do pełniejszego, całościowego rozumienia rewitalizacji – nie jedynie jako modernizacji </w:t>
      </w:r>
      <w:r w:rsidRPr="00A6085B">
        <w:rPr>
          <w:rFonts w:eastAsia="Times New Roman" w:cs="Times New Roman"/>
          <w:lang w:eastAsia="pl-PL"/>
        </w:rPr>
        <w:br/>
        <w:t xml:space="preserve">w wymiarze infrastrukturalnym (i to dotychczas często punktowej i nieco przypadkowej), ale jako zespołu działań prowadzonych kompleksowo, wielowymiarowo, skoordynowanych </w:t>
      </w:r>
      <w:r w:rsidRPr="00A6085B">
        <w:rPr>
          <w:rFonts w:eastAsia="Times New Roman" w:cs="Times New Roman"/>
          <w:lang w:eastAsia="pl-PL"/>
        </w:rPr>
        <w:br/>
        <w:t xml:space="preserve">i skoncentrowanych tematycznie i terytorialnie w celu osiągnięcia założonych przemian w obszarach kryzysowych. Narodowy Plan Rewitalizacji promuje podejście kompleksowe (a w przypadku ubiegania się o środki publiczne wręcz go wymaga), zakładające skoncentrowane wysiłki wielu </w:t>
      </w:r>
      <w:r w:rsidRPr="00A6085B">
        <w:rPr>
          <w:rFonts w:eastAsia="Times New Roman" w:cs="Times New Roman"/>
          <w:lang w:eastAsia="pl-PL"/>
        </w:rPr>
        <w:lastRenderedPageBreak/>
        <w:t xml:space="preserve">podmiotów na rzecz wyprowadzenia ze stanu kryzysowego danego obszaru, obejmującego interwencję w sferach: społecznej, gospodarczej, przestrzennej oraz kulturowej.  Niezbędne jest przy tym, aby rewitalizacja obszarów zdegradowanych była elementem całościowej wizji rozwoju miasta. </w:t>
      </w:r>
    </w:p>
    <w:p w:rsidR="00A6085B" w:rsidRPr="00A6085B" w:rsidRDefault="00A6085B" w:rsidP="00A6085B">
      <w:pPr>
        <w:jc w:val="both"/>
        <w:rPr>
          <w:rFonts w:eastAsia="Times New Roman" w:cs="Times New Roman"/>
          <w:lang w:eastAsia="pl-PL"/>
        </w:rPr>
      </w:pPr>
      <w:r w:rsidRPr="00A6085B">
        <w:rPr>
          <w:rFonts w:eastAsia="Times New Roman" w:cs="Times New Roman"/>
          <w:lang w:eastAsia="pl-PL"/>
        </w:rPr>
        <w:t xml:space="preserve">Narodowy Plan Rewitalizacji powstaje, jako odpowiedź na poważne wyzwania stojące przed wieloma polskimi miastami. Aby ta odpowiedź była znacząca, powszechna i skoordynowana, konieczne jest zaangażowanie strony rządowej, samorządowej oraz podmiotów prywatnych, ukierunkowanie środków i instrumentów polityk publicznych (środki UE, środki krajowe), rozwój instytucjonalny pod kątem prowadzenia złożonych działań rewitalizacyjnych oraz odpowiednie dostosowanie prawa.  </w:t>
      </w:r>
    </w:p>
    <w:p w:rsidR="00A6085B" w:rsidRPr="00A6085B" w:rsidRDefault="00A6085B" w:rsidP="00A6085B">
      <w:pPr>
        <w:jc w:val="both"/>
        <w:rPr>
          <w:rFonts w:eastAsia="Times New Roman" w:cs="Times New Roman"/>
          <w:b/>
          <w:u w:val="single"/>
          <w:lang w:eastAsia="pl-PL"/>
        </w:rPr>
      </w:pPr>
      <w:r w:rsidRPr="00A6085B">
        <w:rPr>
          <w:rFonts w:eastAsia="Times New Roman" w:cs="Times New Roman"/>
          <w:b/>
          <w:u w:val="single"/>
          <w:lang w:eastAsia="pl-PL"/>
        </w:rPr>
        <w:t>Cel główny Narodowego Planu Rewitalizacji i definicja rewitalizacji</w:t>
      </w:r>
    </w:p>
    <w:p w:rsidR="00A6085B" w:rsidRPr="00A6085B" w:rsidRDefault="00A6085B" w:rsidP="00A6085B">
      <w:pPr>
        <w:jc w:val="both"/>
        <w:rPr>
          <w:rFonts w:eastAsia="Times New Roman" w:cs="Times New Roman"/>
          <w:lang w:eastAsia="pl-PL"/>
        </w:rPr>
      </w:pPr>
      <w:r w:rsidRPr="00A6085B">
        <w:rPr>
          <w:rFonts w:eastAsia="Times New Roman" w:cs="Times New Roman"/>
          <w:b/>
          <w:lang w:eastAsia="pl-PL"/>
        </w:rPr>
        <w:t>Głównym celem Narodowego Planu Rewitalizacji</w:t>
      </w:r>
      <w:r w:rsidRPr="00A6085B">
        <w:rPr>
          <w:rFonts w:eastAsia="Times New Roman" w:cs="Times New Roman"/>
          <w:lang w:eastAsia="pl-PL"/>
        </w:rPr>
        <w:t xml:space="preserve"> jest poprawa warunków rozwoju obszarów zdegradowanych w wymiarze przestrzennym, społecznym, kulturowym i gospodarczym. Realizacji tego celu służyć będzie tworzenie korzystnych warunków dla prowadzenia rewitalizacji w Polsce </w:t>
      </w:r>
      <w:r w:rsidRPr="00A6085B">
        <w:rPr>
          <w:rFonts w:eastAsia="Times New Roman" w:cs="Times New Roman"/>
          <w:lang w:eastAsia="pl-PL"/>
        </w:rPr>
        <w:br/>
        <w:t xml:space="preserve">i położenie nacisku na holistyczne, zintegrowane podejście do prowadzenia takich działań. </w:t>
      </w:r>
    </w:p>
    <w:p w:rsidR="00A6085B" w:rsidRPr="00A6085B" w:rsidRDefault="00A6085B" w:rsidP="00A6085B">
      <w:pPr>
        <w:jc w:val="both"/>
        <w:rPr>
          <w:rFonts w:eastAsia="Times New Roman" w:cs="Times New Roman"/>
          <w:lang w:eastAsia="pl-PL"/>
        </w:rPr>
      </w:pPr>
      <w:r w:rsidRPr="00A6085B">
        <w:rPr>
          <w:rFonts w:eastAsia="Times New Roman" w:cs="Times New Roman"/>
          <w:b/>
          <w:lang w:eastAsia="pl-PL"/>
        </w:rPr>
        <w:t>Rewitalizację należy rozumieć, jako</w:t>
      </w:r>
      <w:r w:rsidRPr="00A6085B">
        <w:rPr>
          <w:rFonts w:eastAsia="Times New Roman" w:cs="Times New Roman"/>
          <w:lang w:eastAsia="pl-PL"/>
        </w:rPr>
        <w:t xml:space="preserve"> wyprowadzanie ze stanu kryzysowego obszarów zdegradowanych poprzez przedsięwzięcia całościowe (integrujące interwencję na rzecz społeczności lokalnej, przestrzeni i lokalnej gospodarki), skoncentrowane terytorialnie i prowadzone we współpracy </w:t>
      </w:r>
      <w:r w:rsidRPr="00A6085B">
        <w:rPr>
          <w:rFonts w:eastAsia="Times New Roman" w:cs="Times New Roman"/>
          <w:lang w:eastAsia="pl-PL"/>
        </w:rPr>
        <w:br/>
        <w:t xml:space="preserve">z lokalną społecznością, w sposób zaplanowany oraz zintegrowany przez określenie i realizację programów rewitalizacji. </w:t>
      </w:r>
    </w:p>
    <w:p w:rsidR="00A6085B" w:rsidRPr="00A6085B" w:rsidRDefault="00A6085B" w:rsidP="00A6085B">
      <w:pPr>
        <w:jc w:val="both"/>
        <w:rPr>
          <w:rFonts w:eastAsia="Times New Roman" w:cs="Times New Roman"/>
          <w:lang w:eastAsia="pl-PL"/>
        </w:rPr>
      </w:pPr>
      <w:r w:rsidRPr="00A6085B">
        <w:rPr>
          <w:rFonts w:eastAsia="Times New Roman" w:cs="Times New Roman"/>
          <w:lang w:eastAsia="pl-PL"/>
        </w:rPr>
        <w:t xml:space="preserve">Taka definicja rewitalizacji, wynikająca z projektu Krajowej Polityki Miejskiej, jest podstawą prac ustawowych w tym zakresie oraz elementem Wytycznych w zakresie rewitalizacji obszarów zdegradowanych – perspektywa finansowa 2014-2020. </w:t>
      </w:r>
    </w:p>
    <w:p w:rsidR="00A6085B" w:rsidRPr="00A6085B" w:rsidRDefault="00A6085B" w:rsidP="00A6085B">
      <w:pPr>
        <w:jc w:val="both"/>
        <w:rPr>
          <w:rFonts w:eastAsia="Times New Roman" w:cs="Times New Roman"/>
          <w:b/>
          <w:u w:val="single"/>
          <w:lang w:eastAsia="pl-PL"/>
        </w:rPr>
      </w:pPr>
      <w:r w:rsidRPr="00A6085B">
        <w:rPr>
          <w:rFonts w:eastAsia="Times New Roman" w:cs="Times New Roman"/>
          <w:b/>
          <w:u w:val="single"/>
          <w:lang w:eastAsia="pl-PL"/>
        </w:rPr>
        <w:t>Zmiany prawne</w:t>
      </w:r>
    </w:p>
    <w:p w:rsidR="00A6085B" w:rsidRPr="00A6085B" w:rsidRDefault="00A6085B" w:rsidP="00A6085B">
      <w:pPr>
        <w:jc w:val="both"/>
        <w:rPr>
          <w:rFonts w:eastAsia="Times New Roman" w:cs="Times New Roman"/>
          <w:lang w:eastAsia="pl-PL"/>
        </w:rPr>
      </w:pPr>
      <w:r w:rsidRPr="00A6085B">
        <w:rPr>
          <w:rFonts w:eastAsia="Times New Roman" w:cs="Times New Roman"/>
          <w:lang w:eastAsia="pl-PL"/>
        </w:rPr>
        <w:t>Ważny komponent NPR stanowią regulacje prawne.</w:t>
      </w:r>
    </w:p>
    <w:p w:rsidR="00A6085B" w:rsidRPr="00A6085B" w:rsidRDefault="00A6085B" w:rsidP="00A6085B">
      <w:pPr>
        <w:jc w:val="both"/>
        <w:rPr>
          <w:rFonts w:eastAsia="Times New Roman" w:cs="Times New Roman"/>
          <w:lang w:eastAsia="pl-PL"/>
        </w:rPr>
      </w:pPr>
      <w:r w:rsidRPr="00A6085B">
        <w:rPr>
          <w:rFonts w:eastAsia="Times New Roman" w:cs="Times New Roman"/>
          <w:lang w:eastAsia="pl-PL"/>
        </w:rPr>
        <w:t xml:space="preserve">Założeniem prac legislacyjnych w ramach NPR jest możliwie niewielka ingerencja w system prawa, mająca na celu umożliwienie różnorodnych działań ukierunkowanych na efektywne wyprowadzanie obszarów zdegradowanych ze stanów kryzysowych. Oznacza to dążenie do uniknięcia „przeregulowania” tej materii. Wynika to z natury rewitalizacji, która w każdym miejscu jest unikalnym konglomeratem różnorodnych działań, zatem każda zmiana ustawowa ma ułatwiać prowadzenie kompleksowych działań rewitalizacyjnych, a jednocześnie żadna zmiana legislacyjna nie powinna ich utrudniać i komplikować. </w:t>
      </w:r>
    </w:p>
    <w:p w:rsidR="00A6085B" w:rsidRPr="00A6085B" w:rsidRDefault="00A6085B" w:rsidP="00A6085B">
      <w:pPr>
        <w:jc w:val="both"/>
        <w:rPr>
          <w:rFonts w:eastAsia="Times New Roman" w:cs="Times New Roman"/>
          <w:b/>
          <w:lang w:eastAsia="pl-PL"/>
        </w:rPr>
      </w:pPr>
      <w:r w:rsidRPr="00A6085B">
        <w:rPr>
          <w:rFonts w:eastAsia="Times New Roman" w:cs="Times New Roman"/>
          <w:b/>
          <w:lang w:eastAsia="pl-PL"/>
        </w:rPr>
        <w:t xml:space="preserve">Regulacje, zatem dotyczyć będą: </w:t>
      </w:r>
    </w:p>
    <w:p w:rsidR="00A6085B" w:rsidRPr="00A6085B" w:rsidRDefault="00A6085B" w:rsidP="00A6085B">
      <w:pPr>
        <w:jc w:val="both"/>
        <w:rPr>
          <w:rFonts w:eastAsia="Times New Roman" w:cs="Times New Roman"/>
          <w:b/>
          <w:lang w:eastAsia="pl-PL"/>
        </w:rPr>
      </w:pPr>
      <w:r w:rsidRPr="00A6085B">
        <w:rPr>
          <w:rFonts w:eastAsia="Times New Roman" w:cs="Times New Roman"/>
          <w:b/>
          <w:lang w:eastAsia="pl-PL"/>
        </w:rPr>
        <w:t xml:space="preserve">a) Statusu rewitalizacji i procedur jej bezpośrednio dotyczących: </w:t>
      </w:r>
    </w:p>
    <w:p w:rsidR="00A6085B" w:rsidRPr="00A6085B" w:rsidRDefault="00A6085B" w:rsidP="00A6085B">
      <w:pPr>
        <w:numPr>
          <w:ilvl w:val="0"/>
          <w:numId w:val="1"/>
        </w:numPr>
        <w:contextualSpacing/>
        <w:jc w:val="both"/>
        <w:rPr>
          <w:rFonts w:eastAsia="Times New Roman" w:cs="Times New Roman"/>
          <w:lang w:eastAsia="pl-PL"/>
        </w:rPr>
      </w:pPr>
      <w:r w:rsidRPr="00A6085B">
        <w:rPr>
          <w:rFonts w:eastAsia="Times New Roman" w:cs="Times New Roman"/>
          <w:b/>
          <w:lang w:eastAsia="pl-PL"/>
        </w:rPr>
        <w:t>Ustawowego zdefiniowana rewitalizacji</w:t>
      </w:r>
      <w:r w:rsidRPr="00A6085B">
        <w:rPr>
          <w:rFonts w:eastAsia="Times New Roman" w:cs="Times New Roman"/>
          <w:lang w:eastAsia="pl-PL"/>
        </w:rPr>
        <w:t xml:space="preserve"> (charakter działań i powiązanie z programami rewitalizacji) jest potrzebne, jako podstawa dalszych regulacji dotyczących działań rewitalizacyjnych. Dokładna definicja jest przedmiotem szczegółowych uzgodnień, jednak jako ich </w:t>
      </w:r>
      <w:r w:rsidRPr="00A6085B">
        <w:rPr>
          <w:rFonts w:eastAsia="Times New Roman" w:cs="Times New Roman"/>
          <w:lang w:eastAsia="pl-PL"/>
        </w:rPr>
        <w:lastRenderedPageBreak/>
        <w:t xml:space="preserve">podstawę należy przyjąć ustalenie, że ustawowa definicja rewitalizacji musi obejmować wszystkie niezbędne aspekty działań rewitalizacyjnych. </w:t>
      </w:r>
    </w:p>
    <w:p w:rsidR="00A6085B" w:rsidRPr="00A6085B" w:rsidRDefault="00A6085B" w:rsidP="00A6085B">
      <w:pPr>
        <w:ind w:left="360"/>
        <w:contextualSpacing/>
        <w:jc w:val="both"/>
        <w:rPr>
          <w:rFonts w:eastAsia="Times New Roman" w:cs="Times New Roman"/>
          <w:lang w:eastAsia="pl-PL"/>
        </w:rPr>
      </w:pPr>
      <w:r w:rsidRPr="00A6085B">
        <w:rPr>
          <w:rFonts w:eastAsia="Times New Roman" w:cs="Times New Roman"/>
          <w:lang w:eastAsia="pl-PL"/>
        </w:rPr>
        <w:t xml:space="preserve">Wprowadzenie ustawowej definicji zapewni, że rewitalizacja będzie tak samo rozumiana przez wszystkie uczestniczące w niej podmioty. </w:t>
      </w:r>
    </w:p>
    <w:p w:rsidR="00A6085B" w:rsidRPr="00A6085B" w:rsidRDefault="00A6085B" w:rsidP="00A6085B">
      <w:pPr>
        <w:numPr>
          <w:ilvl w:val="0"/>
          <w:numId w:val="1"/>
        </w:numPr>
        <w:contextualSpacing/>
        <w:jc w:val="both"/>
        <w:rPr>
          <w:rFonts w:eastAsia="Times New Roman" w:cs="Times New Roman"/>
          <w:lang w:eastAsia="pl-PL"/>
        </w:rPr>
      </w:pPr>
      <w:r w:rsidRPr="00A6085B">
        <w:rPr>
          <w:rFonts w:eastAsia="Times New Roman" w:cs="Times New Roman"/>
          <w:b/>
          <w:lang w:eastAsia="pl-PL"/>
        </w:rPr>
        <w:t>Określenia rewitalizacji, jako zadania własnego gminy</w:t>
      </w:r>
      <w:r w:rsidRPr="00A6085B">
        <w:rPr>
          <w:rFonts w:eastAsia="Times New Roman" w:cs="Times New Roman"/>
          <w:lang w:eastAsia="pl-PL"/>
        </w:rPr>
        <w:t xml:space="preserve"> (dla uniknięcia sprzeczności interpretacyjnych i ograniczeń formalnych). </w:t>
      </w:r>
    </w:p>
    <w:p w:rsidR="00A6085B" w:rsidRPr="00A6085B" w:rsidRDefault="00A6085B" w:rsidP="00A6085B">
      <w:pPr>
        <w:ind w:left="360"/>
        <w:contextualSpacing/>
        <w:jc w:val="both"/>
        <w:rPr>
          <w:rFonts w:eastAsia="Times New Roman" w:cs="Times New Roman"/>
          <w:lang w:eastAsia="pl-PL"/>
        </w:rPr>
      </w:pPr>
      <w:r w:rsidRPr="00A6085B">
        <w:rPr>
          <w:rFonts w:eastAsia="Times New Roman" w:cs="Times New Roman"/>
          <w:lang w:eastAsia="pl-PL"/>
        </w:rPr>
        <w:t xml:space="preserve">Wprowadzenie zmiany w art. 7 ust. 1 ustawy o samorządzie gminnym i uzupełnienie katalogu zadań własnych gminy o rewitalizację obszarów zdegradowanych. Zgodnie z art. 163 Konstytucji RP samorząd terytorialny wykonuje zadania publiczne niezastrzeżone przez Konstytucję lub ustawy dla organów innych władz publicznych (takich jak organy ustawodawcze, administracja rządowa, wymiaru sprawiedliwości itp.). </w:t>
      </w:r>
    </w:p>
    <w:p w:rsidR="00A6085B" w:rsidRPr="00A6085B" w:rsidRDefault="00A6085B" w:rsidP="00A6085B">
      <w:pPr>
        <w:ind w:left="360"/>
        <w:contextualSpacing/>
        <w:jc w:val="both"/>
        <w:rPr>
          <w:rFonts w:eastAsia="Times New Roman" w:cs="Times New Roman"/>
          <w:lang w:eastAsia="pl-PL"/>
        </w:rPr>
      </w:pPr>
      <w:r w:rsidRPr="00A6085B">
        <w:rPr>
          <w:rFonts w:eastAsia="Times New Roman" w:cs="Times New Roman"/>
          <w:lang w:eastAsia="pl-PL"/>
        </w:rPr>
        <w:t xml:space="preserve">Rewitalizacja, jako zadanie własne gminy nie będzie zadaniem obowiązkowym (w rozumieniu art. 7 ust. 2 ustawy o samorządzie gminnym). W realizacji tego zadania gmina powinna koordynować swe działania z działaniami podejmowanymi przez samorządy powiatowe i wojewódzkie, a także przez administrację rządową. </w:t>
      </w:r>
    </w:p>
    <w:p w:rsidR="00A6085B" w:rsidRPr="00A6085B" w:rsidRDefault="00A6085B" w:rsidP="00A6085B">
      <w:pPr>
        <w:numPr>
          <w:ilvl w:val="0"/>
          <w:numId w:val="1"/>
        </w:numPr>
        <w:contextualSpacing/>
        <w:jc w:val="both"/>
        <w:rPr>
          <w:rFonts w:eastAsia="Times New Roman" w:cs="Times New Roman"/>
          <w:b/>
          <w:lang w:eastAsia="pl-PL"/>
        </w:rPr>
      </w:pPr>
      <w:r w:rsidRPr="00A6085B">
        <w:rPr>
          <w:rFonts w:eastAsia="Times New Roman" w:cs="Times New Roman"/>
          <w:b/>
          <w:lang w:eastAsia="pl-PL"/>
        </w:rPr>
        <w:t xml:space="preserve">Wprowadzenia ustawowej formuły programu rewitalizacji. </w:t>
      </w:r>
    </w:p>
    <w:p w:rsidR="00A6085B" w:rsidRPr="00A6085B" w:rsidRDefault="00A6085B" w:rsidP="00A6085B">
      <w:pPr>
        <w:ind w:left="360"/>
        <w:contextualSpacing/>
        <w:jc w:val="both"/>
        <w:rPr>
          <w:rFonts w:eastAsia="Times New Roman" w:cs="Times New Roman"/>
          <w:lang w:eastAsia="pl-PL"/>
        </w:rPr>
      </w:pPr>
      <w:r w:rsidRPr="00A6085B">
        <w:rPr>
          <w:rFonts w:eastAsia="Times New Roman" w:cs="Times New Roman"/>
          <w:lang w:eastAsia="pl-PL"/>
        </w:rPr>
        <w:t xml:space="preserve">Określona zostanie ustawowo minimalna zawartość programu rewitalizacji, a także wymogi co do sposobu jego przygotowywania, uchwalania i realizacji. Spełnianie przez dany program rewitalizacji wymagań ustawowych będzie dawać podstawę do wykorzystania narzędzi ułatwiających prowadzenie rewitalizacji, a także do preferencyjnego wsparcia dla rewitalizacji </w:t>
      </w:r>
      <w:r w:rsidRPr="00A6085B">
        <w:rPr>
          <w:rFonts w:eastAsia="Times New Roman" w:cs="Times New Roman"/>
          <w:lang w:eastAsia="pl-PL"/>
        </w:rPr>
        <w:br/>
        <w:t xml:space="preserve">w różnych instrumentach. </w:t>
      </w:r>
    </w:p>
    <w:p w:rsidR="00A6085B" w:rsidRPr="00A6085B" w:rsidRDefault="00A6085B" w:rsidP="00A6085B">
      <w:pPr>
        <w:numPr>
          <w:ilvl w:val="0"/>
          <w:numId w:val="1"/>
        </w:numPr>
        <w:contextualSpacing/>
        <w:jc w:val="both"/>
        <w:rPr>
          <w:rFonts w:eastAsia="Times New Roman" w:cs="Times New Roman"/>
          <w:lang w:eastAsia="pl-PL"/>
        </w:rPr>
      </w:pPr>
      <w:r w:rsidRPr="00A6085B">
        <w:rPr>
          <w:rFonts w:eastAsia="Times New Roman" w:cs="Times New Roman"/>
          <w:b/>
          <w:lang w:eastAsia="pl-PL"/>
        </w:rPr>
        <w:t>Zdefiniowania rewitalizacji, jako cel publiczny</w:t>
      </w:r>
      <w:r w:rsidRPr="00A6085B">
        <w:rPr>
          <w:rFonts w:eastAsia="Times New Roman" w:cs="Times New Roman"/>
          <w:lang w:eastAsia="pl-PL"/>
        </w:rPr>
        <w:t xml:space="preserve"> w rozumieniu ustawy o gospodarce nieruchomościami (jako opcja: zdefiniowanie jako cel publiczny części inwestycji, które mogą wchodzić w skład działań rewitalizacyjnych, a dziś nie są celem publicznym, np. zieleń publiczna, budownictwo czynszowe o umiarkowanych czynszach). </w:t>
      </w:r>
    </w:p>
    <w:p w:rsidR="00A6085B" w:rsidRPr="00A6085B" w:rsidRDefault="00A6085B" w:rsidP="00A6085B">
      <w:pPr>
        <w:ind w:left="360"/>
        <w:contextualSpacing/>
        <w:jc w:val="both"/>
        <w:rPr>
          <w:rFonts w:eastAsia="Times New Roman" w:cs="Times New Roman"/>
          <w:lang w:eastAsia="pl-PL"/>
        </w:rPr>
      </w:pPr>
      <w:r w:rsidRPr="00A6085B">
        <w:rPr>
          <w:rFonts w:eastAsia="Times New Roman" w:cs="Times New Roman"/>
          <w:lang w:eastAsia="pl-PL"/>
        </w:rPr>
        <w:t xml:space="preserve">Rozważane będzie nadanie rewitalizacji statusu celu publicznego (w rozumieniu art. 6 ustawy </w:t>
      </w:r>
      <w:r w:rsidRPr="00A6085B">
        <w:rPr>
          <w:rFonts w:eastAsia="Times New Roman" w:cs="Times New Roman"/>
          <w:lang w:eastAsia="pl-PL"/>
        </w:rPr>
        <w:br/>
        <w:t xml:space="preserve">o gospodarce nieruchomościami). Jedną z zalet takiego rozwiązania jest umożliwienie procedur wywłaszczeniowych, co w wielu przypadkach może pozwolić na bardzo znaczące usprawnienie prowadzenia działań rewitalizacyjnych.  Jednocześnie, proponowane zmiany legislacyjne nie mogą prowadzić do ryzyka ich nadużyć.  </w:t>
      </w:r>
    </w:p>
    <w:p w:rsidR="00A6085B" w:rsidRPr="00A6085B" w:rsidRDefault="00A6085B" w:rsidP="00A6085B">
      <w:pPr>
        <w:numPr>
          <w:ilvl w:val="0"/>
          <w:numId w:val="1"/>
        </w:numPr>
        <w:contextualSpacing/>
        <w:jc w:val="both"/>
        <w:rPr>
          <w:rFonts w:eastAsia="Times New Roman" w:cs="Times New Roman"/>
          <w:lang w:eastAsia="pl-PL"/>
        </w:rPr>
      </w:pPr>
      <w:r w:rsidRPr="00A6085B">
        <w:rPr>
          <w:rFonts w:eastAsia="Times New Roman" w:cs="Times New Roman"/>
          <w:b/>
          <w:lang w:eastAsia="pl-PL"/>
        </w:rPr>
        <w:t>Zapewnienia udziału mieszkańców</w:t>
      </w:r>
      <w:r w:rsidRPr="00A6085B">
        <w:rPr>
          <w:rFonts w:eastAsia="Times New Roman" w:cs="Times New Roman"/>
          <w:lang w:eastAsia="pl-PL"/>
        </w:rPr>
        <w:t xml:space="preserve"> miasta (obszaru zdegradowanego) oraz innych partnerów (społecznych i gospodarczych) w przygotowaniu programu rewitalizacji i jego wdrażaniu (m.in. poprzez powołanie komitetu rewitalizacji, określenie sposobu jego tworzenia i jego głównych zadań). Istnieje potrzeba ustawowego umocowania komitetu rewitalizacji – jako formalnej struktury zapewniającej współdziałanie organów gminy, mieszkańców i interesariuszy z obszaru rewitalizacji. W skład komitetu wchodzić powinni przedstawiciele wybrani przez radę gminy, wskazani przez wójta (burmistrza albo prezydenta miasta) oraz przedstawiciele interesariuszy (mieszkańców, inwestorów, właścicieli nieruchomości i in.). Zadaniem komitetu powinna być współpraca z gminą zarówno przy opracowaniu programu rewitalizacji jak i podczas jego realizacji i monitorowaniu. Celem działań komitetu rewitalizacji byłaby przede wszystkim koordynacja przedsięwzięć podejmowanych na obszarze rewitalizacji przez wszystkie zainteresowane podmioty. </w:t>
      </w:r>
    </w:p>
    <w:p w:rsidR="00A6085B" w:rsidRPr="00A6085B" w:rsidRDefault="00A6085B" w:rsidP="00A6085B">
      <w:pPr>
        <w:ind w:left="360"/>
        <w:contextualSpacing/>
        <w:jc w:val="both"/>
        <w:rPr>
          <w:rFonts w:eastAsia="Times New Roman" w:cs="Times New Roman"/>
          <w:lang w:eastAsia="pl-PL"/>
        </w:rPr>
      </w:pPr>
    </w:p>
    <w:p w:rsidR="00A6085B" w:rsidRPr="00A6085B" w:rsidRDefault="00A6085B" w:rsidP="00A6085B">
      <w:pPr>
        <w:tabs>
          <w:tab w:val="left" w:pos="284"/>
        </w:tabs>
        <w:jc w:val="both"/>
        <w:rPr>
          <w:rFonts w:eastAsia="Times New Roman" w:cs="Times New Roman"/>
          <w:b/>
          <w:lang w:eastAsia="pl-PL"/>
        </w:rPr>
      </w:pPr>
      <w:r w:rsidRPr="00A6085B">
        <w:rPr>
          <w:rFonts w:eastAsia="Times New Roman" w:cs="Times New Roman"/>
          <w:b/>
          <w:lang w:eastAsia="pl-PL"/>
        </w:rPr>
        <w:t xml:space="preserve">b) Zagadnień dotyczących powiązania rewitalizacji i planowania przestrzennego: </w:t>
      </w:r>
    </w:p>
    <w:p w:rsidR="00A6085B" w:rsidRPr="00A6085B" w:rsidRDefault="00A6085B" w:rsidP="00A6085B">
      <w:pPr>
        <w:tabs>
          <w:tab w:val="left" w:pos="284"/>
        </w:tabs>
        <w:jc w:val="both"/>
        <w:rPr>
          <w:rFonts w:eastAsia="Times New Roman" w:cs="Times New Roman"/>
          <w:lang w:eastAsia="pl-PL"/>
        </w:rPr>
      </w:pPr>
      <w:r w:rsidRPr="00A6085B">
        <w:rPr>
          <w:rFonts w:eastAsia="Times New Roman" w:cs="Times New Roman"/>
          <w:b/>
          <w:lang w:eastAsia="pl-PL"/>
        </w:rPr>
        <w:lastRenderedPageBreak/>
        <w:t>Powiązania procesów rewitalizacyjnych z planowaniem przestrzennym gminy</w:t>
      </w:r>
      <w:r w:rsidRPr="00A6085B">
        <w:rPr>
          <w:rFonts w:eastAsia="Times New Roman" w:cs="Times New Roman"/>
          <w:lang w:eastAsia="pl-PL"/>
        </w:rPr>
        <w:t xml:space="preserve"> (wówczas, kiedy planowana rewitalizacja zakłada przekształcenia w zagospodarowaniu przestrzennym), tak aby doprecyzować i jednoznacznie uregulować zasady koordynowania działań rewitalizacyjnych (programu rewitalizacji) z planowaniem przestrzennym (MPZP, SUiKZP). </w:t>
      </w:r>
    </w:p>
    <w:p w:rsidR="00A6085B" w:rsidRPr="00A6085B" w:rsidRDefault="00A6085B" w:rsidP="00A6085B">
      <w:pPr>
        <w:numPr>
          <w:ilvl w:val="0"/>
          <w:numId w:val="1"/>
        </w:numPr>
        <w:contextualSpacing/>
        <w:jc w:val="both"/>
        <w:rPr>
          <w:rFonts w:eastAsia="Times New Roman" w:cs="Times New Roman"/>
          <w:lang w:eastAsia="pl-PL"/>
        </w:rPr>
      </w:pPr>
      <w:r w:rsidRPr="00A6085B">
        <w:rPr>
          <w:rFonts w:eastAsia="Times New Roman" w:cs="Times New Roman"/>
          <w:b/>
          <w:lang w:eastAsia="pl-PL"/>
        </w:rPr>
        <w:t>Uregulowania problematyki nieruchomości porzuconych i nieruchomości, których stan prawny nie jest ustalony,</w:t>
      </w:r>
      <w:r w:rsidRPr="00A6085B">
        <w:rPr>
          <w:rFonts w:eastAsia="Times New Roman" w:cs="Times New Roman"/>
          <w:lang w:eastAsia="pl-PL"/>
        </w:rPr>
        <w:t xml:space="preserve"> co blokuje samorządom możliwość podjęcia działań wobec nich, </w:t>
      </w:r>
      <w:r w:rsidRPr="00A6085B">
        <w:rPr>
          <w:rFonts w:eastAsia="Times New Roman" w:cs="Times New Roman"/>
          <w:lang w:eastAsia="pl-PL"/>
        </w:rPr>
        <w:br/>
        <w:t xml:space="preserve">w tym także prowadzenia inwestycji na tym obszarze. </w:t>
      </w:r>
    </w:p>
    <w:p w:rsidR="00A6085B" w:rsidRPr="00A6085B" w:rsidRDefault="00A6085B" w:rsidP="00A6085B">
      <w:pPr>
        <w:numPr>
          <w:ilvl w:val="0"/>
          <w:numId w:val="1"/>
        </w:numPr>
        <w:contextualSpacing/>
        <w:jc w:val="both"/>
        <w:rPr>
          <w:rFonts w:eastAsia="Times New Roman" w:cs="Times New Roman"/>
          <w:lang w:eastAsia="pl-PL"/>
        </w:rPr>
      </w:pPr>
      <w:r w:rsidRPr="00A6085B">
        <w:rPr>
          <w:rFonts w:eastAsia="Times New Roman" w:cs="Times New Roman"/>
          <w:b/>
          <w:lang w:eastAsia="pl-PL"/>
        </w:rPr>
        <w:t>Wprowadzenia narzędzi urbanistyki operacyjnej,</w:t>
      </w:r>
      <w:r w:rsidRPr="00A6085B">
        <w:rPr>
          <w:rFonts w:eastAsia="Times New Roman" w:cs="Times New Roman"/>
          <w:lang w:eastAsia="pl-PL"/>
        </w:rPr>
        <w:t xml:space="preserve"> które mają stworzyć szerszą paletę rozwiązań pozwalających na skuteczne i spójne działania rewitalizacyjne, szczególnie na obszarach, na których zastosowanie takich narzędzi ma uzasadnienie i może być rozważane.</w:t>
      </w:r>
    </w:p>
    <w:p w:rsidR="00A6085B" w:rsidRPr="00A6085B" w:rsidRDefault="00A6085B" w:rsidP="00A6085B">
      <w:pPr>
        <w:ind w:left="360"/>
        <w:contextualSpacing/>
        <w:jc w:val="both"/>
        <w:rPr>
          <w:rFonts w:eastAsia="Times New Roman" w:cs="Times New Roman"/>
          <w:lang w:eastAsia="pl-PL"/>
        </w:rPr>
      </w:pPr>
    </w:p>
    <w:p w:rsidR="00A6085B" w:rsidRPr="00A6085B" w:rsidRDefault="00A6085B" w:rsidP="00A6085B">
      <w:pPr>
        <w:ind w:left="284" w:hanging="284"/>
        <w:jc w:val="both"/>
        <w:rPr>
          <w:rFonts w:eastAsia="Times New Roman" w:cs="Times New Roman"/>
          <w:b/>
          <w:lang w:eastAsia="pl-PL"/>
        </w:rPr>
      </w:pPr>
      <w:r w:rsidRPr="00A6085B">
        <w:rPr>
          <w:rFonts w:eastAsia="Times New Roman" w:cs="Times New Roman"/>
          <w:b/>
          <w:lang w:eastAsia="pl-PL"/>
        </w:rPr>
        <w:t xml:space="preserve">c) Zagadnień mających na celu stworzenie sprzyjającego otoczenia prawnego i zachęt do działań rewitalizacyjnych </w:t>
      </w:r>
      <w:r w:rsidRPr="00A6085B">
        <w:rPr>
          <w:rFonts w:eastAsia="Times New Roman" w:cs="Times New Roman"/>
          <w:lang w:eastAsia="pl-PL"/>
        </w:rPr>
        <w:t>(po przeprowadzeniu szczegółowej analizy ich powiązań w systemie prawa, celem tych zmian będzie eliminacja utrudnień i ograniczeń w prowadzeniu kompleksowych działań rewitalizacyjnych oraz dla zapewnienia ciągłości działań rewitalizacyjnych):</w:t>
      </w:r>
      <w:r w:rsidRPr="00A6085B">
        <w:rPr>
          <w:rFonts w:eastAsia="Times New Roman" w:cs="Times New Roman"/>
          <w:b/>
          <w:lang w:eastAsia="pl-PL"/>
        </w:rPr>
        <w:t xml:space="preserve"> </w:t>
      </w:r>
    </w:p>
    <w:p w:rsidR="00A6085B" w:rsidRPr="00A6085B" w:rsidRDefault="00A6085B" w:rsidP="00A6085B">
      <w:pPr>
        <w:numPr>
          <w:ilvl w:val="0"/>
          <w:numId w:val="1"/>
        </w:numPr>
        <w:contextualSpacing/>
        <w:jc w:val="both"/>
        <w:rPr>
          <w:rFonts w:eastAsia="Times New Roman" w:cs="Times New Roman"/>
          <w:lang w:eastAsia="pl-PL"/>
        </w:rPr>
      </w:pPr>
      <w:r w:rsidRPr="00A6085B">
        <w:rPr>
          <w:rFonts w:eastAsia="Times New Roman" w:cs="Times New Roman"/>
          <w:b/>
          <w:lang w:eastAsia="pl-PL"/>
        </w:rPr>
        <w:t>Niezbędnych zmian w aktach prawnych regulujących instrumenty, które będą modyfikowane</w:t>
      </w:r>
      <w:r w:rsidRPr="00A6085B">
        <w:rPr>
          <w:rFonts w:eastAsia="Times New Roman" w:cs="Times New Roman"/>
          <w:lang w:eastAsia="pl-PL"/>
        </w:rPr>
        <w:t xml:space="preserve"> pod kątem koncentracji lub preferencji na rzecz obszarów rewitalizowanych,</w:t>
      </w:r>
    </w:p>
    <w:p w:rsidR="00A6085B" w:rsidRPr="00A6085B" w:rsidRDefault="00A6085B" w:rsidP="00A6085B">
      <w:pPr>
        <w:numPr>
          <w:ilvl w:val="0"/>
          <w:numId w:val="1"/>
        </w:numPr>
        <w:contextualSpacing/>
        <w:jc w:val="both"/>
        <w:rPr>
          <w:rFonts w:eastAsia="Times New Roman" w:cs="Times New Roman"/>
          <w:lang w:eastAsia="pl-PL"/>
        </w:rPr>
      </w:pPr>
      <w:r w:rsidRPr="00A6085B">
        <w:rPr>
          <w:rFonts w:eastAsia="Times New Roman" w:cs="Times New Roman"/>
          <w:b/>
          <w:lang w:eastAsia="pl-PL"/>
        </w:rPr>
        <w:t>Rozważenia zmian w podatku od nieruchomości</w:t>
      </w:r>
      <w:r w:rsidRPr="00A6085B">
        <w:rPr>
          <w:rFonts w:eastAsia="Times New Roman" w:cs="Times New Roman"/>
          <w:lang w:eastAsia="pl-PL"/>
        </w:rPr>
        <w:t xml:space="preserve"> (ustawa z dnia 12 stycznia 1991 r. o podatkach i opłatach lokalnych) tak, aby uczynić z niego narzędzie, za pomocą  którego władze gmin mogłyby kształtować trendy w zagospodarowaniu przestrzennym (a więc także promować ideę miasta zawartego i wspierać w ten sposób procesy rewitalizacyjne). Takim mechanizmem mogłaby być możliwość strefowania wysokości podatku na obszarze miasta. </w:t>
      </w:r>
    </w:p>
    <w:p w:rsidR="00A6085B" w:rsidRPr="00A6085B" w:rsidRDefault="00A6085B" w:rsidP="00A6085B">
      <w:pPr>
        <w:numPr>
          <w:ilvl w:val="0"/>
          <w:numId w:val="1"/>
        </w:numPr>
        <w:contextualSpacing/>
        <w:jc w:val="both"/>
        <w:rPr>
          <w:rFonts w:eastAsia="Times New Roman" w:cs="Times New Roman"/>
          <w:lang w:eastAsia="pl-PL"/>
        </w:rPr>
      </w:pPr>
      <w:r w:rsidRPr="00A6085B">
        <w:rPr>
          <w:rFonts w:eastAsia="Times New Roman" w:cs="Times New Roman"/>
          <w:b/>
          <w:lang w:eastAsia="pl-PL"/>
        </w:rPr>
        <w:t>Rozważenia instrumentów zachęcających podmioty prywatne do inwestowania na obszarach zdegradowanych (propozycje zgłoszone przez stronę społeczną i ekspertów).</w:t>
      </w:r>
      <w:r w:rsidRPr="00A6085B">
        <w:rPr>
          <w:rFonts w:eastAsia="Times New Roman" w:cs="Times New Roman"/>
          <w:lang w:eastAsia="pl-PL"/>
        </w:rPr>
        <w:t xml:space="preserve"> Zmobilizowanie kapitału prywatnego do inwestowania na obszarach objętych rewitalizacją jest z zasady z wielu powodów (finansowych, społecznych, organizacyjnych) trudniejsze i droższe do realizacji aniżeli na obszarach niezdegradowanych. </w:t>
      </w:r>
    </w:p>
    <w:p w:rsidR="00A6085B" w:rsidRPr="00A6085B" w:rsidRDefault="00A6085B" w:rsidP="00A6085B">
      <w:pPr>
        <w:ind w:left="360"/>
        <w:contextualSpacing/>
        <w:jc w:val="both"/>
        <w:rPr>
          <w:rFonts w:eastAsia="Times New Roman" w:cs="Times New Roman"/>
          <w:lang w:eastAsia="pl-PL"/>
        </w:rPr>
      </w:pPr>
      <w:r w:rsidRPr="00A6085B">
        <w:rPr>
          <w:rFonts w:eastAsia="Times New Roman" w:cs="Times New Roman"/>
          <w:lang w:eastAsia="pl-PL"/>
        </w:rPr>
        <w:t xml:space="preserve">Wśród działań zachęcających do takich inwestycji i ułatwiających zaangażowanie środków prywatnych, które mogłyby być wprowadzane stopniowo w powiązaniu z możliwościami budżetu państwa, należy przeanalizować co najmniej: </w:t>
      </w:r>
    </w:p>
    <w:p w:rsidR="00A6085B" w:rsidRPr="00A6085B" w:rsidRDefault="00A6085B" w:rsidP="00A6085B">
      <w:pPr>
        <w:numPr>
          <w:ilvl w:val="0"/>
          <w:numId w:val="2"/>
        </w:numPr>
        <w:contextualSpacing/>
        <w:jc w:val="both"/>
        <w:rPr>
          <w:rFonts w:eastAsia="Times New Roman" w:cs="Times New Roman"/>
          <w:lang w:eastAsia="pl-PL"/>
        </w:rPr>
      </w:pPr>
      <w:r w:rsidRPr="00A6085B">
        <w:rPr>
          <w:rFonts w:eastAsia="Times New Roman" w:cs="Times New Roman"/>
          <w:lang w:eastAsia="pl-PL"/>
        </w:rPr>
        <w:t xml:space="preserve">Wprowadzenie „ulgi modernizacyjnej” na działania związane z modernizacją (w tym pod kątem efektywności energetycznej) substancji mieszkaniowej stanowiące uzupełnienie środków publicznych wydatkowanych na modernizację części wspólnych budynków (klatki schodowe, dachy, elewacje). W ten sposób właściciele mieszkań w budynkach objętych rewitalizacją będą zachęcani do włączenia się w kompleksowe działania rewitalizacyjne. </w:t>
      </w:r>
    </w:p>
    <w:p w:rsidR="00A6085B" w:rsidRPr="00A6085B" w:rsidRDefault="00A6085B" w:rsidP="00A6085B">
      <w:pPr>
        <w:numPr>
          <w:ilvl w:val="0"/>
          <w:numId w:val="2"/>
        </w:numPr>
        <w:contextualSpacing/>
        <w:jc w:val="both"/>
        <w:rPr>
          <w:rFonts w:eastAsia="Times New Roman" w:cs="Times New Roman"/>
          <w:lang w:eastAsia="pl-PL"/>
        </w:rPr>
      </w:pPr>
      <w:r w:rsidRPr="00A6085B">
        <w:rPr>
          <w:rFonts w:eastAsia="Times New Roman" w:cs="Times New Roman"/>
          <w:lang w:eastAsia="pl-PL"/>
        </w:rPr>
        <w:t xml:space="preserve">Propozycję wykorzystania instrumentu przyspieszonej amortyzacji dla obiektów/inwestycji zrealizowanych na obszarze objętym programem rewitalizacji, umożliwiającej kilkakrotnie szybszą amortyzację środka trwałego dla podmiotów prywatnych z tytułu realizacji wybranych inwestycji mieszkaniowych lub towarzyszących mieszkalnictwu. Skorzystanie </w:t>
      </w:r>
      <w:r w:rsidRPr="00A6085B">
        <w:rPr>
          <w:rFonts w:eastAsia="Times New Roman" w:cs="Times New Roman"/>
          <w:lang w:eastAsia="pl-PL"/>
        </w:rPr>
        <w:br/>
        <w:t>z tego rozwiązania mogłoby być obwarowane dodatkowymi warunkami istotnymi z punktu widzenia celów rewitalizacji.</w:t>
      </w:r>
    </w:p>
    <w:p w:rsidR="00A6085B" w:rsidRPr="00A6085B" w:rsidRDefault="00A6085B" w:rsidP="00A6085B">
      <w:pPr>
        <w:contextualSpacing/>
        <w:jc w:val="both"/>
        <w:rPr>
          <w:rFonts w:eastAsia="Times New Roman" w:cs="Times New Roman"/>
          <w:lang w:eastAsia="pl-PL"/>
        </w:rPr>
      </w:pPr>
      <w:r w:rsidRPr="00A6085B">
        <w:rPr>
          <w:rFonts w:eastAsia="Times New Roman" w:cs="Times New Roman"/>
          <w:lang w:eastAsia="pl-PL"/>
        </w:rPr>
        <w:t>Należy założyć, że powyższe planowane kierunki zmian będą uzupełniane o dodatkowe, zidentyfikowane w trakcie prac kwestie powodujące potrzebę zmian prawnych.</w:t>
      </w:r>
    </w:p>
    <w:p w:rsidR="00A6085B" w:rsidRPr="00A6085B" w:rsidRDefault="00A6085B" w:rsidP="00A6085B">
      <w:pPr>
        <w:contextualSpacing/>
        <w:jc w:val="both"/>
        <w:rPr>
          <w:rFonts w:eastAsia="Times New Roman" w:cs="Times New Roman"/>
          <w:lang w:eastAsia="pl-PL"/>
        </w:rPr>
      </w:pPr>
    </w:p>
    <w:p w:rsidR="00A6085B" w:rsidRPr="00A6085B" w:rsidRDefault="00A6085B" w:rsidP="00A6085B">
      <w:pPr>
        <w:jc w:val="both"/>
        <w:rPr>
          <w:rFonts w:eastAsia="Times New Roman" w:cs="Times New Roman"/>
          <w:b/>
          <w:u w:val="single"/>
          <w:lang w:eastAsia="pl-PL"/>
        </w:rPr>
      </w:pPr>
      <w:r w:rsidRPr="00A6085B">
        <w:rPr>
          <w:rFonts w:eastAsia="Times New Roman" w:cs="Times New Roman"/>
          <w:b/>
          <w:u w:val="single"/>
          <w:lang w:eastAsia="pl-PL"/>
        </w:rPr>
        <w:t>Programy Rewitalizacji</w:t>
      </w:r>
    </w:p>
    <w:p w:rsidR="00A6085B" w:rsidRPr="00A6085B" w:rsidRDefault="00A6085B" w:rsidP="00A6085B">
      <w:pPr>
        <w:jc w:val="both"/>
        <w:rPr>
          <w:rFonts w:eastAsia="Times New Roman" w:cs="Times New Roman"/>
          <w:b/>
          <w:lang w:eastAsia="pl-PL"/>
        </w:rPr>
      </w:pPr>
      <w:r w:rsidRPr="00A6085B">
        <w:rPr>
          <w:rFonts w:eastAsia="Times New Roman" w:cs="Times New Roman"/>
          <w:lang w:eastAsia="pl-PL"/>
        </w:rPr>
        <w:t xml:space="preserve">Program rewitalizacji ma stanowić podstawę prowadzenia działań rewitalizacyjnych. Musi on być podstawowym instrumentem tworzącym ramy operacyjne i płaszczyznę koordynacji działań rewitalizacyjnych. Program rewitalizacji to opracowany i uchwalony przez samorząd lokalny wieloletni program działań zmierzający do wyprowadzenia obszarów zdegradowanych ze stanu kryzysu oraz stworzenia warunków do ich dalszego rozwoju. Objęcie danego obszaru programem rewitalizacji będzie stanowiło podstawę wspierania go poprzez instrumenty/narzędzia dedykowane rewitalizacji (programy unijne i instrumenty krajowe) lub korzystania z preferencji w innych instrumentach, programach i działaniach sektorowych.  </w:t>
      </w:r>
    </w:p>
    <w:p w:rsidR="00A6085B" w:rsidRPr="00A6085B" w:rsidRDefault="00A6085B" w:rsidP="00A6085B">
      <w:pPr>
        <w:jc w:val="both"/>
        <w:rPr>
          <w:rFonts w:eastAsia="Times New Roman" w:cs="Times New Roman"/>
          <w:u w:val="single"/>
          <w:lang w:eastAsia="pl-PL"/>
        </w:rPr>
      </w:pPr>
      <w:r w:rsidRPr="00A6085B">
        <w:rPr>
          <w:rFonts w:eastAsia="Times New Roman" w:cs="Times New Roman"/>
          <w:u w:val="single"/>
          <w:lang w:eastAsia="pl-PL"/>
        </w:rPr>
        <w:t xml:space="preserve">Programy rewitalizacji – generalny zakres i sposób przygotowania </w:t>
      </w:r>
    </w:p>
    <w:p w:rsidR="00A6085B" w:rsidRPr="00A6085B" w:rsidRDefault="00A6085B" w:rsidP="00A6085B">
      <w:pPr>
        <w:jc w:val="both"/>
        <w:rPr>
          <w:rFonts w:eastAsia="Times New Roman" w:cs="Times New Roman"/>
          <w:lang w:eastAsia="pl-PL"/>
        </w:rPr>
      </w:pPr>
      <w:r w:rsidRPr="00A6085B">
        <w:rPr>
          <w:rFonts w:eastAsia="Times New Roman" w:cs="Times New Roman"/>
          <w:lang w:eastAsia="pl-PL"/>
        </w:rPr>
        <w:t xml:space="preserve">Program rewitalizacji musi mieć charakter zintegrowany, wieloaspektowy, obejmujący zidentyfikowany na podstawie przeprowadzonej diagnozy obszar kryzysowy. W procesie przygotowania programu konieczne jest także przygotowanie pogłębionej diagnozy społecznej dla określenia ewentualnych potrzeb podjęcia wyprzedzających działań o charakterze społecznym (pobudzającym aktywność lokalną) przygotowujących w kolejnym etapie do działań rewitalizacyjnych o bardziej złożonym, kompleksowym charakterze i oddziaływaniu. </w:t>
      </w:r>
    </w:p>
    <w:p w:rsidR="00A6085B" w:rsidRPr="00A6085B" w:rsidRDefault="00A6085B" w:rsidP="00A6085B">
      <w:pPr>
        <w:jc w:val="both"/>
        <w:rPr>
          <w:rFonts w:eastAsia="Times New Roman" w:cs="Times New Roman"/>
          <w:lang w:eastAsia="pl-PL"/>
        </w:rPr>
      </w:pPr>
      <w:r w:rsidRPr="00A6085B">
        <w:rPr>
          <w:rFonts w:eastAsia="Times New Roman" w:cs="Times New Roman"/>
          <w:lang w:eastAsia="pl-PL"/>
        </w:rPr>
        <w:t xml:space="preserve">Procesy rewitalizacji muszą być określane przy założeniu precyzyjnego skoncentrowania na najbardziej zdegradowanych (problemowych) obszarach. Program rewitalizacji musi jednoznacznie wskazywać obszary w oparciu o zasadę, że rewitalizację należy prowadzić tam, gdzie występuje największe nasilenie niepożądanych zjawisk i gdzie koncentracja problemów jest największa.  </w:t>
      </w:r>
    </w:p>
    <w:p w:rsidR="00A6085B" w:rsidRPr="00A6085B" w:rsidRDefault="00A6085B" w:rsidP="00A6085B">
      <w:pPr>
        <w:jc w:val="both"/>
        <w:rPr>
          <w:rFonts w:eastAsia="Times New Roman" w:cs="Times New Roman"/>
          <w:lang w:eastAsia="pl-PL"/>
        </w:rPr>
      </w:pPr>
      <w:r w:rsidRPr="00A6085B">
        <w:rPr>
          <w:rFonts w:eastAsia="Times New Roman" w:cs="Times New Roman"/>
          <w:lang w:eastAsia="pl-PL"/>
        </w:rPr>
        <w:t xml:space="preserve">Realizacja działań wynikających z programu powinna wiązać się z ich prioryetyzacją </w:t>
      </w:r>
      <w:r w:rsidRPr="00A6085B">
        <w:rPr>
          <w:rFonts w:eastAsia="Times New Roman" w:cs="Times New Roman"/>
          <w:lang w:eastAsia="pl-PL"/>
        </w:rPr>
        <w:br/>
        <w:t>i identyfikacją przedsięwzięć koniecznych, a nie jednocześnie wszystkich możliwych do objęcia bez względu na ich efektywność. Działania rewitalizacyjne muszą koncentrować się na rozwiązaniu kluczowych problemów, które według diagnozy najbardziej przyczyniają się do powstania ·i trwania kryzysu danego obszaru. Co do zasady projekty powinny być realizowane na obszarach zdegradowanych, nie musi być to jednak regułą bezwzględnie obowiązującą, gdyż niektóre problemy obszarów zdegradowanych mogą być rozwiązywane dzięki realizacji projektów poza tymi obszarami (np. projekty dot. aktywizacji zawodowej).</w:t>
      </w:r>
    </w:p>
    <w:p w:rsidR="00A6085B" w:rsidRPr="00A6085B" w:rsidRDefault="00A6085B" w:rsidP="00A6085B">
      <w:pPr>
        <w:jc w:val="both"/>
        <w:rPr>
          <w:rFonts w:eastAsia="Times New Roman" w:cs="Times New Roman"/>
          <w:lang w:eastAsia="pl-PL"/>
        </w:rPr>
      </w:pPr>
      <w:r w:rsidRPr="00A6085B">
        <w:rPr>
          <w:rFonts w:eastAsia="Times New Roman" w:cs="Times New Roman"/>
          <w:lang w:eastAsia="pl-PL"/>
        </w:rPr>
        <w:t>Programy rewitalizacji muszą ujmować działania w sposób kompleksowy tak, aby nie pomijać kontekstu społecznego, ekonomicznego, środowiskowego związanego z tożsamością danego obszaru, a także jego społecznego i przestrzennego otoczenia. Z natury rzeczy obszarowe podejście do formułowania programu rewitalizacji spowoduje, że będzie on miał treść niejednorodną pod względem szczegółowości – w odniesieniu do tych zagadnień, w których wykorzystane będą środki publiczne, będzie on bardziej konkretny i wiążący, a w odniesieniu do zagadnień, w których zakłada się wzbudzenie lub wywołanie określonych działań podmiotów prywatnych, będzie miał bardziej indykatywny charakter.</w:t>
      </w:r>
    </w:p>
    <w:p w:rsidR="00A6085B" w:rsidRPr="00A6085B" w:rsidRDefault="00A6085B" w:rsidP="00A6085B">
      <w:pPr>
        <w:jc w:val="both"/>
        <w:rPr>
          <w:rFonts w:eastAsia="Times New Roman" w:cs="Times New Roman"/>
          <w:lang w:eastAsia="pl-PL"/>
        </w:rPr>
      </w:pPr>
      <w:r w:rsidRPr="00A6085B">
        <w:rPr>
          <w:rFonts w:eastAsia="Times New Roman" w:cs="Times New Roman"/>
          <w:lang w:eastAsia="pl-PL"/>
        </w:rPr>
        <w:t xml:space="preserve">Należy podkreślić, że konieczne jest dążenie w realizacji programów rewitalizacji do koordynacji instrumentów wsparcia. Na przykład w zakresie procesów rewitalizacyjnych pośrednio lub bezpośrednio związanych z prowadzeniem inwestycji w budynkach, w szczególności w sposób </w:t>
      </w:r>
      <w:r w:rsidRPr="00A6085B">
        <w:rPr>
          <w:rFonts w:eastAsia="Times New Roman" w:cs="Times New Roman"/>
          <w:lang w:eastAsia="pl-PL"/>
        </w:rPr>
        <w:lastRenderedPageBreak/>
        <w:t xml:space="preserve">komplementarny powinny być traktowane takie instrumenty jak Fundusz Termomodernizacji </w:t>
      </w:r>
      <w:r w:rsidRPr="00A6085B">
        <w:rPr>
          <w:rFonts w:eastAsia="Times New Roman" w:cs="Times New Roman"/>
          <w:lang w:eastAsia="pl-PL"/>
        </w:rPr>
        <w:br/>
        <w:t xml:space="preserve">i Remontów i programy NFOŚiGW dotyczące modernizacji budynków publicznych oraz działania finansowane ze środków UE (w ramach POIiŚ oraz RPO) dotyczące efektywności energetycznej </w:t>
      </w:r>
      <w:r w:rsidRPr="00A6085B">
        <w:rPr>
          <w:rFonts w:eastAsia="Times New Roman" w:cs="Times New Roman"/>
          <w:lang w:eastAsia="pl-PL"/>
        </w:rPr>
        <w:br/>
        <w:t xml:space="preserve">i rewitalizacji budynków mieszkalnych i publicznych. Spójne powinny być również działania finansowane z Funduszu Dopłat z działaniami finansowanymi ze środków UE w ramach PO WER </w:t>
      </w:r>
      <w:r w:rsidRPr="00A6085B">
        <w:rPr>
          <w:rFonts w:eastAsia="Times New Roman" w:cs="Times New Roman"/>
          <w:lang w:eastAsia="pl-PL"/>
        </w:rPr>
        <w:br/>
        <w:t xml:space="preserve">i RPO. W szczególności dotyczy to tworzenia i obsługi mieszkań dla tzw. grup specjalnych - osoby starsze, osoby niepełnosprawne, osoby opuszczające dom dziecka, imigranci itp. </w:t>
      </w:r>
    </w:p>
    <w:p w:rsidR="00A6085B" w:rsidRPr="00A6085B" w:rsidRDefault="00A6085B" w:rsidP="00A6085B">
      <w:pPr>
        <w:jc w:val="both"/>
        <w:rPr>
          <w:rFonts w:eastAsia="Times New Roman" w:cs="Times New Roman"/>
          <w:lang w:eastAsia="pl-PL"/>
        </w:rPr>
      </w:pPr>
      <w:r w:rsidRPr="00A6085B">
        <w:rPr>
          <w:rFonts w:eastAsia="Times New Roman" w:cs="Times New Roman"/>
          <w:lang w:eastAsia="pl-PL"/>
        </w:rPr>
        <w:t xml:space="preserve">Konieczne jest angażowanie społeczeństwa i umożliwienie szerokiej partycypacji ·w procesie przygotowania, a potem ich realizacji/wdrażania programów, partycypacja społeczna musi być „wpisana” w proces rewitalizacji, jako fundament wielu działań. </w:t>
      </w:r>
    </w:p>
    <w:p w:rsidR="00A6085B" w:rsidRPr="00A6085B" w:rsidRDefault="00A6085B" w:rsidP="00A6085B">
      <w:pPr>
        <w:jc w:val="both"/>
        <w:rPr>
          <w:rFonts w:eastAsia="Times New Roman" w:cs="Times New Roman"/>
          <w:lang w:eastAsia="pl-PL"/>
        </w:rPr>
      </w:pPr>
      <w:r w:rsidRPr="00A6085B">
        <w:rPr>
          <w:rFonts w:eastAsia="Times New Roman" w:cs="Times New Roman"/>
          <w:lang w:eastAsia="pl-PL"/>
        </w:rPr>
        <w:t xml:space="preserve">Ważne jest, aby programy rewitalizacji musiały posiadać przejrzysty system monitoringu skuteczności działań i odpowiednio elastyczny system wprowadzania modyfikacji w reakcji na zmiany. </w:t>
      </w:r>
    </w:p>
    <w:p w:rsidR="00A6085B" w:rsidRPr="00A6085B" w:rsidRDefault="00A6085B" w:rsidP="00A6085B">
      <w:pPr>
        <w:jc w:val="both"/>
        <w:rPr>
          <w:rFonts w:eastAsia="Times New Roman" w:cs="Times New Roman"/>
          <w:u w:val="single"/>
          <w:lang w:eastAsia="pl-PL"/>
        </w:rPr>
      </w:pPr>
      <w:r w:rsidRPr="00A6085B">
        <w:rPr>
          <w:rFonts w:eastAsia="Times New Roman" w:cs="Times New Roman"/>
          <w:u w:val="single"/>
          <w:lang w:eastAsia="pl-PL"/>
        </w:rPr>
        <w:t xml:space="preserve">Program Rewitalizacji musi zawierać, co najmniej:  </w:t>
      </w:r>
    </w:p>
    <w:p w:rsidR="00A6085B" w:rsidRPr="00A6085B" w:rsidRDefault="00A6085B" w:rsidP="00A6085B">
      <w:pPr>
        <w:jc w:val="both"/>
        <w:rPr>
          <w:rFonts w:eastAsia="Times New Roman" w:cs="Times New Roman"/>
          <w:lang w:eastAsia="pl-PL"/>
        </w:rPr>
      </w:pPr>
      <w:r w:rsidRPr="00A6085B">
        <w:rPr>
          <w:rFonts w:eastAsia="Times New Roman" w:cs="Times New Roman"/>
          <w:lang w:eastAsia="pl-PL"/>
        </w:rPr>
        <w:t>−  diagnozę i identyfikację potrzeb rewitalizacyjnych,</w:t>
      </w:r>
    </w:p>
    <w:p w:rsidR="00A6085B" w:rsidRPr="00A6085B" w:rsidRDefault="00A6085B" w:rsidP="00A6085B">
      <w:pPr>
        <w:jc w:val="both"/>
        <w:rPr>
          <w:rFonts w:eastAsia="Times New Roman" w:cs="Times New Roman"/>
          <w:lang w:eastAsia="pl-PL"/>
        </w:rPr>
      </w:pPr>
      <w:r w:rsidRPr="00A6085B">
        <w:rPr>
          <w:rFonts w:eastAsia="Times New Roman" w:cs="Times New Roman"/>
          <w:lang w:eastAsia="pl-PL"/>
        </w:rPr>
        <w:t xml:space="preserve">−  określenie terytoriów wymagających wsparcia, </w:t>
      </w:r>
    </w:p>
    <w:p w:rsidR="00A6085B" w:rsidRPr="00A6085B" w:rsidRDefault="00A6085B" w:rsidP="00A6085B">
      <w:pPr>
        <w:ind w:left="284" w:hanging="284"/>
        <w:jc w:val="both"/>
        <w:rPr>
          <w:rFonts w:eastAsia="Times New Roman" w:cs="Times New Roman"/>
          <w:lang w:eastAsia="pl-PL"/>
        </w:rPr>
      </w:pPr>
      <w:r w:rsidRPr="00A6085B">
        <w:rPr>
          <w:rFonts w:eastAsia="Times New Roman" w:cs="Times New Roman"/>
          <w:lang w:eastAsia="pl-PL"/>
        </w:rPr>
        <w:t xml:space="preserve">−  wizję wyprowadzenia obszaru zdegradowanego z sytuacji kryzysowej ze wskazaniem kierunków działań i wynikających z nich najważniejszych przedsięwzięć, </w:t>
      </w:r>
    </w:p>
    <w:p w:rsidR="00A6085B" w:rsidRPr="00A6085B" w:rsidRDefault="00A6085B" w:rsidP="00A6085B">
      <w:pPr>
        <w:ind w:left="284" w:hanging="284"/>
        <w:jc w:val="both"/>
        <w:rPr>
          <w:rFonts w:eastAsia="Times New Roman" w:cs="Times New Roman"/>
          <w:lang w:eastAsia="pl-PL"/>
        </w:rPr>
      </w:pPr>
      <w:r w:rsidRPr="00A6085B">
        <w:rPr>
          <w:rFonts w:eastAsia="Times New Roman" w:cs="Times New Roman"/>
          <w:lang w:eastAsia="pl-PL"/>
        </w:rPr>
        <w:t xml:space="preserve">−  mechanizmy zapewnienia komplementarności między poszczególnymi przedsięwzięciami rewitalizacyjnymi oraz pomiędzy działaniami różnych podmiotów i funduszy na danym obszarze zdegradowanym, </w:t>
      </w:r>
    </w:p>
    <w:p w:rsidR="00A6085B" w:rsidRPr="00A6085B" w:rsidRDefault="00A6085B" w:rsidP="00A6085B">
      <w:pPr>
        <w:jc w:val="both"/>
        <w:rPr>
          <w:rFonts w:eastAsia="Times New Roman" w:cs="Times New Roman"/>
          <w:lang w:eastAsia="pl-PL"/>
        </w:rPr>
      </w:pPr>
      <w:r w:rsidRPr="00A6085B">
        <w:rPr>
          <w:rFonts w:eastAsia="Times New Roman" w:cs="Times New Roman"/>
          <w:lang w:eastAsia="pl-PL"/>
        </w:rPr>
        <w:t xml:space="preserve">−  opis zaangażowania społeczności i innych partnerów w przygotowanie i realizację programu, </w:t>
      </w:r>
    </w:p>
    <w:p w:rsidR="00A6085B" w:rsidRPr="00A6085B" w:rsidRDefault="00A6085B" w:rsidP="00A6085B">
      <w:pPr>
        <w:ind w:left="284" w:hanging="284"/>
        <w:jc w:val="both"/>
        <w:rPr>
          <w:rFonts w:eastAsia="Times New Roman" w:cs="Times New Roman"/>
          <w:lang w:eastAsia="pl-PL"/>
        </w:rPr>
      </w:pPr>
      <w:r w:rsidRPr="00A6085B">
        <w:rPr>
          <w:rFonts w:eastAsia="Times New Roman" w:cs="Times New Roman"/>
          <w:lang w:eastAsia="pl-PL"/>
        </w:rPr>
        <w:t xml:space="preserve">−  ramy finansowe, z uwzględnieniem różnych źródeł finansowania tj. oprócz finansowania unijnego także finasowanie krajowe czy środki prywatne (z uwzględnieniem zróżnicowania wynikającego ze stopnia pewności co do uzyskania/zapewnienia danych środków), </w:t>
      </w:r>
    </w:p>
    <w:p w:rsidR="00A6085B" w:rsidRPr="00A6085B" w:rsidRDefault="00A6085B" w:rsidP="00A6085B">
      <w:pPr>
        <w:jc w:val="both"/>
        <w:rPr>
          <w:rFonts w:eastAsia="Times New Roman" w:cs="Times New Roman"/>
          <w:lang w:eastAsia="pl-PL"/>
        </w:rPr>
      </w:pPr>
      <w:r w:rsidRPr="00A6085B">
        <w:rPr>
          <w:rFonts w:eastAsia="Times New Roman" w:cs="Times New Roman"/>
          <w:lang w:eastAsia="pl-PL"/>
        </w:rPr>
        <w:t>−  system monitorowania zmiany i skuteczności działań.</w:t>
      </w:r>
    </w:p>
    <w:p w:rsidR="00A6085B" w:rsidRPr="00A6085B" w:rsidRDefault="00A6085B" w:rsidP="00A6085B">
      <w:pPr>
        <w:jc w:val="both"/>
        <w:rPr>
          <w:rFonts w:eastAsia="Times New Roman" w:cs="Times New Roman"/>
          <w:lang w:eastAsia="pl-PL"/>
        </w:rPr>
      </w:pPr>
      <w:r w:rsidRPr="00A6085B">
        <w:rPr>
          <w:rFonts w:eastAsia="Times New Roman" w:cs="Times New Roman"/>
          <w:lang w:eastAsia="pl-PL"/>
        </w:rPr>
        <w:t xml:space="preserve">Prawidłowo przygotowywany i poprawnie skonstruowany program rewitalizacji powstaje w procesie partycypacji społecznej przy zaangażowaniu społeczności lokalnej i szerokiego grona partnerów. Dla zapewnienia udziału wszystkich interesariuszy w przygotowaniu i realizacji programu rewitalizacji powołuje się na poziomie lokalnym komitet rewitalizacji. Program rewitalizacji musi także posiadać przejrzysty system monitoringu skuteczności działań i odpowiednio elastyczny system wprowadzania modyfikacji w reakcji na zmiany w otoczeniu programu.  </w:t>
      </w:r>
    </w:p>
    <w:p w:rsidR="00A6085B" w:rsidRPr="00A6085B" w:rsidRDefault="00A6085B" w:rsidP="00A6085B">
      <w:pPr>
        <w:jc w:val="both"/>
        <w:rPr>
          <w:rFonts w:eastAsia="Times New Roman" w:cs="Times New Roman"/>
          <w:lang w:eastAsia="pl-PL"/>
        </w:rPr>
      </w:pPr>
      <w:r w:rsidRPr="00A6085B">
        <w:rPr>
          <w:rFonts w:eastAsia="Times New Roman" w:cs="Times New Roman"/>
          <w:b/>
          <w:lang w:eastAsia="pl-PL"/>
        </w:rPr>
        <w:t xml:space="preserve">Za określenie obszaru zdegradowanego wymagającego najbardziej kompleksowej interwencji </w:t>
      </w:r>
      <w:r w:rsidRPr="00A6085B">
        <w:rPr>
          <w:rFonts w:eastAsia="Times New Roman" w:cs="Times New Roman"/>
          <w:b/>
          <w:lang w:eastAsia="pl-PL"/>
        </w:rPr>
        <w:br/>
        <w:t>i wskazanie go w programie rewitalizacji odpowiadają władze gminy.</w:t>
      </w:r>
      <w:r w:rsidRPr="00A6085B">
        <w:rPr>
          <w:rFonts w:eastAsia="Times New Roman" w:cs="Times New Roman"/>
          <w:lang w:eastAsia="pl-PL"/>
        </w:rPr>
        <w:t xml:space="preserve"> Jednocześnie podejście do tego zagadnienia (w przypadku ubiegania się o wsparcie rewitalizacji z FE) podlegać będzie koordynacji i uspójnieniu w ramach procedur wdrażania Regionalnych Programów Operacyjnych.  </w:t>
      </w:r>
    </w:p>
    <w:p w:rsidR="00A6085B" w:rsidRPr="00A6085B" w:rsidRDefault="00A6085B" w:rsidP="00A6085B">
      <w:pPr>
        <w:jc w:val="both"/>
        <w:rPr>
          <w:rFonts w:eastAsia="Times New Roman" w:cs="Times New Roman"/>
          <w:b/>
          <w:u w:val="single"/>
          <w:lang w:eastAsia="pl-PL"/>
        </w:rPr>
      </w:pPr>
      <w:r w:rsidRPr="00A6085B">
        <w:rPr>
          <w:rFonts w:eastAsia="Times New Roman" w:cs="Times New Roman"/>
          <w:b/>
          <w:u w:val="single"/>
          <w:lang w:eastAsia="pl-PL"/>
        </w:rPr>
        <w:t>Finansowanie Narodowego Planu Rewitalizacji</w:t>
      </w:r>
    </w:p>
    <w:p w:rsidR="00A6085B" w:rsidRPr="00A6085B" w:rsidRDefault="00A6085B" w:rsidP="00A6085B">
      <w:pPr>
        <w:jc w:val="both"/>
        <w:rPr>
          <w:rFonts w:eastAsia="Times New Roman" w:cs="Times New Roman"/>
          <w:lang w:eastAsia="pl-PL"/>
        </w:rPr>
      </w:pPr>
      <w:r w:rsidRPr="00A6085B">
        <w:rPr>
          <w:rFonts w:eastAsia="Times New Roman" w:cs="Times New Roman"/>
          <w:lang w:eastAsia="pl-PL"/>
        </w:rPr>
        <w:lastRenderedPageBreak/>
        <w:t xml:space="preserve">Finansowanie działań w ramach Narodowego Planu Rewitalizacji będzie pochodzić z następujących źródeł, dedykowanych w całości lub częściowo celom rewitalizacji: </w:t>
      </w:r>
    </w:p>
    <w:p w:rsidR="00A6085B" w:rsidRPr="00A6085B" w:rsidRDefault="00A6085B" w:rsidP="00A6085B">
      <w:pPr>
        <w:ind w:left="284" w:hanging="284"/>
        <w:jc w:val="both"/>
        <w:rPr>
          <w:rFonts w:eastAsia="Times New Roman" w:cs="Times New Roman"/>
          <w:lang w:eastAsia="pl-PL"/>
        </w:rPr>
      </w:pPr>
      <w:r w:rsidRPr="00A6085B">
        <w:rPr>
          <w:rFonts w:eastAsia="Times New Roman" w:cs="Times New Roman"/>
          <w:lang w:eastAsia="pl-PL"/>
        </w:rPr>
        <w:t xml:space="preserve">a)  </w:t>
      </w:r>
      <w:r w:rsidRPr="00A6085B">
        <w:rPr>
          <w:rFonts w:eastAsia="Times New Roman" w:cs="Times New Roman"/>
          <w:b/>
          <w:lang w:eastAsia="pl-PL"/>
        </w:rPr>
        <w:t>Publicznych wspólnotowych</w:t>
      </w:r>
      <w:r w:rsidRPr="00A6085B">
        <w:rPr>
          <w:rFonts w:eastAsia="Times New Roman" w:cs="Times New Roman"/>
          <w:lang w:eastAsia="pl-PL"/>
        </w:rPr>
        <w:t xml:space="preserve"> (Europejskich Funduszy Strukturalnych i Inwestycyjnych: EFRR, EFS i Funduszu Spójności, w ramach programów regionalnych i krajowych, w tym także sukcesywne  zasilanie środkami pochodzącymi ze spłaty pożyczek udzielonych w ramach instrumentu Jessica). </w:t>
      </w:r>
    </w:p>
    <w:p w:rsidR="00A6085B" w:rsidRPr="00A6085B" w:rsidRDefault="00A6085B" w:rsidP="00A6085B">
      <w:pPr>
        <w:ind w:left="284" w:hanging="284"/>
        <w:jc w:val="both"/>
        <w:rPr>
          <w:rFonts w:eastAsia="Times New Roman" w:cs="Times New Roman"/>
          <w:lang w:eastAsia="pl-PL"/>
        </w:rPr>
      </w:pPr>
      <w:r w:rsidRPr="00A6085B">
        <w:rPr>
          <w:rFonts w:eastAsia="Times New Roman" w:cs="Times New Roman"/>
          <w:lang w:eastAsia="pl-PL"/>
        </w:rPr>
        <w:t xml:space="preserve">b)  </w:t>
      </w:r>
      <w:r w:rsidRPr="00A6085B">
        <w:rPr>
          <w:rFonts w:eastAsia="Times New Roman" w:cs="Times New Roman"/>
          <w:b/>
          <w:lang w:eastAsia="pl-PL"/>
        </w:rPr>
        <w:t>Publicznych krajowych</w:t>
      </w:r>
      <w:r w:rsidRPr="00A6085B">
        <w:rPr>
          <w:rFonts w:eastAsia="Times New Roman" w:cs="Times New Roman"/>
          <w:lang w:eastAsia="pl-PL"/>
        </w:rPr>
        <w:t xml:space="preserve"> – istniejących instrumentów i źródeł (poprzez terytorialne profilowanie -  ukierunkowywanie na obszary zdegradowane istniejących instrumentów różnych polityk  dotyczących m.in. wykluczenia społecznego, edukacji, infrastruktury, środowiska, kultury, zabytków, mieszkalnictwa itd.) oraz sukcesywnie tworzonych nowych (w tym obejmujących instrumenty inżynierii finansowej). Wolumen środków i identyfikacja źródeł określane będą </w:t>
      </w:r>
      <w:r w:rsidRPr="00A6085B">
        <w:rPr>
          <w:rFonts w:eastAsia="Times New Roman" w:cs="Times New Roman"/>
          <w:lang w:eastAsia="pl-PL"/>
        </w:rPr>
        <w:br/>
        <w:t xml:space="preserve">w ramach prac i uzgodnień międzyresortowych indywidualnie dla poszczególnych instrumentów. </w:t>
      </w:r>
    </w:p>
    <w:p w:rsidR="00A6085B" w:rsidRPr="00A6085B" w:rsidRDefault="00A6085B" w:rsidP="00A6085B">
      <w:pPr>
        <w:ind w:left="284" w:hanging="284"/>
        <w:jc w:val="both"/>
        <w:rPr>
          <w:rFonts w:eastAsia="Times New Roman" w:cs="Times New Roman"/>
          <w:lang w:eastAsia="pl-PL"/>
        </w:rPr>
      </w:pPr>
      <w:r w:rsidRPr="00A6085B">
        <w:rPr>
          <w:rFonts w:eastAsia="Times New Roman" w:cs="Times New Roman"/>
          <w:lang w:eastAsia="pl-PL"/>
        </w:rPr>
        <w:t xml:space="preserve">c)  </w:t>
      </w:r>
      <w:r w:rsidRPr="00A6085B">
        <w:rPr>
          <w:rFonts w:eastAsia="Times New Roman" w:cs="Times New Roman"/>
          <w:b/>
          <w:lang w:eastAsia="pl-PL"/>
        </w:rPr>
        <w:t>Prywatnych,</w:t>
      </w:r>
      <w:r w:rsidRPr="00A6085B">
        <w:rPr>
          <w:rFonts w:eastAsia="Times New Roman" w:cs="Times New Roman"/>
          <w:lang w:eastAsia="pl-PL"/>
        </w:rPr>
        <w:t xml:space="preserve"> m.in. poprzez tworzenie zachęt do inwestowania na obszarach zdegradowanych oraz poprzez upowszechnianie formuły PPP. </w:t>
      </w:r>
    </w:p>
    <w:p w:rsidR="00A6085B" w:rsidRDefault="00A6085B" w:rsidP="00A6085B">
      <w:pPr>
        <w:jc w:val="both"/>
        <w:rPr>
          <w:rFonts w:eastAsia="Times New Roman" w:cs="Times New Roman"/>
          <w:lang w:eastAsia="pl-PL"/>
        </w:rPr>
      </w:pPr>
      <w:r w:rsidRPr="00A6085B">
        <w:rPr>
          <w:rFonts w:eastAsia="Times New Roman" w:cs="Times New Roman"/>
          <w:lang w:eastAsia="pl-PL"/>
        </w:rPr>
        <w:t xml:space="preserve">Dla zwiększania skali działań rewitalizacyjnych rozbudowywana będzie oferta instrumentów finansowych (zwrotnych). Dlatego w projektowaniu zasad instrumentów zwrotnych w nowej perspektywie budżetowej będzie kładziony akcent na możliwość szerokiego zastosowania ich na rzecz działań rewitalizacyjnych. </w:t>
      </w:r>
    </w:p>
    <w:p w:rsidR="00A76BDB" w:rsidRPr="00A6085B" w:rsidRDefault="00A76BDB" w:rsidP="00A6085B">
      <w:pPr>
        <w:jc w:val="both"/>
        <w:rPr>
          <w:rFonts w:eastAsia="Times New Roman" w:cs="Times New Roman"/>
          <w:lang w:eastAsia="pl-PL"/>
        </w:rPr>
      </w:pPr>
    </w:p>
    <w:p w:rsidR="00A6085B" w:rsidRDefault="00A6085B" w:rsidP="00A76BDB">
      <w:pPr>
        <w:pStyle w:val="Nagwek2"/>
        <w:rPr>
          <w:rFonts w:eastAsiaTheme="minorEastAsia"/>
          <w:lang w:eastAsia="pl-PL"/>
        </w:rPr>
      </w:pPr>
      <w:bookmarkStart w:id="9" w:name="_Toc449963526"/>
      <w:bookmarkStart w:id="10" w:name="_Toc450562468"/>
      <w:r w:rsidRPr="00A6085B">
        <w:rPr>
          <w:rFonts w:eastAsiaTheme="minorEastAsia"/>
          <w:lang w:eastAsia="pl-PL"/>
        </w:rPr>
        <w:t>1.1.2. WYTYCZNE W ZAKRESIE REWITALIZACJI W PROGRAMIE OPERACYJNYM NA LATA 2014-2022 (3 lipca 2015r.)</w:t>
      </w:r>
      <w:bookmarkEnd w:id="9"/>
      <w:bookmarkEnd w:id="10"/>
    </w:p>
    <w:p w:rsidR="00A76BDB" w:rsidRPr="00A76BDB" w:rsidRDefault="00A76BDB" w:rsidP="00A76BDB">
      <w:pPr>
        <w:rPr>
          <w:lang w:eastAsia="pl-PL"/>
        </w:rPr>
      </w:pPr>
    </w:p>
    <w:p w:rsidR="00A6085B" w:rsidRPr="00A6085B" w:rsidRDefault="00A6085B" w:rsidP="00A6085B">
      <w:pPr>
        <w:jc w:val="both"/>
        <w:rPr>
          <w:rFonts w:eastAsia="Times New Roman" w:cs="Times New Roman"/>
          <w:lang w:eastAsia="pl-PL"/>
        </w:rPr>
      </w:pPr>
      <w:r w:rsidRPr="00A6085B">
        <w:rPr>
          <w:rFonts w:eastAsia="Times New Roman" w:cs="Times New Roman"/>
          <w:lang w:eastAsia="pl-PL"/>
        </w:rPr>
        <w:t>Minister Infrastruktury i Rozwoju zatwierdził Wytyczne w zakresie rewitalizacji w Programach Operacyjnych na lata 2014-2020.</w:t>
      </w:r>
    </w:p>
    <w:p w:rsidR="00A6085B" w:rsidRPr="00A6085B" w:rsidRDefault="00A6085B" w:rsidP="00A6085B">
      <w:pPr>
        <w:jc w:val="both"/>
        <w:rPr>
          <w:rFonts w:eastAsia="Times New Roman" w:cs="Times New Roman"/>
          <w:lang w:eastAsia="pl-PL"/>
        </w:rPr>
      </w:pPr>
      <w:r w:rsidRPr="00A6085B">
        <w:rPr>
          <w:rFonts w:eastAsia="Times New Roman" w:cs="Times New Roman"/>
          <w:lang w:eastAsia="pl-PL"/>
        </w:rPr>
        <w:t xml:space="preserve">Wytyczne w zakresie rewitalizacji w Programach Operacyjnych na lata 2014-2020 weszły w życie </w:t>
      </w:r>
      <w:r w:rsidRPr="00A6085B">
        <w:rPr>
          <w:rFonts w:eastAsia="Times New Roman" w:cs="Times New Roman"/>
          <w:lang w:eastAsia="pl-PL"/>
        </w:rPr>
        <w:br/>
        <w:t xml:space="preserve">3 lipca 2015 r. </w:t>
      </w:r>
    </w:p>
    <w:p w:rsidR="00A6085B" w:rsidRPr="00A6085B" w:rsidRDefault="00A6085B" w:rsidP="00A6085B">
      <w:pPr>
        <w:jc w:val="both"/>
        <w:rPr>
          <w:rFonts w:eastAsia="Times New Roman" w:cs="Times New Roman"/>
          <w:lang w:eastAsia="pl-PL"/>
        </w:rPr>
      </w:pPr>
      <w:r w:rsidRPr="00A6085B">
        <w:rPr>
          <w:rFonts w:eastAsia="Times New Roman" w:cs="Times New Roman"/>
          <w:lang w:eastAsia="pl-PL"/>
        </w:rPr>
        <w:t xml:space="preserve">W Wytycznych sformułowano warunki, jakie muszą spełnić projekty rewitalizacyjne, by zostały zakwalifikowane do wsparcia ze środków z UE, a tym samym otrzymywały preferencje (ułatwienia w konkursach, szansa na pozakonkursowe nabory, profilowanie kryteriów wyboru projektów). Szczególny nacisk został położony na odpowiednim przygotowaniu programów rewitalizacji, aby w sposób kompleksowy (łączący sferę społeczną, gospodarczą, infrastrukturalną i środowiskową) i skoordynowany wyprowadzać obszary zdegradowane z zapaści oraz podnieść jakość życia osób mieszkających na nich. </w:t>
      </w:r>
    </w:p>
    <w:p w:rsidR="00A6085B" w:rsidRPr="00A6085B" w:rsidRDefault="00A6085B" w:rsidP="00A6085B">
      <w:pPr>
        <w:jc w:val="both"/>
        <w:rPr>
          <w:rFonts w:eastAsia="Times New Roman" w:cs="Times New Roman"/>
          <w:lang w:eastAsia="pl-PL"/>
        </w:rPr>
      </w:pPr>
      <w:r w:rsidRPr="00A6085B">
        <w:rPr>
          <w:rFonts w:eastAsia="Times New Roman" w:cs="Times New Roman"/>
          <w:lang w:eastAsia="pl-PL"/>
        </w:rPr>
        <w:t xml:space="preserve">Głównym źródłem finansowania projektów rewitalizacyjnych (wynikających z programów rewitalizacji) są środki regionalnych programów operacyjnych (EFRR i EFS), natomiast wsparcie z krajowych programów operacyjnych jest uzupełniające i odbywa się głównie poprzez formułowanie preferencji dla projektów wynikających z programów rewitalizacji. </w:t>
      </w:r>
    </w:p>
    <w:p w:rsidR="00A6085B" w:rsidRPr="00A6085B" w:rsidRDefault="00A6085B" w:rsidP="00A6085B">
      <w:pPr>
        <w:jc w:val="both"/>
        <w:rPr>
          <w:rFonts w:eastAsia="Times New Roman" w:cs="Times New Roman"/>
          <w:lang w:eastAsia="pl-PL"/>
        </w:rPr>
      </w:pPr>
      <w:r w:rsidRPr="00A6085B">
        <w:rPr>
          <w:rFonts w:eastAsia="Times New Roman" w:cs="Times New Roman"/>
          <w:lang w:eastAsia="pl-PL"/>
        </w:rPr>
        <w:lastRenderedPageBreak/>
        <w:t xml:space="preserve">Na szeroko rozumiane działania rewitalizacyjne na lata 2014-2020 przewidziano, co najmniej </w:t>
      </w:r>
      <w:r w:rsidRPr="00A6085B">
        <w:rPr>
          <w:rFonts w:eastAsia="Times New Roman" w:cs="Times New Roman"/>
          <w:lang w:eastAsia="pl-PL"/>
        </w:rPr>
        <w:br/>
        <w:t>25 mld zł, z czego ok. 22 mld zł będzie pochodzić z programów unijnych, a ok. 3 mld ze środków budżetu państwa oraz budżetów samorządów. Dla działań rewitalizacyjnych finansowanych ze środków UE ważnym odniesieniem są horyzontalne </w:t>
      </w:r>
      <w:hyperlink r:id="rId11" w:tgtFrame="undefined" w:tooltip="Projekt Wytycznych w zakresie rewitalizacji w programach operacyjnych na lata 2014-2020" w:history="1">
        <w:r w:rsidRPr="00A6085B">
          <w:rPr>
            <w:rFonts w:eastAsia="Times New Roman" w:cs="Times New Roman"/>
            <w:lang w:eastAsia="pl-PL"/>
          </w:rPr>
          <w:t xml:space="preserve">Wytyczne Ministra Infrastruktury i Rozwoju </w:t>
        </w:r>
        <w:r w:rsidRPr="00A6085B">
          <w:rPr>
            <w:rFonts w:eastAsia="Times New Roman" w:cs="Times New Roman"/>
            <w:lang w:eastAsia="pl-PL"/>
          </w:rPr>
          <w:br/>
          <w:t>w zakresie rewitalizacji w Programach Operacyjnych na lata 2014-2020</w:t>
        </w:r>
      </w:hyperlink>
      <w:r w:rsidRPr="00A6085B">
        <w:rPr>
          <w:rFonts w:eastAsia="Times New Roman" w:cs="Times New Roman"/>
          <w:lang w:eastAsia="pl-PL"/>
        </w:rPr>
        <w:t>. Adresatami Wytycznych są Instytucje Zarządzające Regionalnymi i Krajowymi Programami Operacyjnymi. Charakter Wytycznych jest ramowy, co oznacza, że Instytucje Zarządzające poszczególnymi Programami Operacyjnymi mogą opracować własne szczegółowe wytyczne w zakresie programów oraz procedur wyboru Projektów Rewitalizacyjnych</w:t>
      </w:r>
      <w:r w:rsidRPr="00A6085B">
        <w:rPr>
          <w:rFonts w:eastAsia="Times New Roman" w:cs="Times New Roman"/>
          <w:vertAlign w:val="superscript"/>
          <w:lang w:eastAsia="pl-PL"/>
        </w:rPr>
        <w:footnoteReference w:id="4"/>
      </w:r>
      <w:r w:rsidRPr="00A6085B">
        <w:rPr>
          <w:rFonts w:eastAsia="Times New Roman" w:cs="Times New Roman"/>
          <w:lang w:eastAsia="pl-PL"/>
        </w:rPr>
        <w:t>. </w:t>
      </w:r>
    </w:p>
    <w:p w:rsidR="00A6085B" w:rsidRPr="00A6085B" w:rsidRDefault="00A6085B" w:rsidP="00A6085B">
      <w:pPr>
        <w:rPr>
          <w:rFonts w:eastAsia="Times New Roman" w:cs="Times New Roman"/>
          <w:b/>
          <w:bCs/>
          <w:u w:val="single"/>
          <w:lang w:eastAsia="pl-PL"/>
        </w:rPr>
      </w:pPr>
      <w:r w:rsidRPr="00A6085B">
        <w:rPr>
          <w:rFonts w:eastAsia="Times New Roman" w:cs="Times New Roman"/>
          <w:b/>
          <w:bCs/>
          <w:u w:val="single"/>
          <w:lang w:eastAsia="pl-PL"/>
        </w:rPr>
        <w:t>Kwestie definicyjne</w:t>
      </w:r>
    </w:p>
    <w:p w:rsidR="00A6085B" w:rsidRPr="00A6085B" w:rsidRDefault="00A6085B" w:rsidP="00A6085B">
      <w:pPr>
        <w:jc w:val="both"/>
        <w:rPr>
          <w:rFonts w:eastAsia="Times New Roman" w:cs="Times New Roman"/>
          <w:bCs/>
          <w:lang w:eastAsia="pl-PL"/>
        </w:rPr>
      </w:pPr>
      <w:r w:rsidRPr="00A6085B">
        <w:rPr>
          <w:rFonts w:eastAsia="Times New Roman" w:cs="Times New Roman"/>
          <w:bCs/>
          <w:lang w:eastAsia="pl-PL"/>
        </w:rPr>
        <w:t xml:space="preserve">Na potrzeby projektowania interwencji wspierających rewitalizację współfinansowaną ze środków programów operacyjnych w ramach perspektywy finansowej 2014-2020 zdefiniowano następujące zagadnienia: </w:t>
      </w:r>
    </w:p>
    <w:p w:rsidR="00A6085B" w:rsidRPr="00A6085B" w:rsidRDefault="00A6085B" w:rsidP="00A6085B">
      <w:pPr>
        <w:ind w:left="284" w:hanging="284"/>
        <w:jc w:val="both"/>
        <w:rPr>
          <w:rFonts w:eastAsia="Times New Roman" w:cs="Times New Roman"/>
          <w:bCs/>
          <w:lang w:eastAsia="pl-PL"/>
        </w:rPr>
      </w:pPr>
      <w:r w:rsidRPr="00A6085B">
        <w:rPr>
          <w:rFonts w:eastAsia="Times New Roman" w:cs="Times New Roman"/>
          <w:bCs/>
          <w:lang w:eastAsia="pl-PL"/>
        </w:rPr>
        <w:t xml:space="preserve">1) </w:t>
      </w:r>
      <w:r w:rsidRPr="00A6085B">
        <w:rPr>
          <w:rFonts w:eastAsia="Times New Roman" w:cs="Times New Roman"/>
          <w:b/>
          <w:bCs/>
          <w:lang w:eastAsia="pl-PL"/>
        </w:rPr>
        <w:t>Rewitalizacja</w:t>
      </w:r>
      <w:r w:rsidRPr="00A6085B">
        <w:rPr>
          <w:rFonts w:eastAsia="Times New Roman" w:cs="Times New Roman"/>
          <w:bCs/>
          <w:lang w:eastAsia="pl-PL"/>
        </w:rPr>
        <w:t xml:space="preserve"> – to kompleksowy proces wyprowadzania ze stanu kryzysowego obszarów zdegradowanych poprzez działania całościowe (powiązane wzajemnie przedsięwzięcia obejmujące kwestie społeczne oraz gospodarcze lub przestrzenno-funkcjonalne lub techniczne lub środowiskowe), integrujące interwencję na rzecz społeczności lokalnej, przestrzeni i lokalnej gospodarki, skoncentrowane terytorialnie i prowadzone w sposób zaplanowany oraz zintegrowany poprzez programy rewitalizacji. Rewitalizacja zakłada optymalne wykorzystanie specyficznych uwarunkowań danego obszaru oraz wzmacnianie jego lokalnych potencjałów (w tym także kulturowych) i jest procesem wieloletnim, prowadzonym przez interesariuszy (m.in. przedsiębiorców, organizacje pozarządowe, właścicieli nieruchomości, organy władzy publicznej, etc.) tego procesu,</w:t>
      </w:r>
      <w:r w:rsidRPr="00A6085B">
        <w:rPr>
          <w:rFonts w:eastAsia="Times New Roman" w:cs="Times New Roman"/>
          <w:lang w:eastAsia="pl-PL"/>
        </w:rPr>
        <w:t xml:space="preserve"> </w:t>
      </w:r>
      <w:r w:rsidRPr="00A6085B">
        <w:rPr>
          <w:rFonts w:eastAsia="Times New Roman" w:cs="Times New Roman"/>
          <w:bCs/>
          <w:lang w:eastAsia="pl-PL"/>
        </w:rPr>
        <w:t xml:space="preserve">w tym przede wszystkim we współpracy z lokalną społecznością.  Działania służące wspieraniu procesów rewitalizacji prowadzone są w sposób spójny: wewnętrznie (poszczególne działania pomiędzy sobą) oraz zewnętrznie (z lokalnymi politykami sektorowymi, np. transportową, energetyczną, celami i kierunkami wynikającymi z dokumentów strategicznych </w:t>
      </w:r>
      <w:r w:rsidRPr="00A6085B">
        <w:rPr>
          <w:rFonts w:eastAsia="Times New Roman" w:cs="Times New Roman"/>
          <w:bCs/>
          <w:lang w:eastAsia="pl-PL"/>
        </w:rPr>
        <w:br/>
        <w:t>i planistycznych).</w:t>
      </w:r>
    </w:p>
    <w:p w:rsidR="00A6085B" w:rsidRPr="00A6085B" w:rsidRDefault="00A6085B" w:rsidP="00A6085B">
      <w:pPr>
        <w:jc w:val="both"/>
        <w:rPr>
          <w:rFonts w:eastAsia="Times New Roman" w:cs="Times New Roman"/>
          <w:bCs/>
          <w:lang w:eastAsia="pl-PL"/>
        </w:rPr>
      </w:pPr>
      <w:r w:rsidRPr="00A6085B">
        <w:rPr>
          <w:rFonts w:eastAsia="Times New Roman" w:cs="Times New Roman"/>
          <w:bCs/>
          <w:lang w:eastAsia="pl-PL"/>
        </w:rPr>
        <w:t xml:space="preserve">Dla prowadzenia rewitalizacji wymagane są: </w:t>
      </w:r>
    </w:p>
    <w:p w:rsidR="00A6085B" w:rsidRPr="00A6085B" w:rsidRDefault="00A6085B" w:rsidP="00A6085B">
      <w:pPr>
        <w:tabs>
          <w:tab w:val="left" w:pos="284"/>
        </w:tabs>
        <w:jc w:val="both"/>
        <w:rPr>
          <w:rFonts w:eastAsia="Times New Roman" w:cs="Times New Roman"/>
          <w:bCs/>
          <w:lang w:eastAsia="pl-PL"/>
        </w:rPr>
      </w:pPr>
      <w:r w:rsidRPr="00A6085B">
        <w:rPr>
          <w:rFonts w:eastAsia="Times New Roman" w:cs="Times New Roman"/>
          <w:bCs/>
          <w:lang w:eastAsia="pl-PL"/>
        </w:rPr>
        <w:t xml:space="preserve">a. uwzględnienie rewitalizacji, jako istotnego elementu całościowej wizji rozwoju gminy; </w:t>
      </w:r>
    </w:p>
    <w:p w:rsidR="00A6085B" w:rsidRPr="00A6085B" w:rsidRDefault="00A6085B" w:rsidP="00A6085B">
      <w:pPr>
        <w:ind w:left="284" w:hanging="284"/>
        <w:jc w:val="both"/>
        <w:rPr>
          <w:rFonts w:eastAsia="Times New Roman" w:cs="Times New Roman"/>
          <w:bCs/>
          <w:lang w:eastAsia="pl-PL"/>
        </w:rPr>
      </w:pPr>
      <w:r w:rsidRPr="00A6085B">
        <w:rPr>
          <w:rFonts w:eastAsia="Times New Roman" w:cs="Times New Roman"/>
          <w:bCs/>
          <w:lang w:eastAsia="pl-PL"/>
        </w:rPr>
        <w:t xml:space="preserve">b. pełna diagnoza służąca wyznaczeniu obszaru rewitalizacji oraz analizie dotykających go problemów; diagnoza obejmuje kwestie społeczne oraz gospodarcze lub przestrzenno-funkcjonalne lub techniczne lub środowiskowe; </w:t>
      </w:r>
    </w:p>
    <w:p w:rsidR="00A6085B" w:rsidRPr="00A6085B" w:rsidRDefault="00A6085B" w:rsidP="00A6085B">
      <w:pPr>
        <w:jc w:val="both"/>
        <w:rPr>
          <w:rFonts w:eastAsia="Times New Roman" w:cs="Times New Roman"/>
          <w:bCs/>
          <w:lang w:eastAsia="pl-PL"/>
        </w:rPr>
      </w:pPr>
      <w:r w:rsidRPr="00A6085B">
        <w:rPr>
          <w:rFonts w:eastAsia="Times New Roman" w:cs="Times New Roman"/>
          <w:bCs/>
          <w:lang w:eastAsia="pl-PL"/>
        </w:rPr>
        <w:t xml:space="preserve">c. ustalenie hierarchii potrzeb w zakresie działań rewitalizacyjnych; </w:t>
      </w:r>
    </w:p>
    <w:p w:rsidR="00A6085B" w:rsidRPr="00A6085B" w:rsidRDefault="00A6085B" w:rsidP="00A6085B">
      <w:pPr>
        <w:jc w:val="both"/>
        <w:rPr>
          <w:rFonts w:eastAsia="Times New Roman" w:cs="Times New Roman"/>
          <w:bCs/>
          <w:lang w:eastAsia="pl-PL"/>
        </w:rPr>
      </w:pPr>
      <w:r w:rsidRPr="00A6085B">
        <w:rPr>
          <w:rFonts w:eastAsia="Times New Roman" w:cs="Times New Roman"/>
          <w:bCs/>
          <w:lang w:eastAsia="pl-PL"/>
        </w:rPr>
        <w:t xml:space="preserve">d. właściwy dobór narzędzi i interwencji do potrzeb i uwarunkowań danego obszaru; </w:t>
      </w:r>
    </w:p>
    <w:p w:rsidR="00A6085B" w:rsidRPr="00A6085B" w:rsidRDefault="00A6085B" w:rsidP="00A6085B">
      <w:pPr>
        <w:ind w:left="284" w:hanging="284"/>
        <w:jc w:val="both"/>
        <w:rPr>
          <w:rFonts w:eastAsia="Times New Roman" w:cs="Times New Roman"/>
          <w:bCs/>
          <w:lang w:eastAsia="pl-PL"/>
        </w:rPr>
      </w:pPr>
      <w:r w:rsidRPr="00A6085B">
        <w:rPr>
          <w:rFonts w:eastAsia="Times New Roman" w:cs="Times New Roman"/>
          <w:bCs/>
          <w:lang w:eastAsia="pl-PL"/>
        </w:rPr>
        <w:t xml:space="preserve">e. zsynchronizowanie działań w sferze społecznej, gospodarczej, przestrzenno-funkcjonalnej, technicznej, środowiskowej; </w:t>
      </w:r>
    </w:p>
    <w:p w:rsidR="00A6085B" w:rsidRPr="00A6085B" w:rsidRDefault="00A6085B" w:rsidP="00A6085B">
      <w:pPr>
        <w:jc w:val="both"/>
        <w:rPr>
          <w:rFonts w:eastAsia="Times New Roman" w:cs="Times New Roman"/>
          <w:bCs/>
          <w:lang w:eastAsia="pl-PL"/>
        </w:rPr>
      </w:pPr>
      <w:r w:rsidRPr="00A6085B">
        <w:rPr>
          <w:rFonts w:eastAsia="Times New Roman" w:cs="Times New Roman"/>
          <w:bCs/>
          <w:lang w:eastAsia="pl-PL"/>
        </w:rPr>
        <w:lastRenderedPageBreak/>
        <w:t xml:space="preserve">f. koordynacja prowadzonych działań oraz monitorowanie i ewaluacja skuteczności rewitalizacji; </w:t>
      </w:r>
    </w:p>
    <w:p w:rsidR="00A6085B" w:rsidRPr="00A6085B" w:rsidRDefault="00A6085B" w:rsidP="00A6085B">
      <w:pPr>
        <w:ind w:left="284" w:hanging="284"/>
        <w:jc w:val="both"/>
        <w:rPr>
          <w:rFonts w:eastAsia="Times New Roman" w:cs="Times New Roman"/>
          <w:bCs/>
          <w:lang w:eastAsia="pl-PL"/>
        </w:rPr>
      </w:pPr>
      <w:r w:rsidRPr="00A6085B">
        <w:rPr>
          <w:rFonts w:eastAsia="Times New Roman" w:cs="Times New Roman"/>
          <w:bCs/>
          <w:lang w:eastAsia="pl-PL"/>
        </w:rPr>
        <w:t xml:space="preserve">g. realizacja wynikającej z art. 5 ust. 1 rozporządzenia ogólnego zasady partnerstwa polegającej na włączeniu partnerów w procesy programowania i realizacji projektów rewitalizacyjnych  </w:t>
      </w:r>
      <w:r w:rsidRPr="00A6085B">
        <w:rPr>
          <w:rFonts w:eastAsia="Times New Roman" w:cs="Times New Roman"/>
          <w:bCs/>
          <w:lang w:eastAsia="pl-PL"/>
        </w:rPr>
        <w:br/>
        <w:t xml:space="preserve">w ramach programów operacyjnych oraz konsekwentnego, otwartego i trwałego dialogu z tymi  podmiotami i grupami, których rezultaty rewitalizacji mają dotyczyć. </w:t>
      </w:r>
    </w:p>
    <w:p w:rsidR="00A6085B" w:rsidRPr="00A6085B" w:rsidRDefault="00A6085B" w:rsidP="00A6085B">
      <w:pPr>
        <w:jc w:val="both"/>
        <w:rPr>
          <w:rFonts w:eastAsia="Times New Roman" w:cs="Times New Roman"/>
          <w:bCs/>
          <w:lang w:eastAsia="pl-PL"/>
        </w:rPr>
      </w:pPr>
      <w:r w:rsidRPr="00A6085B">
        <w:rPr>
          <w:rFonts w:eastAsia="Times New Roman" w:cs="Times New Roman"/>
          <w:bCs/>
          <w:lang w:eastAsia="pl-PL"/>
        </w:rPr>
        <w:t xml:space="preserve">Rewitalizacja jest prowadzona zgodnie z zasadami zawartymi w UP, a w szczególności z zasadami polityki przestrzennej zawartymi w rozdziale 1.5.4 UP.  </w:t>
      </w:r>
    </w:p>
    <w:p w:rsidR="00A6085B" w:rsidRPr="00A6085B" w:rsidRDefault="00A6085B" w:rsidP="00A6085B">
      <w:pPr>
        <w:ind w:left="284" w:hanging="284"/>
        <w:jc w:val="both"/>
        <w:rPr>
          <w:rFonts w:eastAsia="Times New Roman" w:cs="Times New Roman"/>
          <w:bCs/>
          <w:lang w:eastAsia="pl-PL"/>
        </w:rPr>
      </w:pPr>
      <w:r w:rsidRPr="00A6085B">
        <w:rPr>
          <w:rFonts w:eastAsia="Times New Roman" w:cs="Times New Roman"/>
          <w:bCs/>
          <w:lang w:eastAsia="pl-PL"/>
        </w:rPr>
        <w:t xml:space="preserve">2) </w:t>
      </w:r>
      <w:r w:rsidRPr="00A6085B">
        <w:rPr>
          <w:rFonts w:eastAsia="Times New Roman" w:cs="Times New Roman"/>
          <w:b/>
          <w:bCs/>
          <w:lang w:eastAsia="pl-PL"/>
        </w:rPr>
        <w:t>Stan kryzysowy</w:t>
      </w:r>
      <w:r w:rsidRPr="00A6085B">
        <w:rPr>
          <w:rFonts w:eastAsia="Times New Roman" w:cs="Times New Roman"/>
          <w:bCs/>
          <w:lang w:eastAsia="pl-PL"/>
        </w:rPr>
        <w:t xml:space="preserve"> – stan spowodowany koncentracją negatywnych zjawisk społecznych </w:t>
      </w:r>
      <w:r w:rsidRPr="00A6085B">
        <w:rPr>
          <w:rFonts w:eastAsia="Times New Roman" w:cs="Times New Roman"/>
          <w:bCs/>
          <w:lang w:eastAsia="pl-PL"/>
        </w:rPr>
        <w:br/>
        <w:t xml:space="preserve">(w szczególności bezrobocia, ubóstwa, przestępczości, niskiego poziomu edukacji lub kapitału społecznego, niewystarczającego poziomu uczestnictwa w życiu publicznym i kulturalnym), współwystępujących z negatywnymi zjawiskami, w co najmniej jednej z następujących sfer: </w:t>
      </w:r>
    </w:p>
    <w:p w:rsidR="00A6085B" w:rsidRPr="00A6085B" w:rsidRDefault="00A6085B" w:rsidP="00A6085B">
      <w:pPr>
        <w:ind w:left="284" w:hanging="284"/>
        <w:jc w:val="both"/>
        <w:rPr>
          <w:rFonts w:eastAsia="Times New Roman" w:cs="Times New Roman"/>
          <w:bCs/>
          <w:lang w:eastAsia="pl-PL"/>
        </w:rPr>
      </w:pPr>
      <w:r w:rsidRPr="00A6085B">
        <w:rPr>
          <w:rFonts w:eastAsia="Times New Roman" w:cs="Times New Roman"/>
          <w:bCs/>
          <w:lang w:eastAsia="pl-PL"/>
        </w:rPr>
        <w:t xml:space="preserve">a. gospodarczej (w szczególności w zakresie niskiego stopnia przedsiębiorczości, słabej kondycji lokalnych przedsiębiorstw),  </w:t>
      </w:r>
    </w:p>
    <w:p w:rsidR="00A6085B" w:rsidRPr="00A6085B" w:rsidRDefault="00A6085B" w:rsidP="00A6085B">
      <w:pPr>
        <w:ind w:left="284" w:hanging="284"/>
        <w:jc w:val="both"/>
        <w:rPr>
          <w:rFonts w:eastAsia="Times New Roman" w:cs="Times New Roman"/>
          <w:bCs/>
          <w:lang w:eastAsia="pl-PL"/>
        </w:rPr>
      </w:pPr>
      <w:r w:rsidRPr="00A6085B">
        <w:rPr>
          <w:rFonts w:eastAsia="Times New Roman" w:cs="Times New Roman"/>
          <w:bCs/>
          <w:lang w:eastAsia="pl-PL"/>
        </w:rPr>
        <w:t xml:space="preserve">b. środowiskowej (w szczególności w zakresie przekroczenia standardów jakości środowiska,  obecności odpadów stwarzających zagrożenie dla życia, zdrowia, ludzi bądź stanu środowiska),  </w:t>
      </w:r>
    </w:p>
    <w:p w:rsidR="00A6085B" w:rsidRPr="00A6085B" w:rsidRDefault="00A6085B" w:rsidP="00A6085B">
      <w:pPr>
        <w:ind w:left="284" w:hanging="284"/>
        <w:jc w:val="both"/>
        <w:rPr>
          <w:rFonts w:eastAsia="Times New Roman" w:cs="Times New Roman"/>
          <w:bCs/>
          <w:lang w:eastAsia="pl-PL"/>
        </w:rPr>
      </w:pPr>
      <w:r w:rsidRPr="00A6085B">
        <w:rPr>
          <w:rFonts w:eastAsia="Times New Roman" w:cs="Times New Roman"/>
          <w:bCs/>
          <w:lang w:eastAsia="pl-PL"/>
        </w:rPr>
        <w:t xml:space="preserve">c. przestrzenno-funkcjonalnej (w szczególności w zakresie niewystarczającego wyposażenia  </w:t>
      </w:r>
      <w:r w:rsidRPr="00A6085B">
        <w:rPr>
          <w:rFonts w:eastAsia="Times New Roman" w:cs="Times New Roman"/>
          <w:bCs/>
          <w:lang w:eastAsia="pl-PL"/>
        </w:rPr>
        <w:br/>
        <w:t xml:space="preserve">w infrastrukturę techniczną i społeczną, braku dostępu do podstawowych usług lub ich niskiej  jakości, niedostosowania rozwiązań urbanistycznych do zmieniających się funkcji obszaru, niskiego  poziomu obsługi komunikacyjnej, deficytu lub niskiej jakości terenów publicznych), </w:t>
      </w:r>
    </w:p>
    <w:p w:rsidR="00A6085B" w:rsidRPr="00A6085B" w:rsidRDefault="00A6085B" w:rsidP="00A6085B">
      <w:pPr>
        <w:ind w:left="284" w:hanging="284"/>
        <w:jc w:val="both"/>
        <w:rPr>
          <w:rFonts w:eastAsia="Times New Roman" w:cs="Times New Roman"/>
          <w:bCs/>
          <w:lang w:eastAsia="pl-PL"/>
        </w:rPr>
      </w:pPr>
      <w:r w:rsidRPr="00A6085B">
        <w:rPr>
          <w:rFonts w:eastAsia="Times New Roman" w:cs="Times New Roman"/>
          <w:bCs/>
          <w:lang w:eastAsia="pl-PL"/>
        </w:rPr>
        <w:t xml:space="preserve">d. technicznej (w szczególności w zakresie degradacji stanu technicznego obiektów budowlanych, </w:t>
      </w:r>
      <w:r w:rsidRPr="00A6085B">
        <w:rPr>
          <w:rFonts w:eastAsia="Times New Roman" w:cs="Times New Roman"/>
          <w:bCs/>
          <w:lang w:eastAsia="pl-PL"/>
        </w:rPr>
        <w:br/>
        <w:t xml:space="preserve">w tym o przeznaczeniu mieszkaniowym, oraz braku funkcjonowania rozwiązań technicznych umożliwiających efektywne korzystanie z obiektów budowlanych, w szczególności w zakresie energooszczędności i ochrony środowiska). </w:t>
      </w:r>
    </w:p>
    <w:p w:rsidR="00A6085B" w:rsidRPr="00A6085B" w:rsidRDefault="00A6085B" w:rsidP="00A6085B">
      <w:pPr>
        <w:jc w:val="both"/>
        <w:rPr>
          <w:rFonts w:eastAsia="Times New Roman" w:cs="Times New Roman"/>
          <w:bCs/>
          <w:lang w:eastAsia="pl-PL"/>
        </w:rPr>
      </w:pPr>
      <w:r w:rsidRPr="00A6085B">
        <w:rPr>
          <w:rFonts w:eastAsia="Times New Roman" w:cs="Times New Roman"/>
          <w:bCs/>
          <w:lang w:eastAsia="pl-PL"/>
        </w:rPr>
        <w:t xml:space="preserve">Skalę negatywnych zjawisk odzwierciedlają mierniki rozwoju opisujące powyższe sfery, </w:t>
      </w:r>
      <w:r w:rsidRPr="00A6085B">
        <w:rPr>
          <w:rFonts w:eastAsia="Times New Roman" w:cs="Times New Roman"/>
          <w:bCs/>
          <w:lang w:eastAsia="pl-PL"/>
        </w:rPr>
        <w:br/>
        <w:t xml:space="preserve">które wskazują na niski poziom rozwoju lub dokumentują silną dynamikę spadku poziomu rozwoju, </w:t>
      </w:r>
      <w:r w:rsidRPr="00A6085B">
        <w:rPr>
          <w:rFonts w:eastAsia="Times New Roman" w:cs="Times New Roman"/>
          <w:bCs/>
          <w:lang w:eastAsia="pl-PL"/>
        </w:rPr>
        <w:br/>
        <w:t xml:space="preserve">w odniesieniu do wartości dla całej gminy. </w:t>
      </w:r>
    </w:p>
    <w:p w:rsidR="00A6085B" w:rsidRPr="00A6085B" w:rsidRDefault="00A6085B" w:rsidP="00A6085B">
      <w:pPr>
        <w:ind w:left="284" w:hanging="284"/>
        <w:jc w:val="both"/>
        <w:rPr>
          <w:rFonts w:eastAsia="Times New Roman" w:cs="Times New Roman"/>
          <w:bCs/>
          <w:lang w:eastAsia="pl-PL"/>
        </w:rPr>
      </w:pPr>
      <w:r w:rsidRPr="00A6085B">
        <w:rPr>
          <w:rFonts w:eastAsia="Times New Roman" w:cs="Times New Roman"/>
          <w:bCs/>
          <w:lang w:eastAsia="pl-PL"/>
        </w:rPr>
        <w:t xml:space="preserve">3) </w:t>
      </w:r>
      <w:r w:rsidRPr="00A6085B">
        <w:rPr>
          <w:rFonts w:eastAsia="Times New Roman" w:cs="Times New Roman"/>
          <w:b/>
          <w:bCs/>
          <w:lang w:eastAsia="pl-PL"/>
        </w:rPr>
        <w:t>Obszar zdegradowany</w:t>
      </w:r>
      <w:r w:rsidRPr="00A6085B">
        <w:rPr>
          <w:rFonts w:eastAsia="Times New Roman" w:cs="Times New Roman"/>
          <w:bCs/>
          <w:lang w:eastAsia="pl-PL"/>
        </w:rPr>
        <w:t xml:space="preserve"> – obszar, na którym zidentyfikowano stan kryzysowy. Dotyczy to najczęściej obszarów miejskich, ale także wiejskich. Obszar zdegradowany może być podzielony na podobszary, w tym podobszary nieposiadające ze sobą wspólnych granic pod warunkiem stwierdzenia sytuacji kryzysowej na każdym z podobszarów. </w:t>
      </w:r>
    </w:p>
    <w:p w:rsidR="00A6085B" w:rsidRPr="00A6085B" w:rsidRDefault="00A6085B" w:rsidP="00A6085B">
      <w:pPr>
        <w:ind w:left="284" w:hanging="284"/>
        <w:jc w:val="both"/>
        <w:rPr>
          <w:rFonts w:eastAsia="Times New Roman" w:cs="Times New Roman"/>
          <w:bCs/>
          <w:lang w:eastAsia="pl-PL"/>
        </w:rPr>
      </w:pPr>
      <w:r w:rsidRPr="00A6085B">
        <w:rPr>
          <w:rFonts w:eastAsia="Times New Roman" w:cs="Times New Roman"/>
          <w:bCs/>
          <w:lang w:eastAsia="pl-PL"/>
        </w:rPr>
        <w:t xml:space="preserve">4) </w:t>
      </w:r>
      <w:r w:rsidRPr="00A6085B">
        <w:rPr>
          <w:rFonts w:eastAsia="Times New Roman" w:cs="Times New Roman"/>
          <w:b/>
          <w:bCs/>
          <w:lang w:eastAsia="pl-PL"/>
        </w:rPr>
        <w:t>Obszar rewitalizacji</w:t>
      </w:r>
      <w:r w:rsidRPr="00A6085B">
        <w:rPr>
          <w:rFonts w:eastAsia="Times New Roman" w:cs="Times New Roman"/>
          <w:bCs/>
          <w:lang w:eastAsia="pl-PL"/>
        </w:rPr>
        <w:t xml:space="preserve"> - obszar obejmujący całość lub część obszaru zdegradowanego, cechującego się szczególną koncentracją negatywnych zjawisk, na którym, z uwagi na istotne znaczenie dla rozwoju lokalnego, zamierza się prowadzić rewitalizację. Obszar rewitalizacji może być podzielony na podobszary, w tym podobszary nieposiadające ze sobą wspólnych granic, lecz nie może obejmować terenów większych niż 20% powierzchni gminy oraz zamieszkałych przez więcej niż 30% mieszkańców gminy. W skład obszaru rewitalizacji mogą wejść obszary występowania problemów przestrzennych, takich jak tereny poprzemysłowe (w tym poportowe i </w:t>
      </w:r>
      <w:r w:rsidRPr="00A6085B">
        <w:rPr>
          <w:rFonts w:eastAsia="Times New Roman" w:cs="Times New Roman"/>
          <w:bCs/>
          <w:lang w:eastAsia="pl-PL"/>
        </w:rPr>
        <w:lastRenderedPageBreak/>
        <w:t xml:space="preserve">powydobywcze), powojskowe lub pokolejowe, wyłącznie w przypadku, gdy przewidziane dla nich działania są ściśle powiązane z celami rewitalizacji dla danego obszaru rewitalizacji. </w:t>
      </w:r>
    </w:p>
    <w:p w:rsidR="00A6085B" w:rsidRPr="00A6085B" w:rsidRDefault="00A6085B" w:rsidP="00A6085B">
      <w:pPr>
        <w:ind w:left="284" w:hanging="284"/>
        <w:jc w:val="both"/>
        <w:rPr>
          <w:rFonts w:eastAsia="Times New Roman" w:cs="Times New Roman"/>
          <w:bCs/>
          <w:lang w:eastAsia="pl-PL"/>
        </w:rPr>
      </w:pPr>
      <w:r w:rsidRPr="00A6085B">
        <w:rPr>
          <w:rFonts w:eastAsia="Times New Roman" w:cs="Times New Roman"/>
          <w:bCs/>
          <w:lang w:eastAsia="pl-PL"/>
        </w:rPr>
        <w:t xml:space="preserve">5) </w:t>
      </w:r>
      <w:r w:rsidRPr="00A6085B">
        <w:rPr>
          <w:rFonts w:eastAsia="Times New Roman" w:cs="Times New Roman"/>
          <w:b/>
          <w:bCs/>
          <w:lang w:eastAsia="pl-PL"/>
        </w:rPr>
        <w:t>Program rewitalizacji</w:t>
      </w:r>
      <w:r w:rsidRPr="00A6085B">
        <w:rPr>
          <w:rFonts w:eastAsia="Times New Roman" w:cs="Times New Roman"/>
          <w:bCs/>
          <w:lang w:eastAsia="pl-PL"/>
        </w:rPr>
        <w:t xml:space="preserve"> - inicjowany, opracowany i uchwalony przez radę gminy, na podstawie art. 18 ust. 2 pkt 6 ustawy z dnia 8 marca 1990 r. o samorządzie gminnym (Dz. U. z 2013 r. poz. 594, </w:t>
      </w:r>
      <w:r w:rsidRPr="00A6085B">
        <w:rPr>
          <w:rFonts w:eastAsia="Times New Roman" w:cs="Times New Roman"/>
          <w:bCs/>
          <w:lang w:eastAsia="pl-PL"/>
        </w:rPr>
        <w:br/>
        <w:t>z późn.zm.), wieloletni program działań w sferze społecznej oraz gospodarczej lub przestrzenno-funkcjonalnej lub technicznej lub środowiskowej,</w:t>
      </w:r>
      <w:r w:rsidRPr="00A6085B">
        <w:rPr>
          <w:rFonts w:eastAsia="Times New Roman" w:cs="Times New Roman"/>
          <w:lang w:eastAsia="pl-PL"/>
        </w:rPr>
        <w:t xml:space="preserve"> </w:t>
      </w:r>
      <w:r w:rsidRPr="00A6085B">
        <w:rPr>
          <w:rFonts w:eastAsia="Times New Roman" w:cs="Times New Roman"/>
          <w:bCs/>
          <w:lang w:eastAsia="pl-PL"/>
        </w:rPr>
        <w:t xml:space="preserve">zmierzający do wyprowadzenia obszarów rewitalizacji ze stanu kryzysowego oraz stworzenia warunków do ich zrównoważonego rozwoju, stanowiący narzędzie planowania, koordynowania i integrowania różnorodnych aktywności </w:t>
      </w:r>
      <w:r w:rsidRPr="00A6085B">
        <w:rPr>
          <w:rFonts w:eastAsia="Times New Roman" w:cs="Times New Roman"/>
          <w:bCs/>
          <w:lang w:eastAsia="pl-PL"/>
        </w:rPr>
        <w:br/>
        <w:t xml:space="preserve">w ramach rewitalizacji. </w:t>
      </w:r>
    </w:p>
    <w:p w:rsidR="00A6085B" w:rsidRPr="00A6085B" w:rsidRDefault="00A6085B" w:rsidP="00A6085B">
      <w:pPr>
        <w:ind w:left="284" w:hanging="284"/>
        <w:jc w:val="both"/>
        <w:rPr>
          <w:rFonts w:eastAsia="Times New Roman" w:cs="Times New Roman"/>
          <w:bCs/>
          <w:lang w:eastAsia="pl-PL"/>
        </w:rPr>
      </w:pPr>
      <w:r w:rsidRPr="00A6085B">
        <w:rPr>
          <w:rFonts w:eastAsia="Times New Roman" w:cs="Times New Roman"/>
          <w:bCs/>
          <w:lang w:eastAsia="pl-PL"/>
        </w:rPr>
        <w:t xml:space="preserve">6) </w:t>
      </w:r>
      <w:r w:rsidRPr="00A6085B">
        <w:rPr>
          <w:rFonts w:eastAsia="Times New Roman" w:cs="Times New Roman"/>
          <w:b/>
          <w:bCs/>
          <w:lang w:eastAsia="pl-PL"/>
        </w:rPr>
        <w:t>Projekt rewitalizacyjny</w:t>
      </w:r>
      <w:r w:rsidRPr="00A6085B">
        <w:rPr>
          <w:rFonts w:eastAsia="Times New Roman" w:cs="Times New Roman"/>
          <w:bCs/>
          <w:lang w:eastAsia="pl-PL"/>
        </w:rPr>
        <w:t xml:space="preserve"> - projekt w rozumieniu art. 2 pkt 18 ustawy, wynikający z programu rewitalizacji, tj. zaplanowany w programie rewitalizacji i ukierunkowany na osiągnięcie jego celów albo logicznie powiązany z treścią i celami programu rewitalizacji, zgłoszony do objęcia albo objęty współfinansowaniem UE z jednego z funduszy strukturalnych albo Funduszu Spójności </w:t>
      </w:r>
      <w:r w:rsidRPr="00A6085B">
        <w:rPr>
          <w:rFonts w:eastAsia="Times New Roman" w:cs="Times New Roman"/>
          <w:bCs/>
          <w:lang w:eastAsia="pl-PL"/>
        </w:rPr>
        <w:br/>
        <w:t xml:space="preserve">w ramach programu operacyjnego. Wynikanie projektu rewitalizacyjnego z programu rewitalizacji oznacza, zatem albo wskazanie (wymienienie) go wprost w programie rewitalizacji albo określenie go w ogólnym (zbiorczym) opisie innych, uzupełniających rodzajów działań rewitalizacyjnych. </w:t>
      </w:r>
    </w:p>
    <w:p w:rsidR="00A6085B" w:rsidRPr="00A6085B" w:rsidRDefault="00A6085B" w:rsidP="00A6085B">
      <w:pPr>
        <w:jc w:val="both"/>
        <w:rPr>
          <w:rFonts w:eastAsia="Times New Roman" w:cs="Times New Roman"/>
          <w:b/>
          <w:bCs/>
          <w:lang w:eastAsia="pl-PL"/>
        </w:rPr>
      </w:pPr>
      <w:r w:rsidRPr="00A6085B">
        <w:rPr>
          <w:rFonts w:eastAsia="Times New Roman" w:cs="Times New Roman"/>
          <w:b/>
          <w:bCs/>
          <w:lang w:eastAsia="pl-PL"/>
        </w:rPr>
        <w:t>Wsparcie dla projektów rewitalizacyjnych</w:t>
      </w:r>
    </w:p>
    <w:p w:rsidR="00A6085B" w:rsidRPr="00A6085B" w:rsidRDefault="00A6085B" w:rsidP="00A6085B">
      <w:pPr>
        <w:jc w:val="both"/>
        <w:rPr>
          <w:rFonts w:eastAsia="Times New Roman" w:cs="Times New Roman"/>
          <w:bCs/>
          <w:lang w:eastAsia="pl-PL"/>
        </w:rPr>
      </w:pPr>
      <w:r w:rsidRPr="00A6085B">
        <w:rPr>
          <w:rFonts w:eastAsia="Times New Roman" w:cs="Times New Roman"/>
          <w:bCs/>
          <w:lang w:eastAsia="pl-PL"/>
        </w:rPr>
        <w:t xml:space="preserve">Mając na względzie postanowienia UP, zgodnie z którymi istotne wyzwanie dla Polski stanowi zapewnienie warunków dla właściwej rewitalizacji, tj. zintegrowanego i kompleksowego, przygotowywanego i prowadzonego z uwzględnieniem realnej partycypacji społecznej, przeciwdziałania procesom degradacji związanym m.in. z postępującą degradacją tkanki miejskiej </w:t>
      </w:r>
      <w:r w:rsidRPr="00A6085B">
        <w:rPr>
          <w:rFonts w:eastAsia="Times New Roman" w:cs="Times New Roman"/>
          <w:bCs/>
          <w:lang w:eastAsia="pl-PL"/>
        </w:rPr>
        <w:br/>
        <w:t xml:space="preserve">(w tym mieszkaniowej), erozją stosunków społecznych, niekorzystnymi procesami demograficznymi (migracje, depopulacja), przestrzennymi (suburbanizacja), infrastrukturalnymi (niesprawny transport, niska efektywność energetyczna), kulturowymi (degradacja materialna obiektów dziedzictwa kulturowego, spadek uczestnictwa w kulturze) oraz środowiskowymi (zanieczyszczenie środowiska), konieczne jest stworzenie optymalnych mechanizmów przyczyniających się do jak najefektywniejszej realizacji projektów rewitalizacyjnych. </w:t>
      </w:r>
    </w:p>
    <w:p w:rsidR="00A6085B" w:rsidRPr="00A6085B" w:rsidRDefault="00A6085B" w:rsidP="00A6085B">
      <w:pPr>
        <w:ind w:left="284" w:hanging="284"/>
        <w:jc w:val="both"/>
        <w:rPr>
          <w:rFonts w:eastAsia="Times New Roman" w:cs="Times New Roman"/>
          <w:bCs/>
          <w:lang w:eastAsia="pl-PL"/>
        </w:rPr>
      </w:pPr>
      <w:r w:rsidRPr="00A6085B">
        <w:rPr>
          <w:rFonts w:eastAsia="Times New Roman" w:cs="Times New Roman"/>
          <w:bCs/>
          <w:lang w:eastAsia="pl-PL"/>
        </w:rPr>
        <w:t xml:space="preserve">1) Tabele 1 i 2 zawierają zestawienie celów tematycznych i priorytetów inwestycyjnych wskazanych </w:t>
      </w:r>
      <w:r w:rsidRPr="00A6085B">
        <w:rPr>
          <w:rFonts w:eastAsia="Times New Roman" w:cs="Times New Roman"/>
          <w:bCs/>
          <w:lang w:eastAsia="pl-PL"/>
        </w:rPr>
        <w:br/>
        <w:t xml:space="preserve">w UP, które są bezpośrednio związane z rewitalizacją i należy je obligatoryjnie włączyć do działań na rzecz rewitalizacji. Inne priorytety inwestycyjne, nie wymienione w tabelach 1 i 2 mają charakter uzupełniający i mogą być (nieobowiązkowo) włączone przez IZ do działań na rzecz rewitalizacji. </w:t>
      </w:r>
    </w:p>
    <w:p w:rsidR="00A6085B" w:rsidRPr="00A6085B" w:rsidRDefault="00A6085B" w:rsidP="00A6085B">
      <w:pPr>
        <w:ind w:left="284" w:hanging="284"/>
        <w:jc w:val="both"/>
        <w:rPr>
          <w:rFonts w:eastAsia="Times New Roman" w:cs="Times New Roman"/>
          <w:bCs/>
          <w:lang w:eastAsia="pl-PL"/>
        </w:rPr>
      </w:pPr>
      <w:r w:rsidRPr="00A6085B">
        <w:rPr>
          <w:rFonts w:eastAsia="Times New Roman" w:cs="Times New Roman"/>
          <w:bCs/>
          <w:lang w:eastAsia="pl-PL"/>
        </w:rPr>
        <w:t>2) Głównym źródłem współfinansowania projektów rewitalizacyjnych z funduszy UE są środki RPO (EFS i EFRR). Dodatkowym, komplementarnym źródłem ich współfinansowania są środki KPO (EFS, EFRR, FS). Ponadto źródłem współfinansowania projektów</w:t>
      </w:r>
      <w:r w:rsidRPr="00A6085B">
        <w:rPr>
          <w:rFonts w:eastAsia="Times New Roman" w:cs="Times New Roman"/>
          <w:lang w:eastAsia="pl-PL"/>
        </w:rPr>
        <w:t xml:space="preserve"> </w:t>
      </w:r>
      <w:r w:rsidRPr="00A6085B">
        <w:rPr>
          <w:rFonts w:eastAsia="Times New Roman" w:cs="Times New Roman"/>
          <w:bCs/>
          <w:lang w:eastAsia="pl-PL"/>
        </w:rPr>
        <w:t xml:space="preserve">rewitalizacyjnych będą środki budżetu państwa oraz budżetów jednostek samorządu terytorialnego, a także pozostałe np. prywatne. </w:t>
      </w:r>
    </w:p>
    <w:p w:rsidR="00A6085B" w:rsidRPr="00A6085B" w:rsidRDefault="00A6085B" w:rsidP="00A6085B">
      <w:pPr>
        <w:ind w:left="284" w:hanging="284"/>
        <w:jc w:val="both"/>
        <w:rPr>
          <w:rFonts w:eastAsia="Times New Roman" w:cs="Times New Roman"/>
          <w:bCs/>
          <w:lang w:eastAsia="pl-PL"/>
        </w:rPr>
      </w:pPr>
      <w:r w:rsidRPr="00A6085B">
        <w:rPr>
          <w:rFonts w:eastAsia="Times New Roman" w:cs="Times New Roman"/>
          <w:bCs/>
          <w:lang w:eastAsia="pl-PL"/>
        </w:rPr>
        <w:t xml:space="preserve">3) Każda IZ określa indykatywną alokację środków finansowych na obszary rewitalizacji w ramach priorytetów inwestycyjnych. Dla priorytetów bezpośrednio związanych z rewitalizacją, realizowanych w danym programie operacyjnym, wymagane jest określenie indykatywnej wielkości alokacji środków finansowych. Jeśli IZ uzna za zasadne wskazanie na rzecz rewitalizacji </w:t>
      </w:r>
      <w:r w:rsidRPr="00A6085B">
        <w:rPr>
          <w:rFonts w:eastAsia="Times New Roman" w:cs="Times New Roman"/>
          <w:bCs/>
          <w:lang w:eastAsia="pl-PL"/>
        </w:rPr>
        <w:lastRenderedPageBreak/>
        <w:t xml:space="preserve">innych (z pozostałych) priorytetów inwestycyjnych, to wtedy także określa indykatywną wielkość alokacji środków finansowych na ten cel. </w:t>
      </w:r>
    </w:p>
    <w:p w:rsidR="00A6085B" w:rsidRPr="00A6085B" w:rsidRDefault="00A6085B" w:rsidP="00A6085B">
      <w:pPr>
        <w:ind w:left="284" w:hanging="284"/>
        <w:jc w:val="both"/>
        <w:rPr>
          <w:rFonts w:eastAsia="Times New Roman" w:cs="Times New Roman"/>
          <w:bCs/>
          <w:lang w:eastAsia="pl-PL"/>
        </w:rPr>
      </w:pPr>
      <w:r w:rsidRPr="00A6085B">
        <w:rPr>
          <w:rFonts w:eastAsia="Times New Roman" w:cs="Times New Roman"/>
          <w:bCs/>
          <w:lang w:eastAsia="pl-PL"/>
        </w:rPr>
        <w:t xml:space="preserve">4) Określenia indykatywnej wielkości alokacji środków finansowych na obszary rewitalizacji dokonuje IZ w SZOOP zgodnie z Wytycznymi Ministra Infrastruktury i Rozwoju w zakresie szczegółowego opisu osi priorytetowych krajowych i regionalnych programów operacyjnych na lata 2014-2020. </w:t>
      </w:r>
    </w:p>
    <w:p w:rsidR="00A6085B" w:rsidRPr="00A6085B" w:rsidRDefault="00A6085B" w:rsidP="00A6085B">
      <w:pPr>
        <w:ind w:left="284" w:hanging="284"/>
        <w:jc w:val="both"/>
        <w:rPr>
          <w:rFonts w:eastAsia="Times New Roman" w:cs="Times New Roman"/>
          <w:bCs/>
          <w:lang w:eastAsia="pl-PL"/>
        </w:rPr>
      </w:pPr>
      <w:r w:rsidRPr="00A6085B">
        <w:rPr>
          <w:rFonts w:eastAsia="Times New Roman" w:cs="Times New Roman"/>
          <w:bCs/>
          <w:lang w:eastAsia="pl-PL"/>
        </w:rPr>
        <w:t>Schemat powiązania projektów rewitalizacyjnych z rodzajami priorytetów inwestycyjnych</w:t>
      </w:r>
    </w:p>
    <w:p w:rsidR="00A6085B" w:rsidRPr="00A6085B" w:rsidRDefault="00A6085B" w:rsidP="00A6085B">
      <w:pPr>
        <w:jc w:val="both"/>
        <w:rPr>
          <w:rFonts w:eastAsia="Calibri" w:cs="Times New Roman"/>
          <w:i/>
          <w:color w:val="365F91"/>
        </w:rPr>
      </w:pPr>
      <w:r w:rsidRPr="00A6085B">
        <w:rPr>
          <w:rFonts w:eastAsia="Calibri" w:cs="Times New Roman"/>
          <w:i/>
          <w:noProof/>
          <w:lang w:eastAsia="pl-PL"/>
        </w:rPr>
        <w:drawing>
          <wp:inline distT="0" distB="0" distL="0" distR="0" wp14:anchorId="77F2D396" wp14:editId="39AC27C4">
            <wp:extent cx="5753735" cy="3536950"/>
            <wp:effectExtent l="0" t="0" r="0" b="635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735" cy="3536950"/>
                    </a:xfrm>
                    <a:prstGeom prst="rect">
                      <a:avLst/>
                    </a:prstGeom>
                    <a:noFill/>
                    <a:ln>
                      <a:noFill/>
                    </a:ln>
                  </pic:spPr>
                </pic:pic>
              </a:graphicData>
            </a:graphic>
          </wp:inline>
        </w:drawing>
      </w:r>
    </w:p>
    <w:p w:rsidR="00A6085B" w:rsidRPr="00A6085B" w:rsidRDefault="00A6085B" w:rsidP="00A6085B">
      <w:pPr>
        <w:jc w:val="both"/>
        <w:rPr>
          <w:rFonts w:eastAsia="Calibri" w:cs="Times New Roman"/>
          <w:b/>
        </w:rPr>
      </w:pPr>
      <w:r w:rsidRPr="00A6085B">
        <w:rPr>
          <w:rFonts w:eastAsia="Calibri" w:cs="Times New Roman"/>
          <w:b/>
        </w:rPr>
        <w:t>Wsparcie rewitalizacji w regionalnych programach operacyjnych</w:t>
      </w:r>
    </w:p>
    <w:p w:rsidR="00A6085B" w:rsidRPr="00A6085B" w:rsidRDefault="00A6085B" w:rsidP="00A6085B">
      <w:pPr>
        <w:ind w:left="284" w:hanging="284"/>
        <w:jc w:val="both"/>
        <w:rPr>
          <w:rFonts w:eastAsia="Calibri" w:cs="Times New Roman"/>
        </w:rPr>
      </w:pPr>
      <w:r w:rsidRPr="00A6085B">
        <w:rPr>
          <w:rFonts w:eastAsia="Calibri" w:cs="Times New Roman"/>
        </w:rPr>
        <w:t>1) W zakresie rewitalizacji głównym zadaniem IZ RPO jest takie zaprojektowanie rozwiązań, aby umożliwić realizację skoordynowanych projektów rewitalizacyjnych obejmujących różne sfery</w:t>
      </w:r>
      <w:r w:rsidRPr="00A6085B">
        <w:rPr>
          <w:rFonts w:eastAsia="Calibri" w:cs="Times New Roman"/>
        </w:rPr>
        <w:br/>
        <w:t xml:space="preserve">i działania w ramach różnych priorytetów inwestycyjnych. IZ RPO zapewnia, że projekty rewitalizacyjne współfinasowane z RPO są zgodne z celami RPO i zachowują logikę interwencji </w:t>
      </w:r>
      <w:r w:rsidRPr="00A6085B">
        <w:rPr>
          <w:rFonts w:eastAsia="Calibri" w:cs="Times New Roman"/>
        </w:rPr>
        <w:br/>
        <w:t xml:space="preserve">w zakresie rewitalizacji. </w:t>
      </w:r>
    </w:p>
    <w:p w:rsidR="00A6085B" w:rsidRPr="00A6085B" w:rsidRDefault="00A6085B" w:rsidP="00A6085B">
      <w:pPr>
        <w:ind w:left="284" w:hanging="284"/>
        <w:jc w:val="both"/>
        <w:rPr>
          <w:rFonts w:eastAsia="Calibri" w:cs="Times New Roman"/>
        </w:rPr>
      </w:pPr>
      <w:r w:rsidRPr="00A6085B">
        <w:rPr>
          <w:rFonts w:eastAsia="Calibri" w:cs="Times New Roman"/>
        </w:rPr>
        <w:t xml:space="preserve">2) Obligatoryjnym warunkiem wydatkowania przez IZ RPO środków z EFRR w ramach priorytetu inwestycyjnego 9b Wspieranie rewitalizacji fizycznej, gospodarczej i społecznej ubogich społeczności na obszarach miejskich i wiejskich, jest przeznaczenie ich tylko i wyłącznie na realizację projektów rewitalizacyjnych.  </w:t>
      </w:r>
    </w:p>
    <w:p w:rsidR="00A6085B" w:rsidRPr="00A6085B" w:rsidRDefault="00A6085B" w:rsidP="00A6085B">
      <w:pPr>
        <w:ind w:left="284" w:hanging="284"/>
        <w:jc w:val="both"/>
        <w:rPr>
          <w:rFonts w:eastAsia="Calibri" w:cs="Times New Roman"/>
        </w:rPr>
      </w:pPr>
      <w:r w:rsidRPr="00A6085B">
        <w:rPr>
          <w:rFonts w:eastAsia="Calibri" w:cs="Times New Roman"/>
        </w:rPr>
        <w:t xml:space="preserve">3) W ramach systemu wdrażania RPO, IZ RPO tworzy warunki umożliwiające skuteczną realizację projektów rewitalizacyjnych oraz monitoruje i ocenia program operacyjny pod względem skuteczności i efektywności wsparcia projektów rewitalizacyjnych. W tym celu formułuje preferencje w dostępie do środków dla projektów rewitalizacyjnych w ramach innych priorytetów inwestycyjnych niż 9b (poprzez dodatkowe punkty przyznawane w trakcie oceny projektów lub </w:t>
      </w:r>
      <w:r w:rsidRPr="00A6085B">
        <w:rPr>
          <w:rFonts w:eastAsia="Calibri" w:cs="Times New Roman"/>
        </w:rPr>
        <w:lastRenderedPageBreak/>
        <w:t xml:space="preserve">wyższy poziom dofinansowania lub konkursy poświęcone wyłącznie projektom rewitalizacyjnym </w:t>
      </w:r>
      <w:r w:rsidRPr="00A6085B">
        <w:rPr>
          <w:rFonts w:eastAsia="Calibri" w:cs="Times New Roman"/>
        </w:rPr>
        <w:br/>
        <w:t xml:space="preserve">a także, jeśli IZ RPO zdecyduje – innego rodzaju preferencje) oraz może określić inne zachęty </w:t>
      </w:r>
      <w:r w:rsidRPr="00A6085B">
        <w:rPr>
          <w:rFonts w:eastAsia="Calibri" w:cs="Times New Roman"/>
        </w:rPr>
        <w:br/>
        <w:t xml:space="preserve">i ułatwienia wykorzystując np. </w:t>
      </w:r>
    </w:p>
    <w:p w:rsidR="00A6085B" w:rsidRPr="00A6085B" w:rsidRDefault="00A6085B" w:rsidP="00A6085B">
      <w:pPr>
        <w:ind w:left="284" w:hanging="284"/>
        <w:jc w:val="both"/>
        <w:rPr>
          <w:rFonts w:eastAsia="Calibri" w:cs="Times New Roman"/>
        </w:rPr>
      </w:pPr>
      <w:r w:rsidRPr="00A6085B">
        <w:rPr>
          <w:rFonts w:eastAsia="Calibri" w:cs="Times New Roman"/>
        </w:rPr>
        <w:t xml:space="preserve">a. odpowiednie dla rewitalizacji zastosowanie szczególnych rodzajów projektów określonych ustawą (art. 32-35): projektu zintegrowanego (ze względu na charakter procesów rewitalizacji najbardziej rekomendowany), projektu partnerskiego, projektu grantowego oraz projektu hybrydowego; </w:t>
      </w:r>
    </w:p>
    <w:p w:rsidR="00A6085B" w:rsidRPr="00A6085B" w:rsidRDefault="00A6085B" w:rsidP="00A6085B">
      <w:pPr>
        <w:ind w:left="284" w:hanging="284"/>
        <w:jc w:val="both"/>
        <w:rPr>
          <w:rFonts w:eastAsia="Calibri" w:cs="Times New Roman"/>
        </w:rPr>
      </w:pPr>
      <w:r w:rsidRPr="00A6085B">
        <w:rPr>
          <w:rFonts w:eastAsia="Calibri" w:cs="Times New Roman"/>
        </w:rPr>
        <w:t xml:space="preserve">b. wykorzystanie możliwości zastosowania trybu pozakonkursowego dla wyboru do dofinansowania projektów rewitalizacyjnych (np. na obszarach objętych realizacją ZIT); </w:t>
      </w:r>
    </w:p>
    <w:p w:rsidR="00A6085B" w:rsidRPr="00A6085B" w:rsidRDefault="00A6085B" w:rsidP="00A6085B">
      <w:pPr>
        <w:ind w:left="284" w:hanging="284"/>
        <w:jc w:val="both"/>
        <w:rPr>
          <w:rFonts w:eastAsia="Calibri" w:cs="Times New Roman"/>
        </w:rPr>
      </w:pPr>
      <w:r w:rsidRPr="00A6085B">
        <w:rPr>
          <w:rFonts w:eastAsia="Calibri" w:cs="Times New Roman"/>
        </w:rPr>
        <w:t>c. koordynację i synchronizowanie naborów wniosków w komplementarnych priorytetach inwestycyjnych.</w:t>
      </w:r>
    </w:p>
    <w:p w:rsidR="00A6085B" w:rsidRPr="00A6085B" w:rsidRDefault="00A6085B" w:rsidP="00A6085B">
      <w:pPr>
        <w:jc w:val="both"/>
        <w:rPr>
          <w:rFonts w:eastAsia="Calibri" w:cs="Times New Roman"/>
          <w:i/>
        </w:rPr>
      </w:pPr>
      <w:r w:rsidRPr="00A6085B">
        <w:rPr>
          <w:rFonts w:eastAsia="Calibri" w:cs="Times New Roman"/>
          <w:i/>
        </w:rPr>
        <w:t>Tabela 1. Priorytety inwestycyjne bezpośrednio związane z rewitalizacją w ramach regionalnych programów operacyjnych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0"/>
      </w:tblGrid>
      <w:tr w:rsidR="00A6085B" w:rsidRPr="00A6085B" w:rsidTr="00A76BDB">
        <w:tc>
          <w:tcPr>
            <w:tcW w:w="9210" w:type="dxa"/>
            <w:shd w:val="clear" w:color="auto" w:fill="D9D9D9"/>
          </w:tcPr>
          <w:p w:rsidR="00A6085B" w:rsidRPr="00A6085B" w:rsidRDefault="00A6085B" w:rsidP="00A6085B">
            <w:pPr>
              <w:autoSpaceDE w:val="0"/>
              <w:autoSpaceDN w:val="0"/>
              <w:adjustRightInd w:val="0"/>
              <w:rPr>
                <w:rFonts w:eastAsia="Calibri" w:cs="Times New Roman"/>
                <w:b/>
                <w:lang w:eastAsia="pl-PL"/>
              </w:rPr>
            </w:pPr>
            <w:r w:rsidRPr="00A6085B">
              <w:rPr>
                <w:rFonts w:eastAsia="Calibri" w:cs="Times New Roman"/>
                <w:b/>
                <w:lang w:eastAsia="pl-PL"/>
              </w:rPr>
              <w:t>CELE TEMATYCZNE ORAZ PRIORYTETY INWESTYCYJNE</w:t>
            </w:r>
          </w:p>
        </w:tc>
      </w:tr>
      <w:tr w:rsidR="00A6085B" w:rsidRPr="00A6085B" w:rsidTr="00A76BDB">
        <w:tc>
          <w:tcPr>
            <w:tcW w:w="9210" w:type="dxa"/>
            <w:shd w:val="clear" w:color="auto" w:fill="auto"/>
          </w:tcPr>
          <w:p w:rsidR="00A6085B" w:rsidRPr="00A6085B" w:rsidRDefault="00A6085B" w:rsidP="00A6085B">
            <w:pPr>
              <w:autoSpaceDE w:val="0"/>
              <w:autoSpaceDN w:val="0"/>
              <w:adjustRightInd w:val="0"/>
              <w:rPr>
                <w:rFonts w:eastAsia="Calibri" w:cs="Times New Roman"/>
                <w:b/>
                <w:lang w:eastAsia="pl-PL"/>
              </w:rPr>
            </w:pPr>
            <w:r w:rsidRPr="00A6085B">
              <w:rPr>
                <w:rFonts w:eastAsia="Calibri" w:cs="Times New Roman"/>
                <w:b/>
                <w:lang w:eastAsia="pl-PL"/>
              </w:rPr>
              <w:t xml:space="preserve">Cel Tematyczny 3 </w:t>
            </w:r>
            <w:r w:rsidRPr="00A6085B">
              <w:rPr>
                <w:rFonts w:eastAsia="Calibri" w:cs="Times New Roman"/>
                <w:b/>
                <w:lang w:eastAsia="pl-PL"/>
              </w:rPr>
              <w:br/>
              <w:t>Wzmacnianie konkurencyjności MŚP</w:t>
            </w:r>
          </w:p>
        </w:tc>
      </w:tr>
      <w:tr w:rsidR="00A6085B" w:rsidRPr="00A6085B" w:rsidTr="00A76BDB">
        <w:tc>
          <w:tcPr>
            <w:tcW w:w="9210" w:type="dxa"/>
            <w:shd w:val="clear" w:color="auto" w:fill="auto"/>
          </w:tcPr>
          <w:p w:rsidR="00A6085B" w:rsidRPr="00A6085B" w:rsidRDefault="00A6085B" w:rsidP="00A6085B">
            <w:pPr>
              <w:autoSpaceDE w:val="0"/>
              <w:autoSpaceDN w:val="0"/>
              <w:adjustRightInd w:val="0"/>
              <w:rPr>
                <w:rFonts w:eastAsia="Calibri" w:cs="Times New Roman"/>
                <w:lang w:eastAsia="pl-PL"/>
              </w:rPr>
            </w:pPr>
            <w:r w:rsidRPr="00A6085B">
              <w:rPr>
                <w:rFonts w:eastAsia="Calibri" w:cs="Times New Roman"/>
                <w:lang w:eastAsia="pl-PL"/>
              </w:rPr>
              <w:t>3a Promowanie przedsiębiorczości, w szczególności poprzez ułatwianie gospodarczego wykorzystywania nowych pomysłów oraz sprzyjanie tworzeniu nowych firm, w tym również poprzez inkubatory przedsiębiorczości</w:t>
            </w:r>
          </w:p>
        </w:tc>
      </w:tr>
      <w:tr w:rsidR="00A6085B" w:rsidRPr="00A6085B" w:rsidTr="00A76BDB">
        <w:tc>
          <w:tcPr>
            <w:tcW w:w="9210" w:type="dxa"/>
            <w:shd w:val="clear" w:color="auto" w:fill="auto"/>
          </w:tcPr>
          <w:p w:rsidR="00A6085B" w:rsidRPr="00A6085B" w:rsidRDefault="00A6085B" w:rsidP="00A6085B">
            <w:pPr>
              <w:autoSpaceDE w:val="0"/>
              <w:autoSpaceDN w:val="0"/>
              <w:adjustRightInd w:val="0"/>
              <w:rPr>
                <w:rFonts w:eastAsia="Calibri" w:cs="Times New Roman"/>
                <w:b/>
                <w:lang w:eastAsia="pl-PL"/>
              </w:rPr>
            </w:pPr>
            <w:r w:rsidRPr="00A6085B">
              <w:rPr>
                <w:rFonts w:eastAsia="Calibri" w:cs="Times New Roman"/>
                <w:b/>
                <w:lang w:eastAsia="pl-PL"/>
              </w:rPr>
              <w:t xml:space="preserve">Cel tematyczny 4 </w:t>
            </w:r>
            <w:r w:rsidRPr="00A6085B">
              <w:rPr>
                <w:rFonts w:eastAsia="Calibri" w:cs="Times New Roman"/>
                <w:b/>
                <w:lang w:eastAsia="pl-PL"/>
              </w:rPr>
              <w:br/>
              <w:t>Wspieranie przejścia na gospodarkę niskoemisyjną we wszystkich sektorach</w:t>
            </w:r>
          </w:p>
        </w:tc>
      </w:tr>
      <w:tr w:rsidR="00A6085B" w:rsidRPr="00A6085B" w:rsidTr="00A76BDB">
        <w:tc>
          <w:tcPr>
            <w:tcW w:w="9210" w:type="dxa"/>
            <w:shd w:val="clear" w:color="auto" w:fill="auto"/>
          </w:tcPr>
          <w:p w:rsidR="00A6085B" w:rsidRPr="00A6085B" w:rsidRDefault="00A6085B" w:rsidP="00A6085B">
            <w:pPr>
              <w:autoSpaceDE w:val="0"/>
              <w:autoSpaceDN w:val="0"/>
              <w:adjustRightInd w:val="0"/>
              <w:rPr>
                <w:rFonts w:eastAsia="Calibri" w:cs="Times New Roman"/>
                <w:lang w:eastAsia="pl-PL"/>
              </w:rPr>
            </w:pPr>
            <w:r w:rsidRPr="00A6085B">
              <w:rPr>
                <w:rFonts w:eastAsia="Calibri" w:cs="Times New Roman"/>
                <w:lang w:eastAsia="pl-PL"/>
              </w:rPr>
              <w:t xml:space="preserve">4c Wspieranie efektywności energetycznej, inteligentnego zarządzania energią i wykorzystania odnawialnych źródeł energii w infrastrukturze publicznej, w tym w budynkach publicznych, </w:t>
            </w:r>
            <w:r w:rsidRPr="00A6085B">
              <w:rPr>
                <w:rFonts w:eastAsia="Calibri" w:cs="Times New Roman"/>
                <w:lang w:eastAsia="pl-PL"/>
              </w:rPr>
              <w:br/>
              <w:t>i w sektorze mieszkaniowym</w:t>
            </w:r>
          </w:p>
        </w:tc>
      </w:tr>
      <w:tr w:rsidR="00A6085B" w:rsidRPr="00A6085B" w:rsidTr="00A76BDB">
        <w:tc>
          <w:tcPr>
            <w:tcW w:w="9210" w:type="dxa"/>
            <w:shd w:val="clear" w:color="auto" w:fill="auto"/>
          </w:tcPr>
          <w:p w:rsidR="00A6085B" w:rsidRPr="00A6085B" w:rsidRDefault="00A6085B" w:rsidP="00A6085B">
            <w:pPr>
              <w:autoSpaceDE w:val="0"/>
              <w:autoSpaceDN w:val="0"/>
              <w:adjustRightInd w:val="0"/>
              <w:rPr>
                <w:rFonts w:eastAsia="Calibri" w:cs="Times New Roman"/>
                <w:lang w:eastAsia="pl-PL"/>
              </w:rPr>
            </w:pPr>
            <w:r w:rsidRPr="00A6085B">
              <w:rPr>
                <w:rFonts w:eastAsia="Calibri" w:cs="Times New Roman"/>
                <w:lang w:eastAsia="pl-PL"/>
              </w:rPr>
              <w:t>4e Promowanie strategii niskoemisyjnych dla wszystkich rodzajów terytoriów, w szczególności dla obszarów miejskich, w tym wspieranie zrównoważonej multimodalnej mobilności miejskiej i działań adaptacyjnych mających oddziaływanie łagodzące na zmiany klimatu</w:t>
            </w:r>
          </w:p>
        </w:tc>
      </w:tr>
      <w:tr w:rsidR="00A6085B" w:rsidRPr="00A6085B" w:rsidTr="00A76BDB">
        <w:tc>
          <w:tcPr>
            <w:tcW w:w="9210" w:type="dxa"/>
            <w:shd w:val="clear" w:color="auto" w:fill="auto"/>
          </w:tcPr>
          <w:p w:rsidR="00A6085B" w:rsidRPr="00A6085B" w:rsidRDefault="00A6085B" w:rsidP="00A6085B">
            <w:pPr>
              <w:autoSpaceDE w:val="0"/>
              <w:autoSpaceDN w:val="0"/>
              <w:adjustRightInd w:val="0"/>
              <w:rPr>
                <w:rFonts w:eastAsia="Calibri" w:cs="Times New Roman"/>
                <w:b/>
                <w:lang w:eastAsia="pl-PL"/>
              </w:rPr>
            </w:pPr>
            <w:r w:rsidRPr="00A6085B">
              <w:rPr>
                <w:rFonts w:eastAsia="Calibri" w:cs="Times New Roman"/>
                <w:b/>
                <w:lang w:eastAsia="pl-PL"/>
              </w:rPr>
              <w:t xml:space="preserve">Cel tematyczny 6 </w:t>
            </w:r>
            <w:r w:rsidRPr="00A6085B">
              <w:rPr>
                <w:rFonts w:eastAsia="Calibri" w:cs="Times New Roman"/>
                <w:b/>
                <w:lang w:eastAsia="pl-PL"/>
              </w:rPr>
              <w:br/>
              <w:t>Zachowanie i ochrona środowiska naturalnego oraz wspieranie efektywnego gospodarowania zasobami</w:t>
            </w:r>
          </w:p>
        </w:tc>
      </w:tr>
      <w:tr w:rsidR="00A6085B" w:rsidRPr="00A6085B" w:rsidTr="00A76BDB">
        <w:tc>
          <w:tcPr>
            <w:tcW w:w="9210" w:type="dxa"/>
            <w:shd w:val="clear" w:color="auto" w:fill="auto"/>
          </w:tcPr>
          <w:p w:rsidR="00A6085B" w:rsidRPr="00A6085B" w:rsidRDefault="00A6085B" w:rsidP="00A6085B">
            <w:pPr>
              <w:autoSpaceDE w:val="0"/>
              <w:autoSpaceDN w:val="0"/>
              <w:adjustRightInd w:val="0"/>
              <w:rPr>
                <w:rFonts w:eastAsia="Calibri" w:cs="Times New Roman"/>
                <w:lang w:eastAsia="pl-PL"/>
              </w:rPr>
            </w:pPr>
            <w:r w:rsidRPr="00A6085B">
              <w:rPr>
                <w:rFonts w:eastAsia="Calibri" w:cs="Times New Roman"/>
                <w:lang w:eastAsia="pl-PL"/>
              </w:rPr>
              <w:t>6c Zachowanie, ochrona, promowanie i rozwój dziedzictwa naturalnego i kulturowego</w:t>
            </w:r>
          </w:p>
        </w:tc>
      </w:tr>
      <w:tr w:rsidR="00A6085B" w:rsidRPr="00A6085B" w:rsidTr="00A76BDB">
        <w:tc>
          <w:tcPr>
            <w:tcW w:w="9210" w:type="dxa"/>
            <w:shd w:val="clear" w:color="auto" w:fill="auto"/>
          </w:tcPr>
          <w:p w:rsidR="00A6085B" w:rsidRPr="00A6085B" w:rsidRDefault="00A6085B" w:rsidP="00A6085B">
            <w:pPr>
              <w:autoSpaceDE w:val="0"/>
              <w:autoSpaceDN w:val="0"/>
              <w:adjustRightInd w:val="0"/>
              <w:rPr>
                <w:rFonts w:eastAsia="Calibri" w:cs="Times New Roman"/>
                <w:lang w:eastAsia="pl-PL"/>
              </w:rPr>
            </w:pPr>
            <w:r w:rsidRPr="00A6085B">
              <w:rPr>
                <w:rFonts w:eastAsia="Calibri" w:cs="Times New Roman"/>
                <w:lang w:eastAsia="pl-PL"/>
              </w:rPr>
              <w:t>6e Podejmowanie przedsięwzięć mających na celu poprawę stanu, jakości środowiska miejskiego, rewitalizację miast, rekultywację i dekontaminację terenów poprzemysłowych (w tym terenów powojskowych), zmniejszenie zanieczyszczenia powietrza oraz propagowania działań służących zmniejszaniu hałasu</w:t>
            </w:r>
          </w:p>
        </w:tc>
      </w:tr>
      <w:tr w:rsidR="00A6085B" w:rsidRPr="00A6085B" w:rsidTr="00A76BDB">
        <w:tc>
          <w:tcPr>
            <w:tcW w:w="9210" w:type="dxa"/>
            <w:shd w:val="clear" w:color="auto" w:fill="auto"/>
          </w:tcPr>
          <w:p w:rsidR="00A6085B" w:rsidRPr="00A6085B" w:rsidRDefault="00A6085B" w:rsidP="00A6085B">
            <w:pPr>
              <w:autoSpaceDE w:val="0"/>
              <w:autoSpaceDN w:val="0"/>
              <w:adjustRightInd w:val="0"/>
              <w:rPr>
                <w:rFonts w:eastAsia="Calibri" w:cs="Times New Roman"/>
                <w:b/>
                <w:lang w:eastAsia="pl-PL"/>
              </w:rPr>
            </w:pPr>
            <w:r w:rsidRPr="00A6085B">
              <w:rPr>
                <w:rFonts w:eastAsia="Calibri" w:cs="Times New Roman"/>
                <w:b/>
                <w:lang w:eastAsia="pl-PL"/>
              </w:rPr>
              <w:t>Cel tematyczny 7</w:t>
            </w:r>
            <w:r w:rsidRPr="00A6085B">
              <w:rPr>
                <w:rFonts w:eastAsia="Calibri" w:cs="Times New Roman"/>
                <w:b/>
                <w:lang w:eastAsia="pl-PL"/>
              </w:rPr>
              <w:br/>
            </w:r>
            <w:r w:rsidRPr="00A6085B">
              <w:rPr>
                <w:rFonts w:eastAsia="Calibri" w:cs="Times New Roman"/>
                <w:b/>
                <w:lang w:eastAsia="pl-PL"/>
              </w:rPr>
              <w:lastRenderedPageBreak/>
              <w:t>Promowanie zrównoważonego transportu i usuwanie niedoborów przepustowości w działaniu najważniejszej infrastruktury sieciowej</w:t>
            </w:r>
          </w:p>
        </w:tc>
      </w:tr>
      <w:tr w:rsidR="00A6085B" w:rsidRPr="00A6085B" w:rsidTr="00A76BDB">
        <w:tc>
          <w:tcPr>
            <w:tcW w:w="9210" w:type="dxa"/>
            <w:shd w:val="clear" w:color="auto" w:fill="auto"/>
          </w:tcPr>
          <w:p w:rsidR="00A6085B" w:rsidRPr="00A6085B" w:rsidRDefault="00A6085B" w:rsidP="00A6085B">
            <w:pPr>
              <w:autoSpaceDE w:val="0"/>
              <w:autoSpaceDN w:val="0"/>
              <w:adjustRightInd w:val="0"/>
              <w:rPr>
                <w:rFonts w:eastAsia="Calibri" w:cs="Times New Roman"/>
                <w:lang w:eastAsia="pl-PL"/>
              </w:rPr>
            </w:pPr>
            <w:r w:rsidRPr="00A6085B">
              <w:rPr>
                <w:rFonts w:eastAsia="Calibri" w:cs="Times New Roman"/>
                <w:lang w:eastAsia="pl-PL"/>
              </w:rPr>
              <w:lastRenderedPageBreak/>
              <w:t>7d Rozwój i rehabilitacja kompleksowych, wysokiej jakości i interoperacyjnych systemów transportu kolejowego oraz propagowanie działań służących zmniejszaniu hałasu</w:t>
            </w:r>
          </w:p>
        </w:tc>
      </w:tr>
      <w:tr w:rsidR="00A6085B" w:rsidRPr="00A6085B" w:rsidTr="00A76BDB">
        <w:tc>
          <w:tcPr>
            <w:tcW w:w="9210" w:type="dxa"/>
            <w:shd w:val="clear" w:color="auto" w:fill="auto"/>
          </w:tcPr>
          <w:p w:rsidR="00A6085B" w:rsidRPr="00A6085B" w:rsidRDefault="00A6085B" w:rsidP="00A6085B">
            <w:pPr>
              <w:autoSpaceDE w:val="0"/>
              <w:autoSpaceDN w:val="0"/>
              <w:adjustRightInd w:val="0"/>
              <w:rPr>
                <w:rFonts w:eastAsia="Calibri" w:cs="Times New Roman"/>
                <w:b/>
                <w:lang w:eastAsia="pl-PL"/>
              </w:rPr>
            </w:pPr>
            <w:r w:rsidRPr="00A6085B">
              <w:rPr>
                <w:rFonts w:eastAsia="Calibri" w:cs="Times New Roman"/>
                <w:b/>
                <w:lang w:eastAsia="pl-PL"/>
              </w:rPr>
              <w:t xml:space="preserve">Cel tematyczny 8 </w:t>
            </w:r>
            <w:r w:rsidRPr="00A6085B">
              <w:rPr>
                <w:rFonts w:eastAsia="Calibri" w:cs="Times New Roman"/>
                <w:b/>
                <w:lang w:eastAsia="pl-PL"/>
              </w:rPr>
              <w:br/>
              <w:t>Promowanie trwałego i wysokiej jakości zatrudnienia oraz wsparcie mobilności pracowników</w:t>
            </w:r>
          </w:p>
        </w:tc>
      </w:tr>
      <w:tr w:rsidR="00A6085B" w:rsidRPr="00A6085B" w:rsidTr="00A76BDB">
        <w:tc>
          <w:tcPr>
            <w:tcW w:w="9210" w:type="dxa"/>
            <w:shd w:val="clear" w:color="auto" w:fill="auto"/>
          </w:tcPr>
          <w:p w:rsidR="00A6085B" w:rsidRPr="00A6085B" w:rsidRDefault="00A6085B" w:rsidP="00A6085B">
            <w:pPr>
              <w:autoSpaceDE w:val="0"/>
              <w:autoSpaceDN w:val="0"/>
              <w:adjustRightInd w:val="0"/>
              <w:rPr>
                <w:rFonts w:eastAsia="Calibri" w:cs="Times New Roman"/>
                <w:lang w:eastAsia="pl-PL"/>
              </w:rPr>
            </w:pPr>
            <w:r w:rsidRPr="00A6085B">
              <w:rPr>
                <w:rFonts w:eastAsia="Calibri" w:cs="Times New Roman"/>
                <w:lang w:eastAsia="pl-PL"/>
              </w:rPr>
              <w:t>8i dostęp do zatrudnienia dla osób poszukujących pracy i osób biernych zawodowo, w tym długotrwale bezrobotnych oraz oddalonych od rynku pracy, także poprzez lokalne inicjatywy inicjatywy na rzecz zatrudnienia oraz wspieranie mobilności pracowników</w:t>
            </w:r>
          </w:p>
        </w:tc>
      </w:tr>
      <w:tr w:rsidR="00A6085B" w:rsidRPr="00A6085B" w:rsidTr="00A76BDB">
        <w:tc>
          <w:tcPr>
            <w:tcW w:w="9210" w:type="dxa"/>
            <w:shd w:val="clear" w:color="auto" w:fill="auto"/>
          </w:tcPr>
          <w:p w:rsidR="00A6085B" w:rsidRPr="00A6085B" w:rsidRDefault="00A6085B" w:rsidP="00A6085B">
            <w:pPr>
              <w:autoSpaceDE w:val="0"/>
              <w:autoSpaceDN w:val="0"/>
              <w:adjustRightInd w:val="0"/>
              <w:rPr>
                <w:rFonts w:eastAsia="Calibri" w:cs="Times New Roman"/>
                <w:lang w:eastAsia="pl-PL"/>
              </w:rPr>
            </w:pPr>
            <w:r w:rsidRPr="00A6085B">
              <w:rPr>
                <w:rFonts w:eastAsia="Calibri" w:cs="Times New Roman"/>
                <w:lang w:eastAsia="pl-PL"/>
              </w:rPr>
              <w:t>8iii praca na własny rachunek, przedsiębiorczość i tworzenie przedsiębiorstw w tym innowacyjnych mikro-, małych i średnich przedsiębiorstw</w:t>
            </w:r>
          </w:p>
        </w:tc>
      </w:tr>
      <w:tr w:rsidR="00A6085B" w:rsidRPr="00A6085B" w:rsidTr="00A76BDB">
        <w:tc>
          <w:tcPr>
            <w:tcW w:w="9210" w:type="dxa"/>
            <w:shd w:val="clear" w:color="auto" w:fill="auto"/>
          </w:tcPr>
          <w:p w:rsidR="00A6085B" w:rsidRPr="00A6085B" w:rsidRDefault="00A6085B" w:rsidP="00A6085B">
            <w:pPr>
              <w:autoSpaceDE w:val="0"/>
              <w:autoSpaceDN w:val="0"/>
              <w:adjustRightInd w:val="0"/>
              <w:rPr>
                <w:rFonts w:eastAsia="Calibri" w:cs="Times New Roman"/>
                <w:b/>
                <w:lang w:eastAsia="pl-PL"/>
              </w:rPr>
            </w:pPr>
            <w:r w:rsidRPr="00A6085B">
              <w:rPr>
                <w:rFonts w:eastAsia="Calibri" w:cs="Times New Roman"/>
                <w:b/>
                <w:lang w:eastAsia="pl-PL"/>
              </w:rPr>
              <w:t xml:space="preserve">Cel tematyczny 9 </w:t>
            </w:r>
            <w:r w:rsidRPr="00A6085B">
              <w:rPr>
                <w:rFonts w:eastAsia="Calibri" w:cs="Times New Roman"/>
                <w:b/>
                <w:lang w:eastAsia="pl-PL"/>
              </w:rPr>
              <w:br/>
              <w:t>Wspieranie włączenia społecznego i walka z ubóstwem</w:t>
            </w:r>
          </w:p>
        </w:tc>
      </w:tr>
      <w:tr w:rsidR="00A6085B" w:rsidRPr="00A6085B" w:rsidTr="00A76BDB">
        <w:tc>
          <w:tcPr>
            <w:tcW w:w="9210" w:type="dxa"/>
            <w:shd w:val="clear" w:color="auto" w:fill="auto"/>
          </w:tcPr>
          <w:p w:rsidR="00A6085B" w:rsidRPr="00A6085B" w:rsidRDefault="00A6085B" w:rsidP="00A6085B">
            <w:pPr>
              <w:autoSpaceDE w:val="0"/>
              <w:autoSpaceDN w:val="0"/>
              <w:adjustRightInd w:val="0"/>
              <w:rPr>
                <w:rFonts w:eastAsia="Calibri" w:cs="Times New Roman"/>
                <w:lang w:eastAsia="pl-PL"/>
              </w:rPr>
            </w:pPr>
            <w:r w:rsidRPr="00A6085B">
              <w:rPr>
                <w:rFonts w:eastAsia="Calibri" w:cs="Times New Roman"/>
                <w:lang w:eastAsia="pl-PL"/>
              </w:rPr>
              <w:t>9b wspieranie rewitalizacji fizycznej, gospodarczej i społecznej ubogich społeczności na obszarach miejskich i wiejskich</w:t>
            </w:r>
          </w:p>
        </w:tc>
      </w:tr>
      <w:tr w:rsidR="00A6085B" w:rsidRPr="00A6085B" w:rsidTr="00A76BDB">
        <w:tc>
          <w:tcPr>
            <w:tcW w:w="9210" w:type="dxa"/>
            <w:shd w:val="clear" w:color="auto" w:fill="auto"/>
          </w:tcPr>
          <w:p w:rsidR="00A6085B" w:rsidRPr="00A6085B" w:rsidRDefault="00A6085B" w:rsidP="00A6085B">
            <w:pPr>
              <w:autoSpaceDE w:val="0"/>
              <w:autoSpaceDN w:val="0"/>
              <w:adjustRightInd w:val="0"/>
              <w:rPr>
                <w:rFonts w:eastAsia="Calibri" w:cs="Times New Roman"/>
                <w:lang w:eastAsia="pl-PL"/>
              </w:rPr>
            </w:pPr>
            <w:r w:rsidRPr="00A6085B">
              <w:rPr>
                <w:rFonts w:eastAsia="Calibri" w:cs="Times New Roman"/>
                <w:lang w:eastAsia="pl-PL"/>
              </w:rPr>
              <w:t>9i aktywne włączenie, w tym z myślą o promowaniu równych szans oraz aktywnego uczestnictwa</w:t>
            </w:r>
            <w:r w:rsidRPr="00A6085B">
              <w:rPr>
                <w:rFonts w:eastAsia="Calibri" w:cs="Times New Roman"/>
                <w:lang w:eastAsia="pl-PL"/>
              </w:rPr>
              <w:br/>
              <w:t xml:space="preserve"> i zwiększaniu szans na zatrudnienie</w:t>
            </w:r>
          </w:p>
        </w:tc>
      </w:tr>
      <w:tr w:rsidR="00A6085B" w:rsidRPr="00A6085B" w:rsidTr="00A76BDB">
        <w:tc>
          <w:tcPr>
            <w:tcW w:w="9210" w:type="dxa"/>
            <w:shd w:val="clear" w:color="auto" w:fill="auto"/>
          </w:tcPr>
          <w:p w:rsidR="00A6085B" w:rsidRPr="00A6085B" w:rsidRDefault="00A6085B" w:rsidP="00A6085B">
            <w:pPr>
              <w:autoSpaceDE w:val="0"/>
              <w:autoSpaceDN w:val="0"/>
              <w:adjustRightInd w:val="0"/>
              <w:rPr>
                <w:rFonts w:eastAsia="Calibri" w:cs="Times New Roman"/>
                <w:lang w:eastAsia="pl-PL"/>
              </w:rPr>
            </w:pPr>
            <w:r w:rsidRPr="00A6085B">
              <w:rPr>
                <w:rFonts w:eastAsia="Calibri" w:cs="Times New Roman"/>
                <w:lang w:eastAsia="pl-PL"/>
              </w:rPr>
              <w:t>9iv ułatwianie dostępu do przystępnych cenowo, trwałych oraz wysokiej jakości usług, w tym opieki zdrowotnej i usług socjalnych świadczonych w interesie ogólnym</w:t>
            </w:r>
          </w:p>
        </w:tc>
      </w:tr>
      <w:tr w:rsidR="00A6085B" w:rsidRPr="00A6085B" w:rsidTr="00A76BDB">
        <w:tc>
          <w:tcPr>
            <w:tcW w:w="9210" w:type="dxa"/>
            <w:shd w:val="clear" w:color="auto" w:fill="auto"/>
          </w:tcPr>
          <w:p w:rsidR="00A6085B" w:rsidRPr="00A6085B" w:rsidRDefault="00A6085B" w:rsidP="00A6085B">
            <w:pPr>
              <w:autoSpaceDE w:val="0"/>
              <w:autoSpaceDN w:val="0"/>
              <w:adjustRightInd w:val="0"/>
              <w:rPr>
                <w:rFonts w:eastAsia="Calibri" w:cs="Times New Roman"/>
                <w:lang w:eastAsia="pl-PL"/>
              </w:rPr>
            </w:pPr>
            <w:r w:rsidRPr="00A6085B">
              <w:rPr>
                <w:rFonts w:eastAsia="Calibri" w:cs="Times New Roman"/>
                <w:lang w:eastAsia="pl-PL"/>
              </w:rPr>
              <w:t>9v wspieranie przedsiębiorczości społecznej i integracji zawodowej w przedsiębiorstwach społecznych oraz ekonomii społecznej i solidarnej w celu ułatwiania dostępu do zatrudnienia</w:t>
            </w:r>
          </w:p>
        </w:tc>
      </w:tr>
    </w:tbl>
    <w:p w:rsidR="00A6085B" w:rsidRPr="00A6085B" w:rsidRDefault="00A6085B" w:rsidP="00A6085B">
      <w:pPr>
        <w:autoSpaceDE w:val="0"/>
        <w:autoSpaceDN w:val="0"/>
        <w:adjustRightInd w:val="0"/>
        <w:rPr>
          <w:rFonts w:eastAsia="Calibri" w:cs="Times New Roman"/>
          <w:lang w:eastAsia="pl-PL"/>
        </w:rPr>
      </w:pPr>
    </w:p>
    <w:p w:rsidR="00A6085B" w:rsidRPr="00A6085B" w:rsidRDefault="00A6085B" w:rsidP="00A6085B">
      <w:pPr>
        <w:jc w:val="both"/>
        <w:rPr>
          <w:rFonts w:eastAsia="Calibri" w:cs="Times New Roman"/>
          <w:b/>
          <w:bCs/>
        </w:rPr>
      </w:pPr>
      <w:r w:rsidRPr="00A6085B">
        <w:rPr>
          <w:rFonts w:eastAsia="Calibri" w:cs="Times New Roman"/>
          <w:b/>
          <w:bCs/>
        </w:rPr>
        <w:t>Preferencje dla projektów rewitalizacyjnych w krajowych programach operacyjnych</w:t>
      </w:r>
    </w:p>
    <w:p w:rsidR="00A6085B" w:rsidRPr="00A6085B" w:rsidRDefault="00A6085B" w:rsidP="00A6085B">
      <w:pPr>
        <w:tabs>
          <w:tab w:val="left" w:pos="284"/>
        </w:tabs>
        <w:ind w:left="284" w:hanging="284"/>
        <w:jc w:val="both"/>
        <w:rPr>
          <w:rFonts w:eastAsia="Calibri" w:cs="Times New Roman"/>
          <w:bCs/>
        </w:rPr>
      </w:pPr>
      <w:r w:rsidRPr="00A6085B">
        <w:rPr>
          <w:rFonts w:eastAsia="Calibri" w:cs="Times New Roman"/>
          <w:bCs/>
        </w:rPr>
        <w:t xml:space="preserve">1) W zakresie rewitalizacji głównym zadaniem IZ KPO jest takie zaprojektowanie rozwiązań </w:t>
      </w:r>
      <w:r w:rsidRPr="00A6085B">
        <w:rPr>
          <w:rFonts w:eastAsia="Calibri" w:cs="Times New Roman"/>
          <w:bCs/>
        </w:rPr>
        <w:br/>
        <w:t xml:space="preserve">w systemie realizacji KPO, które będą wspierać i promować realizację projektów rewitalizacyjnych obejmujących różne sfery i przyczyniających się do kompleksowej i skoordynowanej rewitalizacji obszarów zdegradowanych.  </w:t>
      </w:r>
    </w:p>
    <w:p w:rsidR="00A6085B" w:rsidRPr="00A6085B" w:rsidRDefault="00A6085B" w:rsidP="00A6085B">
      <w:pPr>
        <w:ind w:left="284" w:hanging="284"/>
        <w:jc w:val="both"/>
        <w:rPr>
          <w:rFonts w:eastAsia="Calibri" w:cs="Times New Roman"/>
          <w:bCs/>
        </w:rPr>
      </w:pPr>
      <w:r w:rsidRPr="00A6085B">
        <w:rPr>
          <w:rFonts w:eastAsia="Calibri" w:cs="Times New Roman"/>
          <w:bCs/>
        </w:rPr>
        <w:t xml:space="preserve">2) Dla zapewnienia szerszego zaangażowania środków UE w działania rewitalizacyjne IZ KPO opracowuje system preferencji dla wsparcia projektów rewitalizacyjnych. </w:t>
      </w:r>
    </w:p>
    <w:p w:rsidR="00A6085B" w:rsidRPr="00A6085B" w:rsidRDefault="00A6085B" w:rsidP="00A6085B">
      <w:pPr>
        <w:jc w:val="both"/>
        <w:rPr>
          <w:rFonts w:eastAsia="Calibri" w:cs="Times New Roman"/>
          <w:bCs/>
        </w:rPr>
      </w:pPr>
      <w:r w:rsidRPr="00A6085B">
        <w:rPr>
          <w:rFonts w:eastAsia="Calibri" w:cs="Times New Roman"/>
          <w:bCs/>
        </w:rPr>
        <w:t xml:space="preserve">3) Preferencje dla wsparcia rewitalizacji są wprowadzane poprzez: </w:t>
      </w:r>
    </w:p>
    <w:p w:rsidR="00A6085B" w:rsidRPr="00A6085B" w:rsidRDefault="00A6085B" w:rsidP="00A6085B">
      <w:pPr>
        <w:ind w:left="284" w:hanging="284"/>
        <w:jc w:val="both"/>
        <w:rPr>
          <w:rFonts w:eastAsia="Calibri" w:cs="Times New Roman"/>
          <w:bCs/>
        </w:rPr>
      </w:pPr>
      <w:r w:rsidRPr="00A6085B">
        <w:rPr>
          <w:rFonts w:eastAsia="Calibri" w:cs="Times New Roman"/>
          <w:bCs/>
        </w:rPr>
        <w:t xml:space="preserve">a. </w:t>
      </w:r>
      <w:r w:rsidRPr="00A6085B">
        <w:rPr>
          <w:rFonts w:eastAsia="Calibri" w:cs="Times New Roman"/>
          <w:bCs/>
          <w:u w:val="single"/>
        </w:rPr>
        <w:t>Kryteria oceny projektów stosowane w konkursowym trybie wyboru projektów rewitalizacyjnych</w:t>
      </w:r>
      <w:r w:rsidRPr="00A6085B">
        <w:rPr>
          <w:rFonts w:eastAsia="Calibri" w:cs="Times New Roman"/>
          <w:bCs/>
          <w:u w:val="single"/>
        </w:rPr>
        <w:br/>
      </w:r>
      <w:r w:rsidRPr="00A6085B">
        <w:rPr>
          <w:rFonts w:eastAsia="Calibri" w:cs="Times New Roman"/>
          <w:bCs/>
        </w:rPr>
        <w:t xml:space="preserve"> IZ KPO wprowadza preferencje dla projektów rewitalizacyjnych poprzez odpowiednie konstruowanie kryteriów ich oceny (IZ KPO przedstawia KM propozycje odpowiednich kryteriów wyboru projektów). Preferencje w tym zakresie np. w postaci przyznawania dodatkowych </w:t>
      </w:r>
      <w:r w:rsidRPr="00A6085B">
        <w:rPr>
          <w:rFonts w:eastAsia="Calibri" w:cs="Times New Roman"/>
          <w:bCs/>
        </w:rPr>
        <w:lastRenderedPageBreak/>
        <w:t xml:space="preserve">punktów, mogą wynikać m.in. z adresowania projektów do grupy docelowej z określonych obszarów rewitalizacji, realizacji projektów na danym obszarze rewitalizacji, czy komplementarności z projektami zrealizowanymi, realizowanymi lub planowanymi do realizacji na danym obszarze rewitalizacji; lub </w:t>
      </w:r>
    </w:p>
    <w:p w:rsidR="00A6085B" w:rsidRPr="00A6085B" w:rsidRDefault="00A6085B" w:rsidP="00A6085B">
      <w:pPr>
        <w:ind w:left="284" w:hanging="284"/>
        <w:jc w:val="both"/>
        <w:rPr>
          <w:rFonts w:eastAsia="Calibri" w:cs="Times New Roman"/>
          <w:bCs/>
        </w:rPr>
      </w:pPr>
      <w:r w:rsidRPr="00A6085B">
        <w:rPr>
          <w:rFonts w:eastAsia="Calibri" w:cs="Times New Roman"/>
          <w:bCs/>
        </w:rPr>
        <w:t xml:space="preserve">b. </w:t>
      </w:r>
      <w:r w:rsidRPr="00A6085B">
        <w:rPr>
          <w:rFonts w:eastAsia="Calibri" w:cs="Times New Roman"/>
          <w:bCs/>
          <w:u w:val="single"/>
        </w:rPr>
        <w:t>Konkursy dotyczące projektów realizowanych na obszarach (terytoriach) objętych programami rewitalizacji</w:t>
      </w:r>
      <w:r w:rsidRPr="00A6085B">
        <w:rPr>
          <w:rFonts w:eastAsia="Calibri" w:cs="Times New Roman"/>
          <w:bCs/>
        </w:rPr>
        <w:t xml:space="preserve"> </w:t>
      </w:r>
      <w:r w:rsidRPr="00A6085B">
        <w:rPr>
          <w:rFonts w:eastAsia="Calibri" w:cs="Times New Roman"/>
          <w:bCs/>
        </w:rPr>
        <w:br/>
        <w:t xml:space="preserve">IZ KPO przygotowuje konkursy dedykowane dla projektów rewitalizacyjnych; lub  </w:t>
      </w:r>
    </w:p>
    <w:p w:rsidR="00A6085B" w:rsidRPr="00A6085B" w:rsidRDefault="00A6085B" w:rsidP="00A6085B">
      <w:pPr>
        <w:ind w:left="284" w:hanging="284"/>
        <w:jc w:val="both"/>
        <w:rPr>
          <w:rFonts w:eastAsia="Calibri" w:cs="Times New Roman"/>
          <w:bCs/>
        </w:rPr>
      </w:pPr>
      <w:r w:rsidRPr="00A6085B">
        <w:rPr>
          <w:rFonts w:eastAsia="Calibri" w:cs="Times New Roman"/>
          <w:bCs/>
        </w:rPr>
        <w:t xml:space="preserve">c. </w:t>
      </w:r>
      <w:r w:rsidRPr="00A6085B">
        <w:rPr>
          <w:rFonts w:eastAsia="Calibri" w:cs="Times New Roman"/>
          <w:bCs/>
          <w:u w:val="single"/>
        </w:rPr>
        <w:t>Profilowanie kryteriów dla projektów innych niż rewitalizacyjne wybieranych w trybie konkursowym lub pozakonkursowym.</w:t>
      </w:r>
      <w:r w:rsidRPr="00A6085B">
        <w:rPr>
          <w:rFonts w:eastAsia="Calibri" w:cs="Times New Roman"/>
          <w:bCs/>
        </w:rPr>
        <w:t xml:space="preserve"> </w:t>
      </w:r>
    </w:p>
    <w:p w:rsidR="00A6085B" w:rsidRPr="00A6085B" w:rsidRDefault="00A6085B" w:rsidP="00A6085B">
      <w:pPr>
        <w:ind w:left="284"/>
        <w:jc w:val="both"/>
        <w:rPr>
          <w:rFonts w:eastAsia="Calibri" w:cs="Times New Roman"/>
          <w:bCs/>
        </w:rPr>
      </w:pPr>
      <w:r w:rsidRPr="00A6085B">
        <w:rPr>
          <w:rFonts w:eastAsia="Calibri" w:cs="Times New Roman"/>
          <w:bCs/>
        </w:rPr>
        <w:t xml:space="preserve">Przy wyborze projektów w trybie konkursowym lub pozakonkursowym możliwe jest stosowanie </w:t>
      </w:r>
      <w:r w:rsidRPr="00A6085B">
        <w:rPr>
          <w:rFonts w:eastAsia="Calibri" w:cs="Times New Roman"/>
          <w:bCs/>
        </w:rPr>
        <w:br/>
        <w:t>(IZ KPO przedstawia KM propozycje odpowiednich kryteriów wyboru projektów) kryteriów wyboru ukierunkowujących (profilujących) te projekty na realizację działań wspierających proces rewitalizacji, zwłaszcza gdy projekt ma np. charakter horyzontalny i jest współfinansowany ze środków EFS.</w:t>
      </w:r>
    </w:p>
    <w:p w:rsidR="00A6085B" w:rsidRPr="00A6085B" w:rsidRDefault="00A6085B" w:rsidP="00A6085B">
      <w:pPr>
        <w:ind w:left="284" w:hanging="284"/>
        <w:jc w:val="both"/>
        <w:rPr>
          <w:rFonts w:eastAsia="Calibri" w:cs="Times New Roman"/>
          <w:bCs/>
        </w:rPr>
      </w:pPr>
      <w:r w:rsidRPr="00A6085B">
        <w:rPr>
          <w:rFonts w:eastAsia="Calibri" w:cs="Times New Roman"/>
          <w:bCs/>
        </w:rPr>
        <w:t xml:space="preserve">4) Preferencje dla wsparcia projektów rewitalizacyjnych stosuje się w szczególności do projektów </w:t>
      </w:r>
      <w:r w:rsidRPr="00A6085B">
        <w:rPr>
          <w:rFonts w:eastAsia="Calibri" w:cs="Times New Roman"/>
          <w:bCs/>
        </w:rPr>
        <w:br/>
        <w:t xml:space="preserve">z priorytetów inwestycyjnych w poszczególnych programach operacyjnych, wskazanych </w:t>
      </w:r>
      <w:r w:rsidRPr="00A6085B">
        <w:rPr>
          <w:rFonts w:eastAsia="Calibri" w:cs="Times New Roman"/>
          <w:bCs/>
        </w:rPr>
        <w:br/>
        <w:t xml:space="preserve">w Tabeli 2. </w:t>
      </w:r>
    </w:p>
    <w:p w:rsidR="00A6085B" w:rsidRPr="00A6085B" w:rsidRDefault="00A6085B" w:rsidP="00A6085B">
      <w:pPr>
        <w:jc w:val="both"/>
        <w:rPr>
          <w:rFonts w:eastAsia="Calibri" w:cs="Times New Roman"/>
          <w:bCs/>
          <w:i/>
        </w:rPr>
      </w:pPr>
      <w:r w:rsidRPr="00A6085B">
        <w:rPr>
          <w:rFonts w:eastAsia="Calibri" w:cs="Times New Roman"/>
          <w:bCs/>
          <w:i/>
        </w:rPr>
        <w:t>Tabela 2. Priorytety inwestycyjne bezpośrednio związane z rewitalizacja w ramach krajowych programów operacyjnych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6125"/>
      </w:tblGrid>
      <w:tr w:rsidR="00A6085B" w:rsidRPr="00A6085B" w:rsidTr="00A76BDB">
        <w:tc>
          <w:tcPr>
            <w:tcW w:w="3085" w:type="dxa"/>
            <w:shd w:val="clear" w:color="auto" w:fill="D9D9D9"/>
          </w:tcPr>
          <w:p w:rsidR="00A6085B" w:rsidRPr="00A6085B" w:rsidRDefault="00A6085B" w:rsidP="00A6085B">
            <w:pPr>
              <w:autoSpaceDE w:val="0"/>
              <w:autoSpaceDN w:val="0"/>
              <w:adjustRightInd w:val="0"/>
              <w:rPr>
                <w:rFonts w:eastAsia="Calibri" w:cs="Times New Roman"/>
                <w:b/>
                <w:lang w:eastAsia="pl-PL"/>
              </w:rPr>
            </w:pPr>
            <w:r w:rsidRPr="00A6085B">
              <w:rPr>
                <w:rFonts w:eastAsia="Calibri" w:cs="Times New Roman"/>
                <w:b/>
                <w:lang w:eastAsia="pl-PL"/>
              </w:rPr>
              <w:t xml:space="preserve">Program Operacyjny </w:t>
            </w:r>
          </w:p>
        </w:tc>
        <w:tc>
          <w:tcPr>
            <w:tcW w:w="6125" w:type="dxa"/>
            <w:shd w:val="clear" w:color="auto" w:fill="D9D9D9"/>
          </w:tcPr>
          <w:p w:rsidR="00A6085B" w:rsidRPr="00A6085B" w:rsidRDefault="00A6085B" w:rsidP="00A6085B">
            <w:pPr>
              <w:jc w:val="both"/>
              <w:rPr>
                <w:rFonts w:eastAsia="Calibri" w:cs="Times New Roman"/>
                <w:b/>
                <w:bCs/>
              </w:rPr>
            </w:pPr>
            <w:r w:rsidRPr="00A6085B">
              <w:rPr>
                <w:rFonts w:eastAsia="Calibri" w:cs="Times New Roman"/>
                <w:b/>
                <w:bCs/>
              </w:rPr>
              <w:t>Priorytety Inwestycyjne</w:t>
            </w:r>
          </w:p>
        </w:tc>
      </w:tr>
      <w:tr w:rsidR="00A6085B" w:rsidRPr="00A6085B" w:rsidTr="00A76BDB">
        <w:tc>
          <w:tcPr>
            <w:tcW w:w="3085" w:type="dxa"/>
            <w:shd w:val="clear" w:color="auto" w:fill="auto"/>
          </w:tcPr>
          <w:p w:rsidR="00A6085B" w:rsidRPr="00A6085B" w:rsidRDefault="00A6085B" w:rsidP="00A6085B">
            <w:pPr>
              <w:autoSpaceDE w:val="0"/>
              <w:autoSpaceDN w:val="0"/>
              <w:adjustRightInd w:val="0"/>
              <w:rPr>
                <w:rFonts w:eastAsia="Calibri" w:cs="Times New Roman"/>
                <w:b/>
                <w:lang w:eastAsia="pl-PL"/>
              </w:rPr>
            </w:pPr>
            <w:r w:rsidRPr="00A6085B">
              <w:rPr>
                <w:rFonts w:eastAsia="Calibri" w:cs="Times New Roman"/>
                <w:b/>
                <w:lang w:eastAsia="pl-PL"/>
              </w:rPr>
              <w:t>Program Operacyjny</w:t>
            </w:r>
            <w:r w:rsidRPr="00A6085B">
              <w:rPr>
                <w:rFonts w:eastAsia="Calibri" w:cs="Times New Roman"/>
                <w:b/>
                <w:lang w:eastAsia="pl-PL"/>
              </w:rPr>
              <w:br/>
              <w:t xml:space="preserve">Infrastruktura i Środowisko </w:t>
            </w:r>
            <w:r w:rsidRPr="00A6085B">
              <w:rPr>
                <w:rFonts w:eastAsia="Calibri" w:cs="Times New Roman"/>
                <w:b/>
                <w:lang w:eastAsia="pl-PL"/>
              </w:rPr>
              <w:br/>
              <w:t>2014-2020</w:t>
            </w:r>
          </w:p>
        </w:tc>
        <w:tc>
          <w:tcPr>
            <w:tcW w:w="6125" w:type="dxa"/>
            <w:shd w:val="clear" w:color="auto" w:fill="auto"/>
          </w:tcPr>
          <w:p w:rsidR="00A6085B" w:rsidRPr="00A6085B" w:rsidRDefault="00A6085B" w:rsidP="00A6085B">
            <w:pPr>
              <w:autoSpaceDE w:val="0"/>
              <w:autoSpaceDN w:val="0"/>
              <w:adjustRightInd w:val="0"/>
              <w:jc w:val="both"/>
              <w:rPr>
                <w:rFonts w:eastAsia="Calibri" w:cs="Times New Roman"/>
                <w:lang w:eastAsia="pl-PL"/>
              </w:rPr>
            </w:pPr>
            <w:r w:rsidRPr="00A6085B">
              <w:rPr>
                <w:rFonts w:eastAsia="Calibri" w:cs="Times New Roman"/>
                <w:lang w:eastAsia="pl-PL"/>
              </w:rPr>
              <w:t>4iii Wspieranie efektywności energetycznej, inteligentnego zarządzania energią i wykorzystywania odnawialnych źródeł energii w infrastrukturze publicznej, w tym w budynkach publicznych,</w:t>
            </w:r>
            <w:r w:rsidRPr="00A6085B">
              <w:rPr>
                <w:rFonts w:eastAsia="Calibri" w:cs="Times New Roman"/>
                <w:lang w:eastAsia="pl-PL"/>
              </w:rPr>
              <w:br/>
              <w:t>i w sektorze mieszkaniowym</w:t>
            </w:r>
          </w:p>
          <w:p w:rsidR="00A6085B" w:rsidRPr="00A6085B" w:rsidRDefault="00A6085B" w:rsidP="00A6085B">
            <w:pPr>
              <w:autoSpaceDE w:val="0"/>
              <w:autoSpaceDN w:val="0"/>
              <w:adjustRightInd w:val="0"/>
              <w:jc w:val="both"/>
              <w:rPr>
                <w:rFonts w:eastAsia="Calibri" w:cs="Times New Roman"/>
                <w:lang w:eastAsia="pl-PL"/>
              </w:rPr>
            </w:pPr>
            <w:r w:rsidRPr="00A6085B">
              <w:rPr>
                <w:rFonts w:eastAsia="Calibri" w:cs="Times New Roman"/>
                <w:lang w:eastAsia="pl-PL"/>
              </w:rPr>
              <w:t xml:space="preserve">4v Promowanie strategii niskoemisyjnych dla wszystkich rodzajów terytoriów, w szczególności dla obszarów miejskich, </w:t>
            </w:r>
            <w:r w:rsidRPr="00A6085B">
              <w:rPr>
                <w:rFonts w:eastAsia="Calibri" w:cs="Times New Roman"/>
                <w:lang w:eastAsia="pl-PL"/>
              </w:rPr>
              <w:br/>
              <w:t xml:space="preserve">w tym wspieranie zrównoważonej multimodalnej mobilności miejskiej </w:t>
            </w:r>
            <w:r w:rsidRPr="00A6085B">
              <w:rPr>
                <w:rFonts w:eastAsia="Calibri" w:cs="Times New Roman"/>
                <w:lang w:eastAsia="pl-PL"/>
              </w:rPr>
              <w:br/>
              <w:t>i działań adaptacyjnych mających oddziaływanie łagodzące na zmiany klimatu</w:t>
            </w:r>
          </w:p>
          <w:p w:rsidR="00A6085B" w:rsidRPr="00A6085B" w:rsidRDefault="00A6085B" w:rsidP="00A6085B">
            <w:pPr>
              <w:jc w:val="both"/>
              <w:rPr>
                <w:rFonts w:eastAsia="Calibri" w:cs="Times New Roman"/>
                <w:lang w:eastAsia="pl-PL"/>
              </w:rPr>
            </w:pPr>
            <w:r w:rsidRPr="00A6085B">
              <w:rPr>
                <w:rFonts w:eastAsia="Calibri" w:cs="Times New Roman"/>
                <w:lang w:eastAsia="pl-PL"/>
              </w:rPr>
              <w:t>6c Zachowanie, ochrona, promowanie i rozwój dziedzictwa naturalnego i kulturowego</w:t>
            </w:r>
          </w:p>
          <w:p w:rsidR="00A6085B" w:rsidRPr="00A6085B" w:rsidRDefault="00A6085B" w:rsidP="00A6085B">
            <w:pPr>
              <w:jc w:val="both"/>
              <w:rPr>
                <w:rFonts w:eastAsia="Calibri" w:cs="Times New Roman"/>
                <w:lang w:eastAsia="pl-PL"/>
              </w:rPr>
            </w:pPr>
            <w:r w:rsidRPr="00A6085B">
              <w:rPr>
                <w:rFonts w:eastAsia="Calibri" w:cs="Times New Roman"/>
                <w:lang w:eastAsia="pl-PL"/>
              </w:rPr>
              <w:t>6e (iv) Podejmowanie przedsięwzięć mających na celu poprawę stanu jakości środowiska miejskiego, rewitalizację miast, rekultywację</w:t>
            </w:r>
            <w:r w:rsidRPr="00A6085B">
              <w:rPr>
                <w:rFonts w:eastAsia="Calibri" w:cs="Times New Roman"/>
                <w:lang w:eastAsia="pl-PL"/>
              </w:rPr>
              <w:br/>
              <w:t xml:space="preserve">i dekontaminację terenów poprzemysłowych (w tym terenów </w:t>
            </w:r>
            <w:r w:rsidRPr="00A6085B">
              <w:rPr>
                <w:rFonts w:eastAsia="Calibri" w:cs="Times New Roman"/>
                <w:lang w:eastAsia="pl-PL"/>
              </w:rPr>
              <w:lastRenderedPageBreak/>
              <w:t xml:space="preserve">powojskowych), zmniejszenie zanieczyszczenia powietrza oraz propagowania działań służących zmniejszaniu hałasu </w:t>
            </w:r>
          </w:p>
          <w:p w:rsidR="00A6085B" w:rsidRPr="00A6085B" w:rsidRDefault="00A6085B" w:rsidP="00A6085B">
            <w:pPr>
              <w:jc w:val="both"/>
              <w:rPr>
                <w:rFonts w:eastAsia="Calibri" w:cs="Times New Roman"/>
                <w:bCs/>
                <w:i/>
                <w:color w:val="365F91"/>
              </w:rPr>
            </w:pPr>
            <w:r w:rsidRPr="00A6085B">
              <w:rPr>
                <w:rFonts w:eastAsia="Calibri" w:cs="Times New Roman"/>
                <w:lang w:eastAsia="pl-PL"/>
              </w:rPr>
              <w:t>9a Inwestycje w infrastrukturę zdrowotną i społeczną, które przyczyniają się do rozwoju krajowego, regionalnego i lokalnego, zmniejszania nierówności w zakresie stanu zdrowia, promowanie włączenia społecznego poprzez lepszy dostęp do usług społecznych, kulturalnych i rekreacyjnych oraz przejścia z usług instytucjonalnych na usługi na poziomie społeczności lokalnych</w:t>
            </w:r>
          </w:p>
        </w:tc>
      </w:tr>
      <w:tr w:rsidR="00A6085B" w:rsidRPr="00A6085B" w:rsidTr="00A76BDB">
        <w:tc>
          <w:tcPr>
            <w:tcW w:w="3085" w:type="dxa"/>
            <w:shd w:val="clear" w:color="auto" w:fill="auto"/>
          </w:tcPr>
          <w:p w:rsidR="00A6085B" w:rsidRPr="00A6085B" w:rsidRDefault="00A6085B" w:rsidP="00A6085B">
            <w:pPr>
              <w:autoSpaceDE w:val="0"/>
              <w:autoSpaceDN w:val="0"/>
              <w:adjustRightInd w:val="0"/>
              <w:rPr>
                <w:rFonts w:eastAsia="Calibri" w:cs="Times New Roman"/>
                <w:b/>
                <w:lang w:eastAsia="pl-PL"/>
              </w:rPr>
            </w:pPr>
            <w:r w:rsidRPr="00A6085B">
              <w:rPr>
                <w:rFonts w:eastAsia="Calibri" w:cs="Times New Roman"/>
                <w:b/>
                <w:lang w:eastAsia="pl-PL"/>
              </w:rPr>
              <w:lastRenderedPageBreak/>
              <w:t>Program Operacyjny</w:t>
            </w:r>
            <w:r w:rsidRPr="00A6085B">
              <w:rPr>
                <w:rFonts w:eastAsia="Calibri" w:cs="Times New Roman"/>
                <w:b/>
                <w:lang w:eastAsia="pl-PL"/>
              </w:rPr>
              <w:br/>
              <w:t>Wiedza Edukacja Rozwój</w:t>
            </w:r>
          </w:p>
          <w:p w:rsidR="00A6085B" w:rsidRPr="00A6085B" w:rsidRDefault="00A6085B" w:rsidP="00A6085B">
            <w:pPr>
              <w:jc w:val="both"/>
              <w:rPr>
                <w:rFonts w:eastAsia="Calibri" w:cs="Times New Roman"/>
                <w:b/>
                <w:bCs/>
                <w:i/>
                <w:color w:val="365F91"/>
              </w:rPr>
            </w:pPr>
          </w:p>
        </w:tc>
        <w:tc>
          <w:tcPr>
            <w:tcW w:w="6125" w:type="dxa"/>
            <w:shd w:val="clear" w:color="auto" w:fill="auto"/>
          </w:tcPr>
          <w:p w:rsidR="00A6085B" w:rsidRPr="00A6085B" w:rsidRDefault="00A6085B" w:rsidP="00A6085B">
            <w:pPr>
              <w:autoSpaceDE w:val="0"/>
              <w:autoSpaceDN w:val="0"/>
              <w:adjustRightInd w:val="0"/>
              <w:jc w:val="both"/>
              <w:rPr>
                <w:rFonts w:eastAsia="Calibri" w:cs="Times New Roman"/>
                <w:lang w:eastAsia="pl-PL"/>
              </w:rPr>
            </w:pPr>
            <w:r w:rsidRPr="00A6085B">
              <w:rPr>
                <w:rFonts w:eastAsia="Calibri" w:cs="Times New Roman"/>
                <w:lang w:eastAsia="pl-PL"/>
              </w:rPr>
              <w:t xml:space="preserve">8ii Trwała integracja na rynku pracy ludzi młodych, </w:t>
            </w:r>
            <w:r w:rsidRPr="00A6085B">
              <w:rPr>
                <w:rFonts w:eastAsia="Calibri" w:cs="Times New Roman"/>
                <w:lang w:eastAsia="pl-PL"/>
              </w:rPr>
              <w:br/>
              <w:t>w szczególności tych, którzy nie pracują, nie kształcą się ani nie szkolą, w tym ludzi młodych zagrożonych wykluczeniem społecznym i ludzi młodych wywodzących się ze środowisk marginalizowanych, także poprzez wdrażanie gwarancji dla młodzieży</w:t>
            </w:r>
          </w:p>
        </w:tc>
      </w:tr>
      <w:tr w:rsidR="00A6085B" w:rsidRPr="00A6085B" w:rsidTr="00A76BDB">
        <w:tc>
          <w:tcPr>
            <w:tcW w:w="3085" w:type="dxa"/>
            <w:shd w:val="clear" w:color="auto" w:fill="auto"/>
          </w:tcPr>
          <w:p w:rsidR="00A6085B" w:rsidRPr="00A6085B" w:rsidRDefault="00A6085B" w:rsidP="00A6085B">
            <w:pPr>
              <w:autoSpaceDE w:val="0"/>
              <w:autoSpaceDN w:val="0"/>
              <w:adjustRightInd w:val="0"/>
              <w:rPr>
                <w:rFonts w:eastAsia="Calibri" w:cs="Times New Roman"/>
                <w:b/>
                <w:lang w:eastAsia="pl-PL"/>
              </w:rPr>
            </w:pPr>
            <w:r w:rsidRPr="00A6085B">
              <w:rPr>
                <w:rFonts w:eastAsia="Calibri" w:cs="Times New Roman"/>
                <w:b/>
                <w:lang w:eastAsia="pl-PL"/>
              </w:rPr>
              <w:t>Program Operacyjny</w:t>
            </w:r>
            <w:r w:rsidRPr="00A6085B">
              <w:rPr>
                <w:rFonts w:eastAsia="Calibri" w:cs="Times New Roman"/>
                <w:b/>
                <w:lang w:eastAsia="pl-PL"/>
              </w:rPr>
              <w:br/>
              <w:t>Polska Wschodnia</w:t>
            </w:r>
          </w:p>
          <w:p w:rsidR="00A6085B" w:rsidRPr="00A6085B" w:rsidRDefault="00A6085B" w:rsidP="00A6085B">
            <w:pPr>
              <w:autoSpaceDE w:val="0"/>
              <w:autoSpaceDN w:val="0"/>
              <w:adjustRightInd w:val="0"/>
              <w:rPr>
                <w:rFonts w:eastAsia="Calibri" w:cs="Times New Roman"/>
                <w:b/>
                <w:bCs/>
                <w:i/>
                <w:color w:val="365F91"/>
              </w:rPr>
            </w:pPr>
          </w:p>
        </w:tc>
        <w:tc>
          <w:tcPr>
            <w:tcW w:w="6125" w:type="dxa"/>
            <w:shd w:val="clear" w:color="auto" w:fill="auto"/>
          </w:tcPr>
          <w:p w:rsidR="00A6085B" w:rsidRPr="00A6085B" w:rsidRDefault="00A6085B" w:rsidP="00A6085B">
            <w:pPr>
              <w:autoSpaceDE w:val="0"/>
              <w:autoSpaceDN w:val="0"/>
              <w:adjustRightInd w:val="0"/>
              <w:jc w:val="both"/>
              <w:rPr>
                <w:rFonts w:eastAsia="Calibri" w:cs="Times New Roman"/>
                <w:lang w:eastAsia="pl-PL"/>
              </w:rPr>
            </w:pPr>
            <w:r w:rsidRPr="00A6085B">
              <w:rPr>
                <w:rFonts w:eastAsia="Calibri" w:cs="Times New Roman"/>
                <w:lang w:eastAsia="pl-PL"/>
              </w:rPr>
              <w:t xml:space="preserve">4e Promowanie strategii niskoemisyjnych dla wszystkich rodzajów terytoriów, w szczególności dla obszarów miejskich, </w:t>
            </w:r>
            <w:r w:rsidRPr="00A6085B">
              <w:rPr>
                <w:rFonts w:eastAsia="Calibri" w:cs="Times New Roman"/>
                <w:lang w:eastAsia="pl-PL"/>
              </w:rPr>
              <w:br/>
              <w:t>w tym wspieranie zrównoważonej multimodalnej mobilności miejskiej</w:t>
            </w:r>
            <w:r w:rsidRPr="00A6085B">
              <w:rPr>
                <w:rFonts w:eastAsia="Calibri" w:cs="Times New Roman"/>
                <w:lang w:eastAsia="pl-PL"/>
              </w:rPr>
              <w:br/>
              <w:t>i działań adaptacyjnych mających oddziaływanie łagodzące na zmiany klimatu</w:t>
            </w:r>
          </w:p>
        </w:tc>
      </w:tr>
      <w:tr w:rsidR="00A6085B" w:rsidRPr="00A6085B" w:rsidTr="00A76BDB">
        <w:tc>
          <w:tcPr>
            <w:tcW w:w="3085" w:type="dxa"/>
            <w:shd w:val="clear" w:color="auto" w:fill="auto"/>
          </w:tcPr>
          <w:p w:rsidR="00A6085B" w:rsidRPr="00A6085B" w:rsidRDefault="00A6085B" w:rsidP="00A6085B">
            <w:pPr>
              <w:autoSpaceDE w:val="0"/>
              <w:autoSpaceDN w:val="0"/>
              <w:adjustRightInd w:val="0"/>
              <w:rPr>
                <w:rFonts w:eastAsia="Calibri" w:cs="Times New Roman"/>
                <w:b/>
                <w:lang w:eastAsia="pl-PL"/>
              </w:rPr>
            </w:pPr>
            <w:r w:rsidRPr="00A6085B">
              <w:rPr>
                <w:rFonts w:eastAsia="Calibri" w:cs="Times New Roman"/>
                <w:b/>
                <w:lang w:eastAsia="pl-PL"/>
              </w:rPr>
              <w:t>Program Operacyjny</w:t>
            </w:r>
            <w:r w:rsidRPr="00A6085B">
              <w:rPr>
                <w:rFonts w:eastAsia="Calibri" w:cs="Times New Roman"/>
                <w:b/>
                <w:lang w:eastAsia="pl-PL"/>
              </w:rPr>
              <w:br/>
              <w:t>Polska Cyfrowa</w:t>
            </w:r>
          </w:p>
          <w:p w:rsidR="00A6085B" w:rsidRPr="00A6085B" w:rsidRDefault="00A6085B" w:rsidP="00A6085B">
            <w:pPr>
              <w:jc w:val="both"/>
              <w:rPr>
                <w:rFonts w:eastAsia="Calibri" w:cs="Times New Roman"/>
                <w:b/>
                <w:bCs/>
                <w:i/>
                <w:color w:val="365F91"/>
              </w:rPr>
            </w:pPr>
          </w:p>
        </w:tc>
        <w:tc>
          <w:tcPr>
            <w:tcW w:w="6125" w:type="dxa"/>
            <w:shd w:val="clear" w:color="auto" w:fill="auto"/>
          </w:tcPr>
          <w:p w:rsidR="00A6085B" w:rsidRPr="00A6085B" w:rsidRDefault="00A6085B" w:rsidP="00A6085B">
            <w:pPr>
              <w:autoSpaceDE w:val="0"/>
              <w:autoSpaceDN w:val="0"/>
              <w:adjustRightInd w:val="0"/>
              <w:jc w:val="both"/>
              <w:rPr>
                <w:rFonts w:eastAsia="Calibri" w:cs="Times New Roman"/>
                <w:lang w:eastAsia="pl-PL"/>
              </w:rPr>
            </w:pPr>
            <w:r w:rsidRPr="00A6085B">
              <w:rPr>
                <w:rFonts w:eastAsia="Calibri" w:cs="Times New Roman"/>
                <w:lang w:eastAsia="pl-PL"/>
              </w:rPr>
              <w:t>2a Poszerzanie zakresu dostępności łączy szerokopasmowych oraz wprowadzanie szybkich sieci internetowych oraz wspieranie wprowadzania nowych technologii i sieci dla gospodarki cyfrowej</w:t>
            </w:r>
          </w:p>
          <w:p w:rsidR="00A6085B" w:rsidRPr="00A6085B" w:rsidRDefault="00A6085B" w:rsidP="00A6085B">
            <w:pPr>
              <w:autoSpaceDE w:val="0"/>
              <w:autoSpaceDN w:val="0"/>
              <w:adjustRightInd w:val="0"/>
              <w:jc w:val="both"/>
              <w:rPr>
                <w:rFonts w:eastAsia="Calibri" w:cs="Times New Roman"/>
                <w:bCs/>
                <w:i/>
                <w:color w:val="365F91"/>
              </w:rPr>
            </w:pPr>
            <w:r w:rsidRPr="00A6085B">
              <w:rPr>
                <w:rFonts w:eastAsia="Calibri" w:cs="Times New Roman"/>
                <w:lang w:eastAsia="pl-PL"/>
              </w:rPr>
              <w:t>2c Wzmocnienie zastosowań TIK dla e-administracji, e-uczenia się, ewłączenia społecznego, e-kultury i e-zdrowia</w:t>
            </w:r>
          </w:p>
        </w:tc>
      </w:tr>
    </w:tbl>
    <w:p w:rsidR="00A6085B" w:rsidRPr="00A6085B" w:rsidRDefault="00A6085B" w:rsidP="00A6085B">
      <w:pPr>
        <w:ind w:left="284" w:hanging="284"/>
        <w:jc w:val="both"/>
        <w:rPr>
          <w:rFonts w:eastAsia="Calibri" w:cs="Times New Roman"/>
          <w:bCs/>
          <w:color w:val="365F91"/>
        </w:rPr>
      </w:pPr>
    </w:p>
    <w:p w:rsidR="00A6085B" w:rsidRPr="00A6085B" w:rsidRDefault="00A6085B" w:rsidP="00A6085B">
      <w:pPr>
        <w:ind w:left="284" w:hanging="284"/>
        <w:jc w:val="both"/>
        <w:rPr>
          <w:rFonts w:eastAsia="Calibri" w:cs="Times New Roman"/>
          <w:bCs/>
        </w:rPr>
      </w:pPr>
      <w:r w:rsidRPr="00A6085B">
        <w:rPr>
          <w:rFonts w:eastAsia="Calibri" w:cs="Times New Roman"/>
          <w:bCs/>
        </w:rPr>
        <w:t xml:space="preserve">5) W ramach Programu Operacyjnego Pomoc Techniczna na lata 2014-2020 możliwe będzie wsparcie procesu przygotowania i wdrażania rewitalizacji w regionalnych i krajowych programach operacyjnych. Wsparcie procesu przygotowania i wdrażania rewitalizacji może mieć następujący charakter: </w:t>
      </w:r>
    </w:p>
    <w:p w:rsidR="00A6085B" w:rsidRPr="00A6085B" w:rsidRDefault="00A6085B" w:rsidP="00A6085B">
      <w:pPr>
        <w:ind w:left="284" w:hanging="284"/>
        <w:jc w:val="both"/>
        <w:rPr>
          <w:rFonts w:eastAsia="Calibri" w:cs="Times New Roman"/>
          <w:bCs/>
        </w:rPr>
      </w:pPr>
      <w:r w:rsidRPr="00A6085B">
        <w:rPr>
          <w:rFonts w:eastAsia="Calibri" w:cs="Times New Roman"/>
          <w:bCs/>
        </w:rPr>
        <w:t xml:space="preserve">a. wsparcia procesu programowania rewitalizacji poprzez wsparcie procesu przygotowania programów rewitalizacji, jako podstawy prowadzenia rewitalizacji, w tym identyfikacji projektów rewitalizacyjnych, które po spełnieniu warunków nałożonych przez programy operacyjne mogą starać się o dofinasowanie lub preferencje w dofinasowaniu środkami UE;  </w:t>
      </w:r>
    </w:p>
    <w:p w:rsidR="00A6085B" w:rsidRPr="00A6085B" w:rsidRDefault="00A6085B" w:rsidP="00A6085B">
      <w:pPr>
        <w:ind w:left="284" w:hanging="284"/>
        <w:jc w:val="both"/>
        <w:rPr>
          <w:rFonts w:eastAsia="Calibri" w:cs="Times New Roman"/>
          <w:bCs/>
        </w:rPr>
      </w:pPr>
      <w:r w:rsidRPr="00A6085B">
        <w:rPr>
          <w:rFonts w:eastAsia="Calibri" w:cs="Times New Roman"/>
          <w:bCs/>
        </w:rPr>
        <w:t xml:space="preserve">b. wsparcia procesu przygotowywania do realizacji niektórych projektów rewitalizacyjnych ze względu na ich znaczenie lub charakter. </w:t>
      </w:r>
    </w:p>
    <w:p w:rsidR="00A6085B" w:rsidRPr="00A6085B" w:rsidRDefault="00A6085B" w:rsidP="00A6085B">
      <w:pPr>
        <w:ind w:left="284" w:hanging="284"/>
        <w:jc w:val="both"/>
        <w:rPr>
          <w:rFonts w:eastAsia="Calibri" w:cs="Times New Roman"/>
          <w:bCs/>
        </w:rPr>
      </w:pPr>
      <w:r w:rsidRPr="00A6085B">
        <w:rPr>
          <w:rFonts w:eastAsia="Calibri" w:cs="Times New Roman"/>
          <w:bCs/>
        </w:rPr>
        <w:lastRenderedPageBreak/>
        <w:t xml:space="preserve">6) Warunki wsparcia procesu przygotowania i wdrażania rewitalizacji z Programu Operacyjnego Pomoc Techniczna na lata 2014-2020 określa ten program oraz inne dokumenty ustanawiające warunki wdrażania tego programu. </w:t>
      </w:r>
    </w:p>
    <w:p w:rsidR="00A6085B" w:rsidRPr="00A6085B" w:rsidRDefault="00A6085B" w:rsidP="00A6085B">
      <w:pPr>
        <w:jc w:val="both"/>
        <w:rPr>
          <w:rFonts w:eastAsia="Calibri" w:cs="Times New Roman"/>
          <w:b/>
          <w:bCs/>
        </w:rPr>
      </w:pPr>
      <w:r w:rsidRPr="00A6085B">
        <w:rPr>
          <w:rFonts w:eastAsia="Calibri" w:cs="Times New Roman"/>
          <w:b/>
          <w:bCs/>
        </w:rPr>
        <w:t>Wybór projektów rewitalizacyjnych</w:t>
      </w:r>
    </w:p>
    <w:p w:rsidR="00A6085B" w:rsidRPr="00A6085B" w:rsidRDefault="00A6085B" w:rsidP="00A6085B">
      <w:pPr>
        <w:ind w:left="284" w:hanging="284"/>
        <w:jc w:val="both"/>
        <w:rPr>
          <w:rFonts w:eastAsia="Calibri" w:cs="Times New Roman"/>
        </w:rPr>
      </w:pPr>
      <w:r w:rsidRPr="00A6085B">
        <w:rPr>
          <w:rFonts w:eastAsia="Calibri" w:cs="Times New Roman"/>
          <w:bCs/>
        </w:rPr>
        <w:t xml:space="preserve">1) IZ, przed rozpoczęciem procedur związanych z wyborem projektów rewitalizacyjnych do dofinansowania, opracowuje propozycje kryteriów wyboru tych projektów, które przedstawia właściwemu KM. IZ może przedłożyć do akceptacji KM także inne kryteria, poza wynikającymi </w:t>
      </w:r>
      <w:r w:rsidRPr="00A6085B">
        <w:rPr>
          <w:rFonts w:eastAsia="Calibri" w:cs="Times New Roman"/>
          <w:bCs/>
        </w:rPr>
        <w:br/>
        <w:t>z niniejszych Wytycznych, dotyczące warunków prowadzenia rewitalizacji w danym programie operacyjnym.</w:t>
      </w:r>
      <w:r w:rsidRPr="00A6085B">
        <w:rPr>
          <w:rFonts w:eastAsia="Calibri" w:cs="Times New Roman"/>
        </w:rPr>
        <w:t xml:space="preserve"> </w:t>
      </w:r>
    </w:p>
    <w:p w:rsidR="00A6085B" w:rsidRPr="00A6085B" w:rsidRDefault="00A6085B" w:rsidP="00A6085B">
      <w:pPr>
        <w:jc w:val="both"/>
        <w:rPr>
          <w:rFonts w:eastAsia="Calibri" w:cs="Times New Roman"/>
          <w:bCs/>
        </w:rPr>
      </w:pPr>
      <w:r w:rsidRPr="00A6085B">
        <w:rPr>
          <w:rFonts w:eastAsia="Calibri" w:cs="Times New Roman"/>
          <w:bCs/>
        </w:rPr>
        <w:t xml:space="preserve">2) Propozycje kryteriów dotyczą konieczności potwierdzenia, że: </w:t>
      </w:r>
    </w:p>
    <w:p w:rsidR="00A6085B" w:rsidRPr="00A6085B" w:rsidRDefault="00A6085B" w:rsidP="00A6085B">
      <w:pPr>
        <w:ind w:left="284" w:hanging="284"/>
        <w:jc w:val="both"/>
        <w:rPr>
          <w:rFonts w:eastAsia="Calibri" w:cs="Times New Roman"/>
          <w:bCs/>
        </w:rPr>
      </w:pPr>
      <w:r w:rsidRPr="00A6085B">
        <w:rPr>
          <w:rFonts w:eastAsia="Calibri" w:cs="Times New Roman"/>
          <w:bCs/>
        </w:rPr>
        <w:t xml:space="preserve">a) składany projekt rewitalizacyjny wynika z obowiązującego (na dzień składania wniosku </w:t>
      </w:r>
      <w:r w:rsidRPr="00A6085B">
        <w:rPr>
          <w:rFonts w:eastAsia="Calibri" w:cs="Times New Roman"/>
          <w:bCs/>
        </w:rPr>
        <w:br/>
        <w:t xml:space="preserve">o dofinansowanie) programu rewitalizacji; </w:t>
      </w:r>
    </w:p>
    <w:p w:rsidR="00A6085B" w:rsidRPr="00A6085B" w:rsidRDefault="00A6085B" w:rsidP="00A6085B">
      <w:pPr>
        <w:ind w:left="284" w:hanging="284"/>
        <w:jc w:val="both"/>
        <w:rPr>
          <w:rFonts w:eastAsia="Calibri" w:cs="Times New Roman"/>
          <w:bCs/>
        </w:rPr>
      </w:pPr>
      <w:r w:rsidRPr="00A6085B">
        <w:rPr>
          <w:rFonts w:eastAsia="Calibri" w:cs="Times New Roman"/>
          <w:bCs/>
        </w:rPr>
        <w:t xml:space="preserve">b) program rewitalizacji, z którego wynika składany projekt rewitalizacyjny, spełnia wymagania określone w niniejszych Wytycznych, tj. posiada określone cechy i elementy. </w:t>
      </w:r>
    </w:p>
    <w:p w:rsidR="00A6085B" w:rsidRPr="00A6085B" w:rsidRDefault="00A6085B" w:rsidP="00A6085B">
      <w:pPr>
        <w:ind w:left="284" w:hanging="284"/>
        <w:jc w:val="both"/>
        <w:rPr>
          <w:rFonts w:eastAsia="Calibri" w:cs="Times New Roman"/>
          <w:bCs/>
        </w:rPr>
      </w:pPr>
      <w:r w:rsidRPr="00A6085B">
        <w:rPr>
          <w:rFonts w:eastAsia="Calibri" w:cs="Times New Roman"/>
          <w:bCs/>
        </w:rPr>
        <w:t xml:space="preserve">3) Spełnienie wymagań, o których mowa w pkt 2 umożliwia ubieganie się o wsparcie z priorytetu inwestycyjnego 9b oraz umożliwia uzyskanie preferencji przy ubieganiu się o ośrodki UE </w:t>
      </w:r>
      <w:r w:rsidRPr="00A6085B">
        <w:rPr>
          <w:rFonts w:eastAsia="Calibri" w:cs="Times New Roman"/>
          <w:bCs/>
        </w:rPr>
        <w:br/>
        <w:t xml:space="preserve">z pozostałych priorytetów inwestycyjnych. Propozycje kryteriów muszą zostać sformułowane dla projektów rewitalizacyjnych wynikających z priorytetów inwestycyjnych określonych przez IZ </w:t>
      </w:r>
      <w:r w:rsidRPr="00A6085B">
        <w:rPr>
          <w:rFonts w:eastAsia="Calibri" w:cs="Times New Roman"/>
          <w:bCs/>
        </w:rPr>
        <w:br/>
        <w:t xml:space="preserve">w SZOOP. </w:t>
      </w:r>
    </w:p>
    <w:p w:rsidR="00A6085B" w:rsidRPr="00A6085B" w:rsidRDefault="00A6085B" w:rsidP="00A6085B">
      <w:pPr>
        <w:ind w:left="284" w:hanging="284"/>
        <w:jc w:val="both"/>
        <w:rPr>
          <w:rFonts w:eastAsia="Calibri" w:cs="Times New Roman"/>
          <w:bCs/>
        </w:rPr>
      </w:pPr>
      <w:r w:rsidRPr="00A6085B">
        <w:rPr>
          <w:rFonts w:eastAsia="Calibri" w:cs="Times New Roman"/>
          <w:bCs/>
        </w:rPr>
        <w:t xml:space="preserve">4) Ocena spełnienia kryterium, o którym mowa w pkt 2 lit. a, jest dokonywana każdorazowo w toku ubiegania się projektu o dofinasowanie w ramach programów operacyjnych i odnosi się do projektów rewitalizacyjnych niezależnie od trybu (konkursowego lub pozakonkursowego), </w:t>
      </w:r>
      <w:r w:rsidRPr="00A6085B">
        <w:rPr>
          <w:rFonts w:eastAsia="Calibri" w:cs="Times New Roman"/>
          <w:bCs/>
        </w:rPr>
        <w:br/>
        <w:t xml:space="preserve">w którym będą one wybierane do dofinansowania. Opis projektu we wniosku o dofinasowanie umożliwia ocenę spełnienia kryterium, o którym mowa w pkt 2 lit. a. </w:t>
      </w:r>
    </w:p>
    <w:p w:rsidR="00A6085B" w:rsidRPr="00A6085B" w:rsidRDefault="00A6085B" w:rsidP="00A6085B">
      <w:pPr>
        <w:ind w:left="284" w:hanging="284"/>
        <w:jc w:val="both"/>
        <w:rPr>
          <w:rFonts w:eastAsia="Calibri" w:cs="Times New Roman"/>
          <w:bCs/>
        </w:rPr>
      </w:pPr>
      <w:r w:rsidRPr="00A6085B">
        <w:rPr>
          <w:rFonts w:eastAsia="Calibri" w:cs="Times New Roman"/>
          <w:bCs/>
        </w:rPr>
        <w:t xml:space="preserve">5) Ocena spełnienia kryterium wskazanego w pkt 2 lit. b powinna być zróżnicowana w zależności od tego czy aktualny program rewitalizacji był już sprawdzany przez IZ RPO. Jeśli nie, to sprawdzeniu w danym postępowaniu podlegać będzie ten dokument pod kątem spełnienia wymogów odnoszących się do jego cech i elementów. Jeśli weryfikacja tych wymogów już była przeprowadzona i zakończyła się rezultatem pozytywnym (tj. dany program rewitalizacji zawarty jest w wykazie, o którym mowa w pkt 8), to weryfikacja odpowiednich wymogów odnoszących się do cech i elementów programu rewitalizacji nie będzie powtarzana w danym postępowaniu, </w:t>
      </w:r>
      <w:r w:rsidRPr="00A6085B">
        <w:rPr>
          <w:rFonts w:eastAsia="Calibri" w:cs="Times New Roman"/>
          <w:bCs/>
        </w:rPr>
        <w:br/>
        <w:t xml:space="preserve">a weryfikacja kryterium, o którym mowa w pkt 2 lit. b, będzie miała co do zasady charakter formalny. </w:t>
      </w:r>
    </w:p>
    <w:p w:rsidR="00A6085B" w:rsidRPr="00A6085B" w:rsidRDefault="00A6085B" w:rsidP="00A6085B">
      <w:pPr>
        <w:tabs>
          <w:tab w:val="left" w:pos="284"/>
        </w:tabs>
        <w:ind w:left="284" w:hanging="284"/>
        <w:jc w:val="both"/>
        <w:rPr>
          <w:rFonts w:eastAsia="Calibri" w:cs="Times New Roman"/>
          <w:bCs/>
        </w:rPr>
      </w:pPr>
      <w:r w:rsidRPr="00A6085B">
        <w:rPr>
          <w:rFonts w:eastAsia="Calibri" w:cs="Times New Roman"/>
          <w:bCs/>
        </w:rPr>
        <w:t xml:space="preserve">6) W przypadku IZ KPO weryfikacja spełnienia wymogów, o których mowa w pkt 2 lit. b, może następować na podstawie stosownego oświadczenia o pozytywnym zweryfikowaniu przez IZ RPO programu rewitalizacji. </w:t>
      </w:r>
    </w:p>
    <w:p w:rsidR="00A6085B" w:rsidRPr="00A6085B" w:rsidRDefault="00A6085B" w:rsidP="00A6085B">
      <w:pPr>
        <w:ind w:left="284" w:hanging="284"/>
        <w:jc w:val="both"/>
        <w:rPr>
          <w:rFonts w:eastAsia="Calibri" w:cs="Times New Roman"/>
          <w:bCs/>
        </w:rPr>
      </w:pPr>
      <w:r w:rsidRPr="00A6085B">
        <w:rPr>
          <w:rFonts w:eastAsia="Calibri" w:cs="Times New Roman"/>
          <w:bCs/>
        </w:rPr>
        <w:t xml:space="preserve">7) Sprawdzenie spełnienia wymogu, o którym mowa w pkt 2 lit. b, jest możliwe w jednym </w:t>
      </w:r>
      <w:r w:rsidRPr="00A6085B">
        <w:rPr>
          <w:rFonts w:eastAsia="Calibri" w:cs="Times New Roman"/>
          <w:bCs/>
        </w:rPr>
        <w:br/>
        <w:t xml:space="preserve">z następujących sposobów: </w:t>
      </w:r>
    </w:p>
    <w:p w:rsidR="00A6085B" w:rsidRPr="00A6085B" w:rsidRDefault="00A6085B" w:rsidP="00A6085B">
      <w:pPr>
        <w:jc w:val="both"/>
        <w:rPr>
          <w:rFonts w:eastAsia="Calibri" w:cs="Times New Roman"/>
          <w:bCs/>
        </w:rPr>
      </w:pPr>
      <w:r w:rsidRPr="00A6085B">
        <w:rPr>
          <w:rFonts w:eastAsia="Calibri" w:cs="Times New Roman"/>
          <w:bCs/>
        </w:rPr>
        <w:lastRenderedPageBreak/>
        <w:t>a) w trakcie naboru i oceny wniosków o dofinasowanie projektów rewitalizacyjnych;</w:t>
      </w:r>
    </w:p>
    <w:p w:rsidR="00A6085B" w:rsidRPr="00A6085B" w:rsidRDefault="00A6085B" w:rsidP="00A6085B">
      <w:pPr>
        <w:ind w:left="284" w:hanging="284"/>
        <w:jc w:val="both"/>
        <w:rPr>
          <w:rFonts w:eastAsia="Calibri" w:cs="Times New Roman"/>
          <w:bCs/>
        </w:rPr>
      </w:pPr>
      <w:r w:rsidRPr="00A6085B">
        <w:rPr>
          <w:rFonts w:eastAsia="Calibri" w:cs="Times New Roman"/>
          <w:bCs/>
        </w:rPr>
        <w:t xml:space="preserve">b) w odrębnej procedurze ustanawianej przez IZ RPO, tj. przed ogłoszeniem naboru na projekty </w:t>
      </w:r>
      <w:r w:rsidRPr="00A6085B">
        <w:rPr>
          <w:rFonts w:eastAsia="Calibri" w:cs="Times New Roman"/>
          <w:bCs/>
        </w:rPr>
        <w:br/>
        <w:t xml:space="preserve">i oceną wniosków o dofinansowanie. W takiej sytuacji postępowanie takie nie stanowi procedury wyboru projektów do dofinasowania w rozumieniu ustawy; </w:t>
      </w:r>
    </w:p>
    <w:p w:rsidR="00A6085B" w:rsidRPr="00A6085B" w:rsidRDefault="00A6085B" w:rsidP="00A6085B">
      <w:pPr>
        <w:ind w:left="284" w:hanging="284"/>
        <w:jc w:val="both"/>
        <w:rPr>
          <w:rFonts w:eastAsia="Calibri" w:cs="Times New Roman"/>
          <w:bCs/>
        </w:rPr>
      </w:pPr>
      <w:r w:rsidRPr="00A6085B">
        <w:rPr>
          <w:rFonts w:eastAsia="Calibri" w:cs="Times New Roman"/>
          <w:bCs/>
        </w:rPr>
        <w:t xml:space="preserve">c) poprzez przygotowanie lub wsparcie programu rewitalizacji z wykorzystaniem mechanizmów wsparcia instytucjonalnego oraz eksperckiego z udziałem Ministra Infrastruktury i Rozwoju lub Marszałka Województwa, a wyniki przygotowania lub aktualizacji programu rewitalizacji są akceptowane przez IZ RPO. </w:t>
      </w:r>
    </w:p>
    <w:p w:rsidR="00A6085B" w:rsidRPr="00A6085B" w:rsidRDefault="00A6085B" w:rsidP="00A6085B">
      <w:pPr>
        <w:ind w:left="284" w:hanging="284"/>
        <w:jc w:val="both"/>
        <w:rPr>
          <w:rFonts w:eastAsia="Calibri" w:cs="Times New Roman"/>
          <w:bCs/>
        </w:rPr>
      </w:pPr>
      <w:r w:rsidRPr="00A6085B">
        <w:rPr>
          <w:rFonts w:eastAsia="Calibri" w:cs="Times New Roman"/>
          <w:bCs/>
        </w:rPr>
        <w:t xml:space="preserve">8) IZ RPO prowadzi i na bieżąco aktualizuje wykaz programów rewitalizacji wraz z datą ich uchwalenia, dla których przeprowadzono z wynikiem pozytywnym weryfikację spełnienia wymogów dotyczących cech i elementów programów. Wykaz prowadzony jest dla wszystkich pozytywnie zweryfikowanych programów rewitalizacji niezależnie od sposobu ich weryfikacji. </w:t>
      </w:r>
    </w:p>
    <w:p w:rsidR="00A6085B" w:rsidRPr="00A6085B" w:rsidRDefault="00A6085B" w:rsidP="00A6085B">
      <w:pPr>
        <w:ind w:left="284" w:hanging="284"/>
        <w:jc w:val="both"/>
        <w:rPr>
          <w:rFonts w:eastAsia="Calibri" w:cs="Times New Roman"/>
          <w:bCs/>
        </w:rPr>
      </w:pPr>
      <w:r w:rsidRPr="00A6085B">
        <w:rPr>
          <w:rFonts w:eastAsia="Calibri" w:cs="Times New Roman"/>
          <w:bCs/>
        </w:rPr>
        <w:t xml:space="preserve">9) Warunek, o którym mowa w pkt 2 lit. b, tj. odpowiednie cechy i elementy programu rewitalizacji </w:t>
      </w:r>
      <w:r w:rsidRPr="00A6085B">
        <w:rPr>
          <w:rFonts w:eastAsia="Calibri" w:cs="Times New Roman"/>
          <w:bCs/>
        </w:rPr>
        <w:br/>
        <w:t xml:space="preserve">(a także sposób ich weryfikacji) został opisany w załączniku do Wytycznych, szczególnie w pkt 5 Załącznika. IZ RPO w swoich wytycznych może uzupełnić lub rozwinąć zakres i wymogi wobec programów rewitalizacji, jeśli jest taka potrzeba. Jeśli weryfikacja spełnienia przez program rewitalizacji wymaganych cech i elementów dokonywana jest w procedurze wyboru projektów to niezależnie od oceny danego projektu pozytywna weryfikacja spełnienia przez program rewitalizacji wymaganych cech i elementów jest warunkiem wystarczającym do umieszczenia programu rewitalizacji w wykazie, o którym mowa w pkt 8.  </w:t>
      </w:r>
    </w:p>
    <w:p w:rsidR="00A6085B" w:rsidRPr="00A6085B" w:rsidRDefault="00A6085B" w:rsidP="00A6085B">
      <w:pPr>
        <w:jc w:val="both"/>
        <w:rPr>
          <w:rFonts w:eastAsia="Calibri" w:cs="Times New Roman"/>
          <w:b/>
          <w:bCs/>
        </w:rPr>
      </w:pPr>
      <w:r w:rsidRPr="00A6085B">
        <w:rPr>
          <w:rFonts w:eastAsia="Calibri" w:cs="Times New Roman"/>
          <w:b/>
          <w:bCs/>
        </w:rPr>
        <w:t>Wybór projektów rewitalizacyjnych w trybie konkursowym</w:t>
      </w:r>
    </w:p>
    <w:p w:rsidR="00A6085B" w:rsidRPr="00A6085B" w:rsidRDefault="00A6085B" w:rsidP="00A6085B">
      <w:pPr>
        <w:ind w:left="284" w:hanging="284"/>
        <w:jc w:val="both"/>
        <w:rPr>
          <w:rFonts w:eastAsia="Calibri" w:cs="Times New Roman"/>
          <w:bCs/>
        </w:rPr>
      </w:pPr>
      <w:r w:rsidRPr="00A6085B">
        <w:rPr>
          <w:rFonts w:eastAsia="Calibri" w:cs="Times New Roman"/>
          <w:bCs/>
        </w:rPr>
        <w:t xml:space="preserve">1) Gdy wśród przyjętych przez KM RPO kryteriów wyboru projektu znajdą się zaproponowane przez IZ RPO kryteria dotyczące potwierdzenia obowiązkowego wynikania projektu z programu rewitalizacji o określonych cechach i elementach, weryfikacja ich spełnienia może odbyć się </w:t>
      </w:r>
      <w:r w:rsidRPr="00A6085B">
        <w:rPr>
          <w:rFonts w:eastAsia="Calibri" w:cs="Times New Roman"/>
          <w:bCs/>
        </w:rPr>
        <w:br/>
        <w:t xml:space="preserve">w ramach procedury wyboru projektów. </w:t>
      </w:r>
    </w:p>
    <w:p w:rsidR="00A6085B" w:rsidRPr="00A6085B" w:rsidRDefault="00A6085B" w:rsidP="00A6085B">
      <w:pPr>
        <w:ind w:left="284" w:hanging="284"/>
        <w:jc w:val="both"/>
        <w:rPr>
          <w:rFonts w:eastAsia="Calibri" w:cs="Times New Roman"/>
          <w:bCs/>
        </w:rPr>
      </w:pPr>
      <w:r w:rsidRPr="00A6085B">
        <w:rPr>
          <w:rFonts w:eastAsia="Calibri" w:cs="Times New Roman"/>
          <w:bCs/>
        </w:rPr>
        <w:t xml:space="preserve">2) Ocena spełniania kryterium wskazanego w rozdz. 5 pkt 2 lit. b powinna być prowadzona </w:t>
      </w:r>
      <w:r w:rsidRPr="00A6085B">
        <w:rPr>
          <w:rFonts w:eastAsia="Calibri" w:cs="Times New Roman"/>
          <w:bCs/>
        </w:rPr>
        <w:br/>
        <w:t xml:space="preserve">w pierwszej kolejności, jako że bezwzględnie warunkuje udzielenie wsparcia (obligatoryjne dla priorytetu inwestycyjnego 9b) lub otrzymanie preferencji (pozostałe priorytety inwestycyjne). </w:t>
      </w:r>
    </w:p>
    <w:p w:rsidR="00A6085B" w:rsidRPr="00A6085B" w:rsidRDefault="00A6085B" w:rsidP="00A6085B">
      <w:pPr>
        <w:ind w:left="284" w:hanging="284"/>
        <w:jc w:val="both"/>
        <w:rPr>
          <w:rFonts w:eastAsia="Calibri" w:cs="Times New Roman"/>
        </w:rPr>
      </w:pPr>
      <w:r w:rsidRPr="00A6085B">
        <w:rPr>
          <w:rFonts w:eastAsia="Calibri" w:cs="Times New Roman"/>
          <w:bCs/>
        </w:rPr>
        <w:t>3) Weryfikacja, o której mowa w podrozdziale pkt 2, może następować w konkursie uwzględniającym następujące etapy:</w:t>
      </w:r>
      <w:r w:rsidRPr="00A6085B">
        <w:rPr>
          <w:rFonts w:eastAsia="Calibri" w:cs="Times New Roman"/>
        </w:rPr>
        <w:t xml:space="preserve"> </w:t>
      </w:r>
    </w:p>
    <w:p w:rsidR="00A6085B" w:rsidRPr="00A6085B" w:rsidRDefault="00A6085B" w:rsidP="00A6085B">
      <w:pPr>
        <w:ind w:left="284" w:hanging="284"/>
        <w:jc w:val="both"/>
        <w:rPr>
          <w:rFonts w:eastAsia="Calibri" w:cs="Times New Roman"/>
          <w:bCs/>
        </w:rPr>
      </w:pPr>
      <w:r w:rsidRPr="00A6085B">
        <w:rPr>
          <w:rFonts w:eastAsia="Calibri" w:cs="Times New Roman"/>
          <w:bCs/>
        </w:rPr>
        <w:t xml:space="preserve">a. etapu oceny formalnej, który ma na celu ocenę projektów pod względem obowiązku wynikania projektu z programu rewitalizacji o określonych cechach i zawartości oraz stopnia spełniania innych kryteriów formalnych, którym przykładowo przypisano wartości logiczne „tak”, „nie”; </w:t>
      </w:r>
    </w:p>
    <w:p w:rsidR="00A6085B" w:rsidRPr="00A6085B" w:rsidRDefault="00A6085B" w:rsidP="00A6085B">
      <w:pPr>
        <w:ind w:left="284" w:hanging="284"/>
        <w:jc w:val="both"/>
        <w:rPr>
          <w:rFonts w:eastAsia="Calibri" w:cs="Times New Roman"/>
          <w:bCs/>
        </w:rPr>
      </w:pPr>
      <w:r w:rsidRPr="00A6085B">
        <w:rPr>
          <w:rFonts w:eastAsia="Calibri" w:cs="Times New Roman"/>
          <w:bCs/>
        </w:rPr>
        <w:t xml:space="preserve">b. etapu oceny merytorycznej, rozumianego jako sprawdzenie zgodnie z zasadami określonymi przez IZ w systemie realizacji danego programu operacyjnego konkretnego projektu pod kątem spełniania kryteriów merytorycznych innych niż te, które podlegały weryfikacji na etapie opisanym w lit. a.; </w:t>
      </w:r>
    </w:p>
    <w:p w:rsidR="00A6085B" w:rsidRPr="00A6085B" w:rsidRDefault="00A6085B" w:rsidP="00A6085B">
      <w:pPr>
        <w:ind w:left="284" w:hanging="284"/>
        <w:jc w:val="both"/>
        <w:rPr>
          <w:rFonts w:eastAsia="Calibri" w:cs="Times New Roman"/>
          <w:bCs/>
        </w:rPr>
      </w:pPr>
      <w:r w:rsidRPr="00A6085B">
        <w:rPr>
          <w:rFonts w:eastAsia="Calibri" w:cs="Times New Roman"/>
          <w:bCs/>
        </w:rPr>
        <w:lastRenderedPageBreak/>
        <w:t xml:space="preserve">4) Weryfikacja projektów pod względem spełnienia wymagań odnoszących się do cech i elementów programów rewitalizacji: </w:t>
      </w:r>
    </w:p>
    <w:p w:rsidR="00A6085B" w:rsidRPr="00A6085B" w:rsidRDefault="00A6085B" w:rsidP="00A6085B">
      <w:pPr>
        <w:ind w:left="284" w:hanging="284"/>
        <w:jc w:val="both"/>
        <w:rPr>
          <w:rFonts w:eastAsia="Calibri" w:cs="Times New Roman"/>
          <w:bCs/>
        </w:rPr>
      </w:pPr>
      <w:r w:rsidRPr="00A6085B">
        <w:rPr>
          <w:rFonts w:eastAsia="Calibri" w:cs="Times New Roman"/>
          <w:bCs/>
        </w:rPr>
        <w:t xml:space="preserve">a. ma na celu wyprzedzające upewnienie się czy poszczególne projekty, które zgłoszono do objęcia dofinasowaniem wraz z programem rewitalizacji, ale także inne wynikające z programu, o których dofinansowanie wnioskodawca i inne uprawnione podmioty będą starali się w przyszłości, spełniają oczekiwanie związane z wpisaniem się w spójną koncepcję rewitalizacji danej gminy określoną w programie rewitalizacji; </w:t>
      </w:r>
    </w:p>
    <w:p w:rsidR="00A6085B" w:rsidRPr="00A6085B" w:rsidRDefault="00A6085B" w:rsidP="00A6085B">
      <w:pPr>
        <w:ind w:left="284" w:hanging="284"/>
        <w:jc w:val="both"/>
        <w:rPr>
          <w:rFonts w:eastAsia="Calibri" w:cs="Times New Roman"/>
          <w:bCs/>
        </w:rPr>
      </w:pPr>
      <w:r w:rsidRPr="00A6085B">
        <w:rPr>
          <w:rFonts w:eastAsia="Calibri" w:cs="Times New Roman"/>
          <w:bCs/>
        </w:rPr>
        <w:t xml:space="preserve">b. pozwala na szczegółową ocenę jedynie tych projektów, które wynikają z programów rewitalizacji </w:t>
      </w:r>
      <w:r w:rsidRPr="00A6085B">
        <w:rPr>
          <w:rFonts w:eastAsia="Calibri" w:cs="Times New Roman"/>
          <w:bCs/>
        </w:rPr>
        <w:br/>
        <w:t xml:space="preserve">o wymaganych cechach i elementach. </w:t>
      </w:r>
    </w:p>
    <w:p w:rsidR="00A6085B" w:rsidRPr="00A6085B" w:rsidRDefault="00A6085B" w:rsidP="00A6085B">
      <w:pPr>
        <w:ind w:left="284" w:hanging="284"/>
        <w:jc w:val="both"/>
        <w:rPr>
          <w:rFonts w:eastAsia="Calibri" w:cs="Times New Roman"/>
          <w:bCs/>
        </w:rPr>
      </w:pPr>
      <w:r w:rsidRPr="00A6085B">
        <w:rPr>
          <w:rFonts w:eastAsia="Calibri" w:cs="Times New Roman"/>
          <w:bCs/>
        </w:rPr>
        <w:t xml:space="preserve">5) IZ RPO może zdecydować o zorganizowaniu dodatkowych spotkań lub konsultacji, aby dla przedstawicieli potencjalnych wnioskodawców, którzy przystąpią do konkursów, znaczenie sprawdzenia wymogów odnoszących się do cech i elementów programów rewitalizacji było </w:t>
      </w:r>
      <w:r w:rsidRPr="00A6085B">
        <w:rPr>
          <w:rFonts w:eastAsia="Calibri" w:cs="Times New Roman"/>
          <w:bCs/>
        </w:rPr>
        <w:br/>
        <w:t xml:space="preserve">w pełni zrozumiałe. </w:t>
      </w:r>
    </w:p>
    <w:p w:rsidR="00A6085B" w:rsidRPr="00A6085B" w:rsidRDefault="00A6085B" w:rsidP="00A6085B">
      <w:pPr>
        <w:ind w:left="284" w:hanging="284"/>
        <w:jc w:val="both"/>
        <w:rPr>
          <w:rFonts w:eastAsia="Calibri" w:cs="Times New Roman"/>
          <w:bCs/>
        </w:rPr>
      </w:pPr>
      <w:r w:rsidRPr="00A6085B">
        <w:rPr>
          <w:rFonts w:eastAsia="Calibri" w:cs="Times New Roman"/>
          <w:bCs/>
        </w:rPr>
        <w:t xml:space="preserve">6) Wybór projektu przeprowadza się z zachowaniem warunków określonych dla poszczególnych instytucji w zakresie trybu konkursowego w horyzontalnych Wytycznych w zakresie trybów wyboru projektów na lata 2014-2020. </w:t>
      </w:r>
    </w:p>
    <w:p w:rsidR="00A6085B" w:rsidRPr="00A6085B" w:rsidRDefault="00A6085B" w:rsidP="00A6085B">
      <w:pPr>
        <w:ind w:left="284" w:hanging="284"/>
        <w:jc w:val="both"/>
        <w:rPr>
          <w:rFonts w:eastAsia="Calibri" w:cs="Times New Roman"/>
          <w:bCs/>
        </w:rPr>
      </w:pPr>
      <w:r w:rsidRPr="00A6085B">
        <w:rPr>
          <w:rFonts w:eastAsia="Calibri" w:cs="Times New Roman"/>
          <w:bCs/>
        </w:rPr>
        <w:t>7) Częstotliwość przeprowadzania naborów projektów rewitalizacyjnych powinna uwzględniać różny stopień zaawansowania przygotowania lub aktualizacji programów rewitalizacji przez samorządy gmin.</w:t>
      </w:r>
    </w:p>
    <w:p w:rsidR="00A6085B" w:rsidRPr="00A6085B" w:rsidRDefault="00A6085B" w:rsidP="00A6085B">
      <w:pPr>
        <w:jc w:val="both"/>
        <w:rPr>
          <w:rFonts w:eastAsia="Calibri" w:cs="Times New Roman"/>
          <w:b/>
          <w:bCs/>
        </w:rPr>
      </w:pPr>
      <w:r w:rsidRPr="00A6085B">
        <w:rPr>
          <w:rFonts w:eastAsia="Calibri" w:cs="Times New Roman"/>
          <w:b/>
          <w:bCs/>
        </w:rPr>
        <w:t>Wybór projektów rewitalizacyjnych w trybie pozakonkursowym</w:t>
      </w:r>
    </w:p>
    <w:p w:rsidR="00A6085B" w:rsidRPr="00A6085B" w:rsidRDefault="00A6085B" w:rsidP="00A6085B">
      <w:pPr>
        <w:jc w:val="both"/>
        <w:rPr>
          <w:rFonts w:eastAsia="Calibri" w:cs="Times New Roman"/>
          <w:bCs/>
        </w:rPr>
      </w:pPr>
      <w:r w:rsidRPr="00A6085B">
        <w:rPr>
          <w:rFonts w:eastAsia="Calibri" w:cs="Times New Roman"/>
          <w:bCs/>
        </w:rPr>
        <w:t xml:space="preserve">Mając na względzie, że procedura wyboru projektu w trybie pozakonkursowym jest dostosowana do indywidualnych właściwości danego projektu, wybór projektów rewitalizacyjnych w trybie pozakonkursowym będzie się odbywał na ogólnych zasadach określonych dla tego typu naborów </w:t>
      </w:r>
      <w:r w:rsidRPr="00A6085B">
        <w:rPr>
          <w:rFonts w:eastAsia="Calibri" w:cs="Times New Roman"/>
          <w:bCs/>
        </w:rPr>
        <w:br/>
        <w:t xml:space="preserve">w horyzontalnych Wytycznych w zakresie trybów wyboru projektów na lata 2014-2020, </w:t>
      </w:r>
      <w:r w:rsidRPr="00A6085B">
        <w:rPr>
          <w:rFonts w:eastAsia="Calibri" w:cs="Times New Roman"/>
          <w:bCs/>
        </w:rPr>
        <w:br/>
        <w:t>z uwzględnieniem odpowiednich postanowień Wytycznych.</w:t>
      </w:r>
    </w:p>
    <w:p w:rsidR="00A6085B" w:rsidRPr="00A6085B" w:rsidRDefault="00A6085B" w:rsidP="00A6085B">
      <w:pPr>
        <w:jc w:val="both"/>
        <w:rPr>
          <w:rFonts w:eastAsia="Calibri" w:cs="Times New Roman"/>
          <w:b/>
          <w:bCs/>
        </w:rPr>
      </w:pPr>
      <w:r w:rsidRPr="00A6085B">
        <w:rPr>
          <w:rFonts w:eastAsia="Calibri" w:cs="Times New Roman"/>
          <w:b/>
          <w:bCs/>
        </w:rPr>
        <w:t>Załącznik do Wytycznych MIiR</w:t>
      </w:r>
    </w:p>
    <w:p w:rsidR="00A6085B" w:rsidRPr="00A6085B" w:rsidRDefault="00A6085B" w:rsidP="00A6085B">
      <w:pPr>
        <w:jc w:val="both"/>
        <w:rPr>
          <w:rFonts w:eastAsia="Calibri" w:cs="Times New Roman"/>
          <w:bCs/>
        </w:rPr>
      </w:pPr>
      <w:r w:rsidRPr="00A6085B">
        <w:rPr>
          <w:rFonts w:eastAsia="Calibri" w:cs="Times New Roman"/>
          <w:bCs/>
        </w:rPr>
        <w:t xml:space="preserve">Załącznik określa cechy i elementy projektu rewitalizacyjnego, które są zgodne z art. 15. 1 ustawy </w:t>
      </w:r>
      <w:r w:rsidRPr="00A6085B">
        <w:rPr>
          <w:rFonts w:eastAsia="Calibri" w:cs="Times New Roman"/>
          <w:bCs/>
        </w:rPr>
        <w:br/>
        <w:t xml:space="preserve">o rewitalizacji z dnia 9 października 2015 r.  </w:t>
      </w:r>
    </w:p>
    <w:p w:rsidR="00A6085B" w:rsidRPr="00A6085B" w:rsidRDefault="00A6085B" w:rsidP="00A6085B">
      <w:pPr>
        <w:ind w:left="284" w:hanging="284"/>
        <w:jc w:val="both"/>
        <w:rPr>
          <w:rFonts w:eastAsia="Calibri" w:cs="Times New Roman"/>
          <w:bCs/>
        </w:rPr>
      </w:pPr>
      <w:r w:rsidRPr="00A6085B">
        <w:rPr>
          <w:rFonts w:eastAsia="Calibri" w:cs="Times New Roman"/>
          <w:bCs/>
        </w:rPr>
        <w:t xml:space="preserve">1) Programy rewitalizacji odznaczające się co najmniej cechami wskazanymi w pkt 1-4 Załącznika do Wytycznych oraz zawierające przynajmniej elementy wskazane w pkt 5 Załącznika do Wytycznych, są poddane analizie i weryfikacji. </w:t>
      </w:r>
    </w:p>
    <w:p w:rsidR="00A6085B" w:rsidRPr="00A6085B" w:rsidRDefault="00A6085B" w:rsidP="00A6085B">
      <w:pPr>
        <w:ind w:left="284" w:hanging="284"/>
        <w:jc w:val="both"/>
        <w:rPr>
          <w:rFonts w:eastAsia="Calibri" w:cs="Times New Roman"/>
          <w:bCs/>
        </w:rPr>
      </w:pPr>
      <w:r w:rsidRPr="00A6085B">
        <w:rPr>
          <w:rFonts w:eastAsia="Calibri" w:cs="Times New Roman"/>
          <w:bCs/>
        </w:rPr>
        <w:t xml:space="preserve">2) Analiza i weryfikacja cech i elementów programu rewitalizacji przeprowadzona jest </w:t>
      </w:r>
      <w:r w:rsidRPr="00A6085B">
        <w:rPr>
          <w:rFonts w:eastAsia="Calibri" w:cs="Times New Roman"/>
          <w:bCs/>
        </w:rPr>
        <w:br/>
        <w:t xml:space="preserve">w szczególności z uwzględnieniem: </w:t>
      </w:r>
    </w:p>
    <w:p w:rsidR="00A6085B" w:rsidRPr="00A6085B" w:rsidRDefault="00A6085B" w:rsidP="00A6085B">
      <w:pPr>
        <w:jc w:val="both"/>
        <w:rPr>
          <w:rFonts w:eastAsia="Calibri" w:cs="Times New Roman"/>
          <w:bCs/>
        </w:rPr>
      </w:pPr>
      <w:r w:rsidRPr="00A6085B">
        <w:rPr>
          <w:rFonts w:eastAsia="Calibri" w:cs="Times New Roman"/>
          <w:bCs/>
        </w:rPr>
        <w:t xml:space="preserve">a. kompletności uwzględnienia w treści programu rewitalizacji wskazanych cech i elementów; </w:t>
      </w:r>
    </w:p>
    <w:p w:rsidR="00A6085B" w:rsidRPr="00A6085B" w:rsidRDefault="00A6085B" w:rsidP="00A6085B">
      <w:pPr>
        <w:ind w:left="284" w:hanging="284"/>
        <w:jc w:val="both"/>
        <w:rPr>
          <w:rFonts w:eastAsia="Calibri" w:cs="Times New Roman"/>
          <w:bCs/>
        </w:rPr>
      </w:pPr>
      <w:r w:rsidRPr="00A6085B">
        <w:rPr>
          <w:rFonts w:eastAsia="Calibri" w:cs="Times New Roman"/>
          <w:bCs/>
        </w:rPr>
        <w:t xml:space="preserve">b. kompleksowości programu rewitalizacji, stopnia koncentracji i komplementarności planowanych działań rewitalizacyjnych; </w:t>
      </w:r>
    </w:p>
    <w:p w:rsidR="00A6085B" w:rsidRPr="00A6085B" w:rsidRDefault="00A6085B" w:rsidP="00A6085B">
      <w:pPr>
        <w:jc w:val="both"/>
        <w:rPr>
          <w:rFonts w:eastAsia="Calibri" w:cs="Times New Roman"/>
          <w:bCs/>
        </w:rPr>
      </w:pPr>
      <w:r w:rsidRPr="00A6085B">
        <w:rPr>
          <w:rFonts w:eastAsia="Calibri" w:cs="Times New Roman"/>
          <w:bCs/>
        </w:rPr>
        <w:lastRenderedPageBreak/>
        <w:t xml:space="preserve">Ocena tych aspektów musi służyć mobilizacji samorządów gminnych i potencjalnych beneficjentów do wspólnego zaplanowania kompleksowego rozwiązywania problemów rewitalizowanego obszaru </w:t>
      </w:r>
      <w:r w:rsidRPr="00A6085B">
        <w:rPr>
          <w:rFonts w:eastAsia="Calibri" w:cs="Times New Roman"/>
          <w:bCs/>
        </w:rPr>
        <w:br/>
        <w:t xml:space="preserve">w celu wyprowadzenia go ze stanu kryzysowego. Tylko kompleksowy program rewitalizacji oraz jego komplementarne i zintegrowane interwencje służą powodzeniu poszczególnych projektów rewitalizacyjnych. </w:t>
      </w:r>
    </w:p>
    <w:p w:rsidR="00A6085B" w:rsidRPr="00A6085B" w:rsidRDefault="00A6085B" w:rsidP="00A6085B">
      <w:pPr>
        <w:jc w:val="both"/>
        <w:rPr>
          <w:rFonts w:eastAsia="Calibri" w:cs="Times New Roman"/>
          <w:bCs/>
        </w:rPr>
      </w:pPr>
      <w:r w:rsidRPr="00A6085B">
        <w:rPr>
          <w:rFonts w:eastAsia="Calibri" w:cs="Times New Roman"/>
          <w:bCs/>
        </w:rPr>
        <w:t xml:space="preserve">c. wewnętrznej spójności działań;  </w:t>
      </w:r>
    </w:p>
    <w:p w:rsidR="00A6085B" w:rsidRPr="00A6085B" w:rsidRDefault="00A6085B" w:rsidP="00A6085B">
      <w:pPr>
        <w:ind w:left="284"/>
        <w:jc w:val="both"/>
        <w:rPr>
          <w:rFonts w:eastAsia="Calibri" w:cs="Times New Roman"/>
          <w:bCs/>
        </w:rPr>
      </w:pPr>
      <w:r w:rsidRPr="00A6085B">
        <w:rPr>
          <w:rFonts w:eastAsia="Calibri" w:cs="Times New Roman"/>
          <w:bCs/>
        </w:rPr>
        <w:t xml:space="preserve">Analiza programów rewitalizacji musi wychodzić od spójności i powiązania w programie diagnozy obszaru rewitalizacji identyfikującej czynniki i przyczyny degradacji z celami i zamierzeniami do osiągnięcia wskutek rewitalizacji oraz działaniami i zamierzeniami pozwalającymi na osiągnięcie celów. Umożliwi to znalezienie odpowiedzi na pytania:, dlaczego i w jaki sposób tj. jakimi przedsięwzięciami zakłada się zahamowanie regresu, jak wywołać korzystne tendencje rozwojowe, a także jakie działania i na jakich obszarach są konieczne dla skierowania dotkniętego kryzysem obszaru na ścieżkę rozwoju. </w:t>
      </w:r>
    </w:p>
    <w:p w:rsidR="00A6085B" w:rsidRPr="00A6085B" w:rsidRDefault="00A6085B" w:rsidP="00A6085B">
      <w:pPr>
        <w:jc w:val="both"/>
        <w:rPr>
          <w:rFonts w:eastAsia="Calibri" w:cs="Times New Roman"/>
          <w:bCs/>
        </w:rPr>
      </w:pPr>
      <w:r w:rsidRPr="00A6085B">
        <w:rPr>
          <w:rFonts w:eastAsia="Calibri" w:cs="Times New Roman"/>
          <w:bCs/>
        </w:rPr>
        <w:t xml:space="preserve">d. powiązań z politykami w gminie;  </w:t>
      </w:r>
    </w:p>
    <w:p w:rsidR="00A6085B" w:rsidRPr="00A6085B" w:rsidRDefault="00A6085B" w:rsidP="00A6085B">
      <w:pPr>
        <w:ind w:left="284"/>
        <w:jc w:val="both"/>
        <w:rPr>
          <w:rFonts w:eastAsia="Calibri" w:cs="Times New Roman"/>
          <w:bCs/>
        </w:rPr>
      </w:pPr>
      <w:r w:rsidRPr="00A6085B">
        <w:rPr>
          <w:rFonts w:eastAsia="Calibri" w:cs="Times New Roman"/>
          <w:bCs/>
        </w:rPr>
        <w:t xml:space="preserve">Z punktu widzenia analizy programu rewitalizacji ważne są jego powiązania z dokumentami określającymi kierunki rozwoju, tj. dokumentami strategicznymi i planistycznymi gminy. Ułatwi to analizę przygotowywanych lub aktualizowanych programów rewitalizacji i powiązania ich </w:t>
      </w:r>
      <w:r w:rsidRPr="00A6085B">
        <w:rPr>
          <w:rFonts w:eastAsia="Calibri" w:cs="Times New Roman"/>
          <w:bCs/>
        </w:rPr>
        <w:br/>
        <w:t>z określoną diagnozą społeczną i</w:t>
      </w:r>
      <w:r w:rsidRPr="00A6085B">
        <w:rPr>
          <w:rFonts w:eastAsia="Calibri" w:cs="Times New Roman"/>
        </w:rPr>
        <w:t xml:space="preserve"> </w:t>
      </w:r>
      <w:r w:rsidRPr="00A6085B">
        <w:rPr>
          <w:rFonts w:eastAsia="Calibri" w:cs="Times New Roman"/>
          <w:bCs/>
        </w:rPr>
        <w:t xml:space="preserve">gospodarczą gminy oraz wyznaczonymi celami rewitalizacji dla obszarów rewitalizacji.  </w:t>
      </w:r>
    </w:p>
    <w:p w:rsidR="00A6085B" w:rsidRPr="00A6085B" w:rsidRDefault="00A6085B" w:rsidP="00A6085B">
      <w:pPr>
        <w:jc w:val="both"/>
        <w:rPr>
          <w:rFonts w:eastAsia="Calibri" w:cs="Times New Roman"/>
          <w:bCs/>
        </w:rPr>
      </w:pPr>
      <w:r w:rsidRPr="00A6085B">
        <w:rPr>
          <w:rFonts w:eastAsia="Calibri" w:cs="Times New Roman"/>
          <w:bCs/>
        </w:rPr>
        <w:t xml:space="preserve">e. sprawnej koordynacji;  </w:t>
      </w:r>
    </w:p>
    <w:p w:rsidR="00A6085B" w:rsidRPr="00A6085B" w:rsidRDefault="00A6085B" w:rsidP="00A6085B">
      <w:pPr>
        <w:ind w:left="284"/>
        <w:jc w:val="both"/>
        <w:rPr>
          <w:rFonts w:eastAsia="Calibri" w:cs="Times New Roman"/>
          <w:bCs/>
        </w:rPr>
      </w:pPr>
      <w:r w:rsidRPr="00A6085B">
        <w:rPr>
          <w:rFonts w:eastAsia="Calibri" w:cs="Times New Roman"/>
          <w:bCs/>
        </w:rPr>
        <w:t xml:space="preserve">Program rewitalizacji powinien być jednym z ważniejszych narzędzi wprowadzania zmian na obszarze gminy. Konieczne jest, zatem osadzenie go w systemie zarządzania rozwojem gminy oraz wykazanie tego w strukturze organizacyjnej gminy (np. wyodrębniona jednostka w ramach struktury lub odrębna instytucja). </w:t>
      </w:r>
    </w:p>
    <w:p w:rsidR="00A6085B" w:rsidRPr="00A6085B" w:rsidRDefault="00A6085B" w:rsidP="00A6085B">
      <w:pPr>
        <w:jc w:val="both"/>
        <w:rPr>
          <w:rFonts w:eastAsia="Calibri" w:cs="Times New Roman"/>
          <w:bCs/>
        </w:rPr>
      </w:pPr>
      <w:r w:rsidRPr="00A6085B">
        <w:rPr>
          <w:rFonts w:eastAsia="Calibri" w:cs="Times New Roman"/>
          <w:bCs/>
        </w:rPr>
        <w:t xml:space="preserve">f. stopnia realizacji zasady partnerstwa w odniesieniu do programu rewitalizacji; </w:t>
      </w:r>
    </w:p>
    <w:p w:rsidR="00A6085B" w:rsidRPr="00A6085B" w:rsidRDefault="00A6085B" w:rsidP="00A6085B">
      <w:pPr>
        <w:ind w:left="284"/>
        <w:jc w:val="both"/>
        <w:rPr>
          <w:rFonts w:eastAsia="Calibri" w:cs="Times New Roman"/>
          <w:bCs/>
        </w:rPr>
      </w:pPr>
      <w:r w:rsidRPr="00A6085B">
        <w:rPr>
          <w:rFonts w:eastAsia="Calibri" w:cs="Times New Roman"/>
          <w:bCs/>
        </w:rPr>
        <w:t xml:space="preserve">W programie rewitalizacji należy wykazać, że w jego przygotowaniu zaangażowano społeczność lokalną i umożliwiono szeroką partycypację społeczną. Dla efektywności rewitalizacji konieczne jest silne i trwałe partnerstwo między różnymi podmiotami zaangażowanymi w prowadzenie procesu rewitalizacji, a szczególnie we wdrażanie i ocenę efektów programu rewitalizacji.  </w:t>
      </w:r>
    </w:p>
    <w:p w:rsidR="00A6085B" w:rsidRPr="00A6085B" w:rsidRDefault="00A6085B" w:rsidP="00A6085B">
      <w:pPr>
        <w:rPr>
          <w:rFonts w:eastAsia="Calibri" w:cs="Times New Roman"/>
          <w:b/>
          <w:bCs/>
        </w:rPr>
      </w:pPr>
      <w:r w:rsidRPr="00A6085B">
        <w:rPr>
          <w:rFonts w:eastAsia="Calibri" w:cs="Times New Roman"/>
          <w:b/>
          <w:bCs/>
        </w:rPr>
        <w:t>Komplementarność projektów rewitalizacyjnych/przedsięwzięć rewitalizacyjnych</w:t>
      </w:r>
      <w:r w:rsidRPr="00A6085B">
        <w:rPr>
          <w:rFonts w:eastAsia="Calibri" w:cs="Times New Roman"/>
          <w:b/>
          <w:bCs/>
          <w:vertAlign w:val="superscript"/>
        </w:rPr>
        <w:footnoteReference w:id="5"/>
      </w:r>
    </w:p>
    <w:p w:rsidR="00A6085B" w:rsidRPr="00A6085B" w:rsidRDefault="00A6085B" w:rsidP="00A6085B">
      <w:pPr>
        <w:jc w:val="both"/>
        <w:rPr>
          <w:rFonts w:eastAsia="Calibri" w:cs="Times New Roman"/>
        </w:rPr>
      </w:pPr>
      <w:r w:rsidRPr="00A6085B">
        <w:rPr>
          <w:rFonts w:eastAsia="Calibri" w:cs="Times New Roman"/>
          <w:iCs/>
        </w:rPr>
        <w:t>Wymogiem</w:t>
      </w:r>
      <w:r w:rsidRPr="00A6085B">
        <w:rPr>
          <w:rFonts w:eastAsia="Calibri" w:cs="Times New Roman"/>
        </w:rPr>
        <w:t xml:space="preserve"> koniecznym dla wspierania projektów rewitalizacyjnych (a także szerzej: przedsięwzięć) jest zapewnienie ich komplementarności w różnych wymiarach. W szczególności dotyczy to komplementarności: przestrzennej, problemowej, proceduralno-instytucjonalnej, międzyokresowej oraz źródeł finansowania.</w:t>
      </w:r>
    </w:p>
    <w:p w:rsidR="00A6085B" w:rsidRPr="00A6085B" w:rsidRDefault="00A6085B" w:rsidP="00A6085B">
      <w:pPr>
        <w:jc w:val="center"/>
        <w:rPr>
          <w:rFonts w:eastAsia="Calibri" w:cs="Times New Roman"/>
          <w:iCs/>
          <w:u w:val="single"/>
        </w:rPr>
      </w:pPr>
      <w:r w:rsidRPr="00A6085B">
        <w:rPr>
          <w:rFonts w:eastAsia="Calibri" w:cs="Times New Roman"/>
          <w:u w:val="single"/>
        </w:rPr>
        <w:lastRenderedPageBreak/>
        <w:t>Komplementarność</w:t>
      </w:r>
      <w:r w:rsidRPr="00A6085B">
        <w:rPr>
          <w:rFonts w:eastAsia="Calibri" w:cs="Times New Roman"/>
          <w:iCs/>
          <w:u w:val="single"/>
        </w:rPr>
        <w:t xml:space="preserve"> przestrzenna</w:t>
      </w:r>
    </w:p>
    <w:p w:rsidR="00A6085B" w:rsidRPr="00A6085B" w:rsidRDefault="00A6085B" w:rsidP="00A6085B">
      <w:pPr>
        <w:numPr>
          <w:ilvl w:val="0"/>
          <w:numId w:val="6"/>
        </w:numPr>
        <w:jc w:val="both"/>
        <w:rPr>
          <w:rFonts w:eastAsia="Calibri" w:cs="Times New Roman"/>
          <w:iCs/>
        </w:rPr>
      </w:pPr>
      <w:r w:rsidRPr="00A6085B">
        <w:rPr>
          <w:rFonts w:eastAsia="Calibri" w:cs="Times New Roman"/>
          <w:iCs/>
        </w:rPr>
        <w:t xml:space="preserve">Komplementarność przestrzenna oznacza konieczność wzięcia pod uwagę podczas tworzenia </w:t>
      </w:r>
      <w:r w:rsidRPr="00A6085B">
        <w:rPr>
          <w:rFonts w:eastAsia="Calibri" w:cs="Times New Roman"/>
          <w:iCs/>
        </w:rPr>
        <w:br/>
        <w:t>i realizacji programu rewitalizacji wzajemnych powiązań pomiędzy projektami/przedsięwzięciami rewitalizacyjnymi zarówno realizowanych na obszarze rewitalizacji, jak i znajdujących się poza nim, ale oddziałujących na obszar rewitalizacji.</w:t>
      </w:r>
    </w:p>
    <w:p w:rsidR="00A6085B" w:rsidRPr="00A6085B" w:rsidRDefault="00A6085B" w:rsidP="00A6085B">
      <w:pPr>
        <w:numPr>
          <w:ilvl w:val="0"/>
          <w:numId w:val="6"/>
        </w:numPr>
        <w:jc w:val="both"/>
        <w:rPr>
          <w:rFonts w:eastAsia="Calibri" w:cs="Times New Roman"/>
          <w:iCs/>
        </w:rPr>
      </w:pPr>
      <w:r w:rsidRPr="00A6085B">
        <w:rPr>
          <w:rFonts w:eastAsia="Calibri" w:cs="Times New Roman"/>
          <w:iCs/>
        </w:rPr>
        <w:t>Zapewnienie komplementarności przestrzennej projektów/przedsięwzięć rewitalizacyjnych ma służyć temu, by program rewitalizacji efektywnie oddziaływał na cały dotknięty kryzysem obszar (a nie punktowo, w pojedynczych miejscach), poszczególne projekty rewitalizacyjne wzajemnie się dopełniały przestrzennie oraz by zachodził między nimi efekt synergii.</w:t>
      </w:r>
    </w:p>
    <w:p w:rsidR="00A6085B" w:rsidRPr="00A6085B" w:rsidRDefault="00A6085B" w:rsidP="00A6085B">
      <w:pPr>
        <w:numPr>
          <w:ilvl w:val="0"/>
          <w:numId w:val="6"/>
        </w:numPr>
        <w:jc w:val="both"/>
        <w:rPr>
          <w:rFonts w:eastAsia="Calibri" w:cs="Times New Roman"/>
          <w:iCs/>
        </w:rPr>
      </w:pPr>
      <w:r w:rsidRPr="00A6085B">
        <w:rPr>
          <w:rFonts w:eastAsia="Calibri" w:cs="Times New Roman"/>
          <w:iCs/>
        </w:rPr>
        <w:t>Celem zapewnienia komplementarności przestrzennej interwencji jest także to, by prowadzone działania nie skutkowały przenoszeniem problemów na inne obszary lub nie prowadziły do niepożądanych efektów społecznych takich jak segregacja społeczna i wykluczenie.</w:t>
      </w:r>
    </w:p>
    <w:p w:rsidR="00A6085B" w:rsidRPr="00A6085B" w:rsidRDefault="00A6085B" w:rsidP="00A6085B">
      <w:pPr>
        <w:numPr>
          <w:ilvl w:val="0"/>
          <w:numId w:val="6"/>
        </w:numPr>
        <w:jc w:val="both"/>
        <w:rPr>
          <w:rFonts w:eastAsia="Calibri" w:cs="Times New Roman"/>
          <w:iCs/>
        </w:rPr>
      </w:pPr>
      <w:r w:rsidRPr="00A6085B">
        <w:rPr>
          <w:rFonts w:eastAsia="Calibri" w:cs="Times New Roman"/>
          <w:iCs/>
        </w:rPr>
        <w:t>Komplementarność przestrzenna skutkuje ciągłą analizą następstw decyzji przestrzennych w skali całej gminy (np. przeznaczanie nowych terenów pod zabudowę) dla skuteczności programu rewitalizacji.</w:t>
      </w:r>
    </w:p>
    <w:p w:rsidR="00A6085B" w:rsidRPr="00A6085B" w:rsidRDefault="00A6085B" w:rsidP="00A6085B">
      <w:pPr>
        <w:ind w:left="360"/>
        <w:jc w:val="center"/>
        <w:rPr>
          <w:rFonts w:eastAsia="Calibri" w:cs="Times New Roman"/>
          <w:iCs/>
        </w:rPr>
      </w:pPr>
      <w:r w:rsidRPr="00A6085B">
        <w:rPr>
          <w:rFonts w:eastAsia="Calibri" w:cs="Times New Roman"/>
          <w:u w:val="single"/>
        </w:rPr>
        <w:t>Komplementarność problemowa</w:t>
      </w:r>
    </w:p>
    <w:p w:rsidR="00A6085B" w:rsidRPr="00A6085B" w:rsidRDefault="00A6085B" w:rsidP="00A6085B">
      <w:pPr>
        <w:numPr>
          <w:ilvl w:val="0"/>
          <w:numId w:val="6"/>
        </w:numPr>
        <w:ind w:left="357" w:hanging="357"/>
        <w:jc w:val="both"/>
        <w:rPr>
          <w:rFonts w:eastAsia="Calibri" w:cs="Times New Roman"/>
          <w:iCs/>
        </w:rPr>
      </w:pPr>
      <w:r w:rsidRPr="00A6085B">
        <w:rPr>
          <w:rFonts w:eastAsia="Calibri" w:cs="Times New Roman"/>
          <w:iCs/>
        </w:rPr>
        <w:t xml:space="preserve">Komplementarność problemowa oznacza konieczność realizacji projektów rewitalizacyjnych/przedsięwzięć, które będą się wzajemnie dopełniały tematycznie, sprawiając, </w:t>
      </w:r>
      <w:r w:rsidRPr="00A6085B">
        <w:rPr>
          <w:rFonts w:eastAsia="Calibri" w:cs="Times New Roman"/>
          <w:iCs/>
        </w:rPr>
        <w:br/>
        <w:t>że program rewitalizacji będzie oddziaływał na obszar rewitalizacji we wszystkich niezbędnych aspektach (</w:t>
      </w:r>
      <w:r w:rsidRPr="00A6085B">
        <w:rPr>
          <w:rFonts w:eastAsia="Calibri" w:cs="Times New Roman"/>
        </w:rPr>
        <w:t xml:space="preserve">społecznym, gospodarczym, przestrzenno – funkcjonalnym, technicznym </w:t>
      </w:r>
      <w:r w:rsidRPr="00A6085B">
        <w:rPr>
          <w:rFonts w:eastAsia="Calibri" w:cs="Times New Roman"/>
        </w:rPr>
        <w:br/>
        <w:t>i środowiskowym).</w:t>
      </w:r>
    </w:p>
    <w:p w:rsidR="00A6085B" w:rsidRPr="00A6085B" w:rsidRDefault="00A6085B" w:rsidP="00A6085B">
      <w:pPr>
        <w:numPr>
          <w:ilvl w:val="0"/>
          <w:numId w:val="6"/>
        </w:numPr>
        <w:jc w:val="both"/>
        <w:rPr>
          <w:rFonts w:eastAsia="Calibri" w:cs="Times New Roman"/>
          <w:iCs/>
        </w:rPr>
      </w:pPr>
      <w:r w:rsidRPr="00A6085B">
        <w:rPr>
          <w:rFonts w:eastAsia="Calibri" w:cs="Times New Roman"/>
        </w:rPr>
        <w:t xml:space="preserve">Zapewnienie komplementarności problemowej ma </w:t>
      </w:r>
      <w:r w:rsidRPr="00A6085B">
        <w:rPr>
          <w:rFonts w:eastAsia="Calibri" w:cs="Times New Roman"/>
          <w:iCs/>
        </w:rPr>
        <w:t>przeciwdziałać fragmentacji działań (np. tzw. „rewitalizacji technicznej”, „rewitalizacji społecznej” – określeń błędnie stosowanych, ponieważ rewitalizacja jest zawsze kompleksowa) koncentrując uwagę na całościowym spojrzeniu na przyczyny kryzysu danego obszaru.</w:t>
      </w:r>
    </w:p>
    <w:p w:rsidR="00A6085B" w:rsidRPr="00A6085B" w:rsidRDefault="00A6085B" w:rsidP="00A6085B">
      <w:pPr>
        <w:numPr>
          <w:ilvl w:val="0"/>
          <w:numId w:val="6"/>
        </w:numPr>
        <w:jc w:val="both"/>
        <w:rPr>
          <w:rFonts w:eastAsia="Calibri" w:cs="Times New Roman"/>
          <w:iCs/>
        </w:rPr>
      </w:pPr>
      <w:r w:rsidRPr="00A6085B">
        <w:rPr>
          <w:rFonts w:eastAsia="Calibri" w:cs="Times New Roman"/>
          <w:iCs/>
        </w:rPr>
        <w:t xml:space="preserve">W komplementarności problemowej konieczne jest określenie pożądanego stanu, do jakiego mają doprowadzić dany obszar projekty/przedsięwzięcia rewitalizacyjne, oraz jego parametryzacja. Tak postawione zadanie ułatwi później wybór odpowiednich mierników/wskaźników osiągania celów programu rewitalizacji. </w:t>
      </w:r>
    </w:p>
    <w:p w:rsidR="00A6085B" w:rsidRPr="00A6085B" w:rsidRDefault="00A6085B" w:rsidP="00A6085B">
      <w:pPr>
        <w:numPr>
          <w:ilvl w:val="0"/>
          <w:numId w:val="6"/>
        </w:numPr>
        <w:jc w:val="both"/>
        <w:rPr>
          <w:rFonts w:eastAsia="Calibri" w:cs="Times New Roman"/>
          <w:iCs/>
        </w:rPr>
      </w:pPr>
      <w:r w:rsidRPr="00A6085B">
        <w:rPr>
          <w:rFonts w:eastAsia="Calibri" w:cs="Times New Roman"/>
          <w:iCs/>
        </w:rPr>
        <w:t xml:space="preserve">Skuteczna komplementarność problemowa oznacza konieczność powiązania działań rewitalizacyjnych ze strategicznymi decyzjami miasta na innych polach, co skutkuje lepszą koordynacją tematyczną i organizacyjną działań administracji. </w:t>
      </w:r>
    </w:p>
    <w:p w:rsidR="00A6085B" w:rsidRPr="00A6085B" w:rsidRDefault="00A6085B" w:rsidP="00A6085B">
      <w:pPr>
        <w:numPr>
          <w:ilvl w:val="0"/>
          <w:numId w:val="6"/>
        </w:numPr>
        <w:jc w:val="both"/>
        <w:rPr>
          <w:rFonts w:eastAsia="Calibri" w:cs="Times New Roman"/>
          <w:iCs/>
        </w:rPr>
      </w:pPr>
      <w:r w:rsidRPr="00A6085B">
        <w:rPr>
          <w:rFonts w:eastAsia="Calibri" w:cs="Times New Roman"/>
          <w:iCs/>
        </w:rPr>
        <w:t xml:space="preserve">Dla uzyskania lepszych efektów komplementarności problemowej przydatna jest pogłębiona </w:t>
      </w:r>
      <w:r w:rsidRPr="00A6085B">
        <w:rPr>
          <w:rFonts w:eastAsia="Calibri" w:cs="Times New Roman"/>
          <w:iCs/>
        </w:rPr>
        <w:br/>
        <w:t xml:space="preserve">i usystematyzowana analiza zjawisk kryzysu na obszarze województwa przygotowana przez samorząd województwa. Analiza ta powinna obejmować m.in. sytuację społeczną, gospodarczą </w:t>
      </w:r>
      <w:r w:rsidRPr="00A6085B">
        <w:rPr>
          <w:rFonts w:eastAsia="Calibri" w:cs="Times New Roman"/>
          <w:iCs/>
        </w:rPr>
        <w:br/>
        <w:t>i przestrzenną oraz obserwowane zjawiska i trendy demograficzne.</w:t>
      </w:r>
    </w:p>
    <w:p w:rsidR="00A6085B" w:rsidRPr="00A6085B" w:rsidRDefault="00A6085B" w:rsidP="00A6085B">
      <w:pPr>
        <w:jc w:val="center"/>
        <w:rPr>
          <w:rFonts w:eastAsia="Calibri" w:cs="Times New Roman"/>
          <w:u w:val="single"/>
        </w:rPr>
      </w:pPr>
      <w:r w:rsidRPr="00A6085B">
        <w:rPr>
          <w:rFonts w:eastAsia="Calibri" w:cs="Times New Roman"/>
          <w:u w:val="single"/>
        </w:rPr>
        <w:t>Komplementarność proceduralno-instytucjonalna</w:t>
      </w:r>
    </w:p>
    <w:p w:rsidR="00A6085B" w:rsidRPr="00A6085B" w:rsidRDefault="00A6085B" w:rsidP="00A6085B">
      <w:pPr>
        <w:numPr>
          <w:ilvl w:val="0"/>
          <w:numId w:val="6"/>
        </w:numPr>
        <w:jc w:val="both"/>
        <w:rPr>
          <w:rFonts w:eastAsia="Calibri" w:cs="Times New Roman"/>
          <w:iCs/>
        </w:rPr>
      </w:pPr>
      <w:r w:rsidRPr="00A6085B">
        <w:rPr>
          <w:rFonts w:eastAsia="Calibri" w:cs="Times New Roman"/>
          <w:iCs/>
        </w:rPr>
        <w:lastRenderedPageBreak/>
        <w:t xml:space="preserve">Komplementarność proceduralno-instytucjonalna oznacza konieczność takiego zaprojektowania systemu zarządzania programem rewitalizacji, który pozwoli na efektywne współdziałanie na jego rzecz różnych instytucji oraz wzajemne uzupełnianie się i spójność procedur. W tym celu niezbędne jest osadzenie systemu zarządzania programem rewitalizacji w przyjętym przez dane miasto systemie zarządzania w ogóle. </w:t>
      </w:r>
    </w:p>
    <w:p w:rsidR="00A6085B" w:rsidRPr="00A6085B" w:rsidRDefault="00A6085B" w:rsidP="00A6085B">
      <w:pPr>
        <w:numPr>
          <w:ilvl w:val="0"/>
          <w:numId w:val="6"/>
        </w:numPr>
        <w:jc w:val="both"/>
        <w:rPr>
          <w:rFonts w:eastAsia="Calibri" w:cs="Times New Roman"/>
          <w:iCs/>
        </w:rPr>
      </w:pPr>
      <w:r w:rsidRPr="00A6085B">
        <w:rPr>
          <w:rFonts w:eastAsia="Calibri" w:cs="Times New Roman"/>
          <w:iCs/>
        </w:rPr>
        <w:t>W tworzeniu wymogów proceduralnych IZ RPO skupia uwagę na określeniu adekwatnych potrzeb oczekiwań standardów w zarządzaniu i wdrażaniu programów rewitalizacji.</w:t>
      </w:r>
    </w:p>
    <w:p w:rsidR="00A6085B" w:rsidRPr="00A6085B" w:rsidRDefault="00A6085B" w:rsidP="00A6085B">
      <w:pPr>
        <w:jc w:val="center"/>
        <w:rPr>
          <w:rFonts w:eastAsia="Calibri" w:cs="Times New Roman"/>
          <w:u w:val="single"/>
        </w:rPr>
      </w:pPr>
      <w:r w:rsidRPr="00A6085B">
        <w:rPr>
          <w:rFonts w:eastAsia="Calibri" w:cs="Times New Roman"/>
          <w:u w:val="single"/>
        </w:rPr>
        <w:t>Komplementarność międzyokresowa</w:t>
      </w:r>
    </w:p>
    <w:p w:rsidR="00A6085B" w:rsidRPr="00A6085B" w:rsidRDefault="00A6085B" w:rsidP="00A6085B">
      <w:pPr>
        <w:numPr>
          <w:ilvl w:val="0"/>
          <w:numId w:val="6"/>
        </w:numPr>
        <w:jc w:val="both"/>
        <w:rPr>
          <w:rFonts w:eastAsia="Calibri" w:cs="Times New Roman"/>
          <w:iCs/>
        </w:rPr>
      </w:pPr>
      <w:r w:rsidRPr="00A6085B">
        <w:rPr>
          <w:rFonts w:eastAsia="Calibri" w:cs="Times New Roman"/>
          <w:iCs/>
        </w:rPr>
        <w:t xml:space="preserve">W celu zapewnienia komplementarności międzyokresowej IZ RPO opracowuje analizę </w:t>
      </w:r>
      <w:r w:rsidRPr="00A6085B">
        <w:rPr>
          <w:rFonts w:eastAsia="Calibri" w:cs="Times New Roman"/>
          <w:iCs/>
        </w:rPr>
        <w:br/>
        <w:t xml:space="preserve">i krytyczną ocenę oraz formułuje wnioski na temat dotychczasowego ( w kontekście zaangażowania środków wspólnotowych, szczególnie w ramach polityki spójności 2007-2013) sposobu wspierania procesów rewitalizacji, jego skuteczności, osiągnięć i problemów wdrażania projektów i programów rewitalizacji w województwie. Na tej podstawie dokonywane jest zaplanowanie sposobu wspierania procesów rewitalizacji w ramach polityki spójności 2014-2020. </w:t>
      </w:r>
    </w:p>
    <w:p w:rsidR="00A6085B" w:rsidRPr="00A6085B" w:rsidRDefault="00A6085B" w:rsidP="00A6085B">
      <w:pPr>
        <w:numPr>
          <w:ilvl w:val="0"/>
          <w:numId w:val="6"/>
        </w:numPr>
        <w:jc w:val="both"/>
        <w:rPr>
          <w:rFonts w:eastAsia="Calibri" w:cs="Times New Roman"/>
          <w:iCs/>
        </w:rPr>
      </w:pPr>
      <w:r w:rsidRPr="00A6085B">
        <w:rPr>
          <w:rFonts w:eastAsia="Calibri" w:cs="Times New Roman"/>
          <w:iCs/>
        </w:rPr>
        <w:t xml:space="preserve">W oparciu o dokonaną analizę możliwe jest uzupełnianie przedsięwzięć już zrealizowanych </w:t>
      </w:r>
      <w:r w:rsidRPr="00A6085B">
        <w:rPr>
          <w:rFonts w:eastAsia="Calibri" w:cs="Times New Roman"/>
          <w:iCs/>
        </w:rPr>
        <w:br/>
        <w:t>w ramach polityki spójności 2007-2013 (np. o charakterze infrastrukturalnym) projektami komplementarnymi (np. o charakterze społecznym) realizowanymi w ramach polityki spójności 2014-2020.</w:t>
      </w:r>
      <w:r w:rsidRPr="00A6085B">
        <w:rPr>
          <w:rFonts w:eastAsia="Calibri" w:cs="Times New Roman"/>
          <w:iCs/>
        </w:rPr>
        <w:br/>
        <w:t xml:space="preserve">Zachowanie ciągłości programowej (polegającej na kontynuacji lub rozwijaniu wsparcia </w:t>
      </w:r>
      <w:r w:rsidRPr="00A6085B">
        <w:rPr>
          <w:rFonts w:eastAsia="Calibri" w:cs="Times New Roman"/>
          <w:iCs/>
        </w:rPr>
        <w:br/>
        <w:t>z polityki spójności 2007-2013) ma w procesach rewitalizacji kluczowe znaczenie. Zmiany wprowadzane w programach rewitalizacji odpowiadają na te potrzeby zmian, które wynikają głównie z ich ewaluacji, opartej na systematycznym monitoringu.</w:t>
      </w:r>
    </w:p>
    <w:p w:rsidR="00A6085B" w:rsidRPr="00A6085B" w:rsidRDefault="00A6085B" w:rsidP="00A6085B">
      <w:pPr>
        <w:numPr>
          <w:ilvl w:val="0"/>
          <w:numId w:val="6"/>
        </w:numPr>
        <w:jc w:val="both"/>
        <w:rPr>
          <w:rFonts w:eastAsia="Calibri" w:cs="Times New Roman"/>
          <w:iCs/>
        </w:rPr>
      </w:pPr>
      <w:r w:rsidRPr="00A6085B">
        <w:rPr>
          <w:rFonts w:eastAsia="Calibri" w:cs="Times New Roman"/>
          <w:iCs/>
        </w:rPr>
        <w:t>IZ RPO w projektowaniu wsparcia dla rewitalizacji wykorzystuje doświadczenia poprzednich perspektyw.</w:t>
      </w:r>
    </w:p>
    <w:p w:rsidR="00A6085B" w:rsidRPr="00A6085B" w:rsidRDefault="00A6085B" w:rsidP="00A6085B">
      <w:pPr>
        <w:ind w:left="720"/>
        <w:jc w:val="center"/>
        <w:rPr>
          <w:rFonts w:eastAsia="Calibri" w:cs="Times New Roman"/>
          <w:u w:val="single"/>
        </w:rPr>
      </w:pPr>
      <w:r w:rsidRPr="00A6085B">
        <w:rPr>
          <w:rFonts w:eastAsia="Calibri" w:cs="Times New Roman"/>
          <w:u w:val="single"/>
        </w:rPr>
        <w:t>Komplementarność źródeł finansowania</w:t>
      </w:r>
    </w:p>
    <w:p w:rsidR="00A6085B" w:rsidRPr="00A6085B" w:rsidRDefault="00A6085B" w:rsidP="00A6085B">
      <w:pPr>
        <w:numPr>
          <w:ilvl w:val="0"/>
          <w:numId w:val="6"/>
        </w:numPr>
        <w:jc w:val="both"/>
        <w:rPr>
          <w:rFonts w:eastAsia="Calibri" w:cs="Times New Roman"/>
          <w:iCs/>
        </w:rPr>
      </w:pPr>
      <w:r w:rsidRPr="00A6085B">
        <w:rPr>
          <w:rFonts w:eastAsia="Calibri" w:cs="Times New Roman"/>
        </w:rPr>
        <w:t>Komplementarność źródeł finansowania</w:t>
      </w:r>
      <w:r w:rsidRPr="00A6085B">
        <w:rPr>
          <w:rFonts w:eastAsia="Calibri" w:cs="Times New Roman"/>
          <w:iCs/>
        </w:rPr>
        <w:t xml:space="preserve">, w kontekście polityki spójności 2014-2020, oznacza, </w:t>
      </w:r>
      <w:r w:rsidRPr="00A6085B">
        <w:rPr>
          <w:rFonts w:eastAsia="Calibri" w:cs="Times New Roman"/>
          <w:iCs/>
        </w:rPr>
        <w:br/>
        <w:t xml:space="preserve">że projekty/przedsięwzięcia rewitalizacyjne, wynikające z programu rewitalizacji opierają się na konieczności umiejętnego uzupełniania i łączenia wsparcia ze środków EFRR, EFS i FS </w:t>
      </w:r>
      <w:r w:rsidRPr="00A6085B">
        <w:rPr>
          <w:rFonts w:eastAsia="Calibri" w:cs="Times New Roman"/>
          <w:iCs/>
        </w:rPr>
        <w:br/>
        <w:t xml:space="preserve">z wykluczeniem ryzyka podwójnego dofinansowania. </w:t>
      </w:r>
    </w:p>
    <w:p w:rsidR="00A6085B" w:rsidRPr="00A6085B" w:rsidRDefault="00A6085B" w:rsidP="00A6085B">
      <w:pPr>
        <w:numPr>
          <w:ilvl w:val="0"/>
          <w:numId w:val="6"/>
        </w:numPr>
        <w:jc w:val="both"/>
        <w:rPr>
          <w:rFonts w:eastAsia="Calibri" w:cs="Times New Roman"/>
          <w:iCs/>
        </w:rPr>
      </w:pPr>
      <w:r w:rsidRPr="00A6085B">
        <w:rPr>
          <w:rFonts w:eastAsia="Calibri" w:cs="Times New Roman"/>
          <w:iCs/>
        </w:rPr>
        <w:t>Silna koordynacja i synergia projektów rewitalizacyjnych finansowanych szczególnie w ramach EFS i EFRR jest konieczna dla uzyskania korzystnych efektów dla obszarów rewitalizacji.</w:t>
      </w:r>
    </w:p>
    <w:p w:rsidR="00A6085B" w:rsidRPr="00A6085B" w:rsidRDefault="00A6085B" w:rsidP="00A6085B">
      <w:pPr>
        <w:numPr>
          <w:ilvl w:val="0"/>
          <w:numId w:val="6"/>
        </w:numPr>
        <w:jc w:val="both"/>
        <w:rPr>
          <w:rFonts w:eastAsia="Calibri" w:cs="Times New Roman"/>
          <w:iCs/>
        </w:rPr>
      </w:pPr>
      <w:r w:rsidRPr="00A6085B">
        <w:rPr>
          <w:rFonts w:eastAsia="Calibri" w:cs="Times New Roman"/>
          <w:iCs/>
        </w:rPr>
        <w:t>Koordynacja środków programów operacyjnych ze środkami polityk i instrumentów krajowych jest konieczna dla realizacji zasady dodatkowości środków UE.</w:t>
      </w:r>
    </w:p>
    <w:p w:rsidR="00A6085B" w:rsidRPr="00A6085B" w:rsidRDefault="00A6085B" w:rsidP="00A6085B">
      <w:pPr>
        <w:numPr>
          <w:ilvl w:val="0"/>
          <w:numId w:val="6"/>
        </w:numPr>
        <w:jc w:val="both"/>
        <w:rPr>
          <w:rFonts w:eastAsia="Calibri" w:cs="Times New Roman"/>
          <w:iCs/>
        </w:rPr>
      </w:pPr>
      <w:r w:rsidRPr="00A6085B">
        <w:rPr>
          <w:rFonts w:eastAsia="Calibri" w:cs="Times New Roman"/>
          <w:iCs/>
        </w:rPr>
        <w:t>Komplementarność finansowa oznacza także zdolność łączenia prywatnych i publicznych źródeł finasowania, przy założeniu, że stymulowanie endogenicznych zdolności inwestycyjnych ma kluczowe znaczenie dla dynamiki pożądanych zmian.</w:t>
      </w:r>
    </w:p>
    <w:p w:rsidR="00A6085B" w:rsidRPr="00A6085B" w:rsidRDefault="00A6085B" w:rsidP="00A6085B">
      <w:pPr>
        <w:rPr>
          <w:rFonts w:eastAsia="Calibri" w:cs="Times New Roman"/>
          <w:b/>
          <w:bCs/>
        </w:rPr>
      </w:pPr>
      <w:r w:rsidRPr="00A6085B">
        <w:rPr>
          <w:rFonts w:eastAsia="Calibri" w:cs="Times New Roman"/>
          <w:b/>
          <w:bCs/>
        </w:rPr>
        <w:t>Realizacja zasady partnerstwa i partycypacja</w:t>
      </w:r>
    </w:p>
    <w:p w:rsidR="00A6085B" w:rsidRPr="00A6085B" w:rsidRDefault="00A6085B" w:rsidP="00A6085B">
      <w:pPr>
        <w:numPr>
          <w:ilvl w:val="0"/>
          <w:numId w:val="7"/>
        </w:numPr>
        <w:jc w:val="both"/>
        <w:rPr>
          <w:rFonts w:eastAsia="Calibri" w:cs="Times New Roman"/>
          <w:iCs/>
        </w:rPr>
      </w:pPr>
      <w:r w:rsidRPr="00A6085B">
        <w:rPr>
          <w:rFonts w:eastAsia="Calibri" w:cs="Times New Roman"/>
          <w:iCs/>
        </w:rPr>
        <w:lastRenderedPageBreak/>
        <w:t xml:space="preserve">Program rewitalizacji jest wypracowywany przez samorząd gminny i poddawany dyskusji </w:t>
      </w:r>
      <w:r w:rsidRPr="00A6085B">
        <w:rPr>
          <w:rFonts w:eastAsia="Calibri" w:cs="Times New Roman"/>
          <w:iCs/>
        </w:rPr>
        <w:br/>
        <w:t xml:space="preserve">w oparciu o diagnozę lokalnych problemów: społecznych, gospodarczych i przestrzenno funkcjonalnych, technicznych i środowiskowych. Prace nad przygotowaniem programu, bądź jego aktualizacją, jak również wdrażanie (realizacja) programu oparte są na współpracy ze wszystkimi grupami interesariuszy, w tym szczególnie ze społecznością obszarów rewitalizacji, innymi ich użytkownikami, przedsiębiorcami i organizacjami pozarządowymi. </w:t>
      </w:r>
    </w:p>
    <w:p w:rsidR="00A6085B" w:rsidRPr="00A6085B" w:rsidRDefault="00A6085B" w:rsidP="00A6085B">
      <w:pPr>
        <w:numPr>
          <w:ilvl w:val="0"/>
          <w:numId w:val="7"/>
        </w:numPr>
        <w:jc w:val="both"/>
        <w:rPr>
          <w:rFonts w:eastAsia="Calibri" w:cs="Times New Roman"/>
          <w:iCs/>
        </w:rPr>
      </w:pPr>
      <w:r w:rsidRPr="00A6085B">
        <w:rPr>
          <w:rFonts w:eastAsia="Calibri" w:cs="Times New Roman"/>
          <w:iCs/>
        </w:rPr>
        <w:t xml:space="preserve">W programie rewitalizacji znajduje się opis procesu jego przygotowania dokumentujący udział </w:t>
      </w:r>
      <w:r w:rsidRPr="00A6085B">
        <w:rPr>
          <w:rFonts w:eastAsia="Calibri" w:cs="Times New Roman"/>
          <w:iCs/>
        </w:rPr>
        <w:br/>
        <w:t>w nim różnych grup interesariuszy w taki sposób, by możliwe było zweryfikowanie i ocena stopnia osiągniętego uspołecznienia, jak również określenie, w jaki sposób wybrana forma zarządzania programem rewitalizacji realizuje zasadę udziału w niej interesariuszy.</w:t>
      </w:r>
    </w:p>
    <w:p w:rsidR="00A6085B" w:rsidRPr="00A6085B" w:rsidRDefault="00A6085B" w:rsidP="00A6085B">
      <w:pPr>
        <w:numPr>
          <w:ilvl w:val="0"/>
          <w:numId w:val="7"/>
        </w:numPr>
        <w:jc w:val="both"/>
        <w:rPr>
          <w:rFonts w:eastAsia="Calibri" w:cs="Times New Roman"/>
          <w:iCs/>
        </w:rPr>
      </w:pPr>
      <w:r w:rsidRPr="00A6085B">
        <w:rPr>
          <w:rFonts w:eastAsia="Calibri" w:cs="Times New Roman"/>
          <w:iCs/>
        </w:rPr>
        <w:t>Partycypacja społeczna jest wpisana w proces rewitalizacji jako fundament działań na każdym etapie tego procesu (diagnozowanie, programowanie, wdrażanie, monitorowanie). Skonsolidowanie wysiłków różnych podmiotów na rzecz obszaru zdegradowanego jest ważnym warunkiem sukcesu.</w:t>
      </w:r>
    </w:p>
    <w:p w:rsidR="00A6085B" w:rsidRPr="00A6085B" w:rsidRDefault="00A6085B" w:rsidP="00A6085B">
      <w:pPr>
        <w:numPr>
          <w:ilvl w:val="0"/>
          <w:numId w:val="7"/>
        </w:numPr>
        <w:jc w:val="both"/>
        <w:rPr>
          <w:rFonts w:eastAsia="Calibri" w:cs="Times New Roman"/>
          <w:iCs/>
        </w:rPr>
      </w:pPr>
      <w:r w:rsidRPr="00A6085B">
        <w:rPr>
          <w:rFonts w:eastAsia="Calibri" w:cs="Times New Roman"/>
          <w:iCs/>
        </w:rPr>
        <w:t>Partycypacja ukierunkowana jest na możliwie dojrzałe jej formy, a więc nie ograniczające się jedynie do informacji czy konsultacji działań władz lokalnych, ale dążące do zaawansowanych metod partycypacji, takich jak współdecydowanie czy kontrola obywatelska.</w:t>
      </w:r>
    </w:p>
    <w:p w:rsidR="00A6085B" w:rsidRPr="00A6085B" w:rsidRDefault="00A6085B" w:rsidP="00A6085B">
      <w:pPr>
        <w:jc w:val="both"/>
        <w:rPr>
          <w:rFonts w:eastAsia="Calibri" w:cs="Times New Roman"/>
          <w:bCs/>
        </w:rPr>
      </w:pPr>
      <w:r w:rsidRPr="00A6085B">
        <w:rPr>
          <w:rFonts w:eastAsia="Calibri" w:cs="Times New Roman"/>
          <w:b/>
          <w:bCs/>
        </w:rPr>
        <w:t xml:space="preserve">Elementy programów rewitalizacji (minimalny zakres programu rewitalizacji) </w:t>
      </w:r>
      <w:r w:rsidRPr="00A6085B">
        <w:rPr>
          <w:rFonts w:eastAsia="Calibri" w:cs="Times New Roman"/>
          <w:bCs/>
        </w:rPr>
        <w:t xml:space="preserve">/zgodnie </w:t>
      </w:r>
      <w:r w:rsidRPr="00A6085B">
        <w:rPr>
          <w:rFonts w:eastAsia="Calibri" w:cs="Times New Roman"/>
          <w:bCs/>
        </w:rPr>
        <w:br/>
        <w:t>z Wytycznymi w zakresie rewitalizacji programach operacyjnych na lata 2014 – 2020 – Warszawa, 3 lipca 2015 r./</w:t>
      </w:r>
    </w:p>
    <w:p w:rsidR="00A6085B" w:rsidRPr="00A6085B" w:rsidRDefault="00A6085B" w:rsidP="00A6085B">
      <w:pPr>
        <w:rPr>
          <w:rFonts w:eastAsia="Calibri" w:cs="Times New Roman"/>
          <w:u w:val="single"/>
        </w:rPr>
      </w:pPr>
      <w:r w:rsidRPr="00A6085B">
        <w:rPr>
          <w:rFonts w:eastAsia="Calibri" w:cs="Times New Roman"/>
          <w:u w:val="single"/>
        </w:rPr>
        <w:t>1. Program rewitalizacji musi zawierać co najmniej:</w:t>
      </w:r>
    </w:p>
    <w:p w:rsidR="00A6085B" w:rsidRPr="00A6085B" w:rsidRDefault="00A6085B" w:rsidP="00A6085B">
      <w:pPr>
        <w:jc w:val="both"/>
        <w:rPr>
          <w:rFonts w:eastAsia="Calibri" w:cs="Times New Roman"/>
        </w:rPr>
      </w:pPr>
      <w:r w:rsidRPr="00A6085B">
        <w:rPr>
          <w:rFonts w:eastAsia="Calibri" w:cs="Times New Roman"/>
        </w:rPr>
        <w:t>a) opis powiązań programu z dokumentami strategicznymi i planistycznymi miasta/gminy;</w:t>
      </w:r>
    </w:p>
    <w:p w:rsidR="00A6085B" w:rsidRPr="00A6085B" w:rsidRDefault="00A6085B" w:rsidP="00A6085B">
      <w:pPr>
        <w:jc w:val="both"/>
        <w:rPr>
          <w:rFonts w:eastAsia="Calibri" w:cs="Times New Roman"/>
        </w:rPr>
      </w:pPr>
      <w:r w:rsidRPr="00A6085B">
        <w:rPr>
          <w:rFonts w:eastAsia="Calibri" w:cs="Times New Roman"/>
        </w:rPr>
        <w:t>b) diagnozę czynników i zjawisk kryzysowych oraz skalę i charakter potrzeb rewitalizacyjnych;</w:t>
      </w:r>
    </w:p>
    <w:p w:rsidR="00A6085B" w:rsidRPr="00A6085B" w:rsidRDefault="00A6085B" w:rsidP="00A6085B">
      <w:pPr>
        <w:ind w:left="284" w:hanging="284"/>
        <w:jc w:val="both"/>
        <w:rPr>
          <w:rFonts w:eastAsia="Calibri" w:cs="Times New Roman"/>
        </w:rPr>
      </w:pPr>
      <w:r w:rsidRPr="00A6085B">
        <w:rPr>
          <w:rFonts w:eastAsia="Calibri" w:cs="Times New Roman"/>
        </w:rPr>
        <w:t>c) zasięgi przestrzenne obszaru/obszarów zdegradowanych, tj. określenie, w oparciu o inne dokumenty strategiczne miasta/gminy lub diagnozę i identyfikację potrzeb rewitalizacyjnych, terytorium/terytoriów wymagających wsparcia;</w:t>
      </w:r>
    </w:p>
    <w:p w:rsidR="00A6085B" w:rsidRPr="00A6085B" w:rsidRDefault="00A6085B" w:rsidP="00A6085B">
      <w:pPr>
        <w:ind w:left="284" w:hanging="284"/>
        <w:jc w:val="both"/>
        <w:rPr>
          <w:rFonts w:eastAsia="Calibri" w:cs="Times New Roman"/>
        </w:rPr>
      </w:pPr>
      <w:r w:rsidRPr="00A6085B">
        <w:rPr>
          <w:rFonts w:eastAsia="Calibri" w:cs="Times New Roman"/>
        </w:rPr>
        <w:t>d) wizję wyprowadzenia obszaru zdegradowanego ze stanu kryzysowego (planowany efekt rewitalizacji);</w:t>
      </w:r>
    </w:p>
    <w:p w:rsidR="00A6085B" w:rsidRPr="00A6085B" w:rsidRDefault="00A6085B" w:rsidP="00A6085B">
      <w:pPr>
        <w:ind w:left="284" w:hanging="284"/>
        <w:jc w:val="both"/>
        <w:rPr>
          <w:rFonts w:eastAsia="Calibri" w:cs="Times New Roman"/>
        </w:rPr>
      </w:pPr>
      <w:r w:rsidRPr="00A6085B">
        <w:rPr>
          <w:rFonts w:eastAsia="Calibri" w:cs="Times New Roman"/>
        </w:rPr>
        <w:t>e) cele rewitalizacji oraz odpowiadające zidentyfikowanym potrzebom rewitalizacyjnym kierunki działań mających na celu eliminację lub ograniczenie negatywnych zjawisk;</w:t>
      </w:r>
    </w:p>
    <w:p w:rsidR="00A6085B" w:rsidRPr="00A6085B" w:rsidRDefault="00A6085B" w:rsidP="00A6085B">
      <w:pPr>
        <w:ind w:left="284" w:hanging="284"/>
        <w:jc w:val="both"/>
        <w:rPr>
          <w:rFonts w:eastAsia="Calibri" w:cs="Times New Roman"/>
        </w:rPr>
      </w:pPr>
      <w:r w:rsidRPr="00A6085B">
        <w:rPr>
          <w:rFonts w:eastAsia="Calibri" w:cs="Times New Roman"/>
        </w:rPr>
        <w:t>f) listę planowanych podstawowych projektów i przedsięwzięć rewitalizacyjnych wraz z ich opisami zawierającymi, w odniesieniu do każdego projektu/przedsięwzięcia rewitalizacyjnego, co najmniej: nazwę i wskazanie podmiotów go realizujących, zakres realizowanych zadań, lokalizację (miejsce przeprowadzenia danego projektu), szacowaną wartość, prognozowane rezultaty wraz ze sposobem ich oceny i zamierzenia w odniesieniu do celów rewitalizacji;</w:t>
      </w:r>
    </w:p>
    <w:p w:rsidR="00A6085B" w:rsidRPr="00A6085B" w:rsidRDefault="00A6085B" w:rsidP="00A6085B">
      <w:pPr>
        <w:ind w:left="284" w:hanging="284"/>
        <w:jc w:val="both"/>
        <w:rPr>
          <w:rFonts w:eastAsia="Calibri" w:cs="Times New Roman"/>
        </w:rPr>
      </w:pPr>
      <w:r w:rsidRPr="00A6085B">
        <w:rPr>
          <w:rFonts w:eastAsia="Calibri" w:cs="Times New Roman"/>
        </w:rPr>
        <w:lastRenderedPageBreak/>
        <w:t>g) charakterystykę pozostałych rodzajów przedsięwzięć rewitalizacyjnych realizujących kierunki działań, mających na celu eliminację lub ograniczenie negatywnych zjawisk powodujących sytuację kryzysową;</w:t>
      </w:r>
    </w:p>
    <w:p w:rsidR="00A6085B" w:rsidRPr="00A6085B" w:rsidRDefault="00A6085B" w:rsidP="00A6085B">
      <w:pPr>
        <w:ind w:left="284" w:hanging="284"/>
        <w:jc w:val="both"/>
        <w:rPr>
          <w:rFonts w:eastAsia="Calibri" w:cs="Times New Roman"/>
        </w:rPr>
      </w:pPr>
      <w:r w:rsidRPr="00A6085B">
        <w:rPr>
          <w:rFonts w:eastAsia="Calibri" w:cs="Times New Roman"/>
        </w:rPr>
        <w:t>h) mechanizmy zapewnienia komplementarności między poszczególnymi projektami /przedsięwzięciami rewitalizacyjnymi oraz pomiędzy działaniami różnych podmiotów i funduszy na obszarze objętym programem rewitalizacji;</w:t>
      </w:r>
    </w:p>
    <w:p w:rsidR="00A6085B" w:rsidRPr="00A6085B" w:rsidRDefault="00A6085B" w:rsidP="00A6085B">
      <w:pPr>
        <w:ind w:left="284" w:hanging="284"/>
        <w:jc w:val="both"/>
        <w:rPr>
          <w:rFonts w:eastAsia="Calibri" w:cs="Times New Roman"/>
        </w:rPr>
      </w:pPr>
      <w:r w:rsidRPr="00A6085B">
        <w:rPr>
          <w:rFonts w:eastAsia="Calibri" w:cs="Times New Roman"/>
        </w:rPr>
        <w:t xml:space="preserve">i) indykatywne ramy finansowe w odniesieniu do przedsięwzięć, o których mowa w lit. f oraz g, </w:t>
      </w:r>
      <w:r w:rsidRPr="00A6085B">
        <w:rPr>
          <w:rFonts w:eastAsia="Calibri" w:cs="Times New Roman"/>
        </w:rPr>
        <w:br/>
        <w:t>z indykatywnymi wielkościami środków finansowych z różnych źródeł (także spoza funduszy polityki spójności na lata 2014 – 2020 – publiczne i prywatne środki krajowe w celu realizacji zasady dodatkowości środków UE);</w:t>
      </w:r>
    </w:p>
    <w:p w:rsidR="00A6085B" w:rsidRPr="00A6085B" w:rsidRDefault="00A6085B" w:rsidP="00A6085B">
      <w:pPr>
        <w:ind w:left="284" w:hanging="284"/>
        <w:jc w:val="both"/>
        <w:rPr>
          <w:rFonts w:eastAsia="Calibri" w:cs="Times New Roman"/>
        </w:rPr>
      </w:pPr>
      <w:r w:rsidRPr="00A6085B">
        <w:rPr>
          <w:rFonts w:eastAsia="Calibri" w:cs="Times New Roman"/>
        </w:rPr>
        <w:t xml:space="preserve">j) mechanizmy włączenia mieszkańców, przedsiębiorców i innych podmiotów i grup aktywnych </w:t>
      </w:r>
      <w:r w:rsidRPr="00A6085B">
        <w:rPr>
          <w:rFonts w:eastAsia="Calibri" w:cs="Times New Roman"/>
        </w:rPr>
        <w:br/>
        <w:t>na terenie gminy w proces rewitalizacji;</w:t>
      </w:r>
    </w:p>
    <w:p w:rsidR="00A6085B" w:rsidRPr="00A6085B" w:rsidRDefault="00A6085B" w:rsidP="00A6085B">
      <w:pPr>
        <w:jc w:val="both"/>
        <w:rPr>
          <w:rFonts w:eastAsia="Calibri" w:cs="Times New Roman"/>
        </w:rPr>
      </w:pPr>
      <w:r w:rsidRPr="00A6085B">
        <w:rPr>
          <w:rFonts w:eastAsia="Calibri" w:cs="Times New Roman"/>
        </w:rPr>
        <w:t>k) system realizacji (wdrażania) programu rewitalizacji;</w:t>
      </w:r>
    </w:p>
    <w:p w:rsidR="00A6085B" w:rsidRPr="00A6085B" w:rsidRDefault="00A6085B" w:rsidP="00A6085B">
      <w:pPr>
        <w:ind w:left="284" w:hanging="284"/>
        <w:jc w:val="both"/>
        <w:rPr>
          <w:rFonts w:eastAsia="Calibri" w:cs="Times New Roman"/>
        </w:rPr>
      </w:pPr>
      <w:r w:rsidRPr="00A6085B">
        <w:rPr>
          <w:rFonts w:eastAsia="Calibri" w:cs="Times New Roman"/>
        </w:rPr>
        <w:t xml:space="preserve">l) system monitoringu i oceny skuteczności działań i system wprowadzania modyfikacji w reakcji </w:t>
      </w:r>
      <w:r w:rsidRPr="00A6085B">
        <w:rPr>
          <w:rFonts w:eastAsia="Calibri" w:cs="Times New Roman"/>
        </w:rPr>
        <w:br/>
        <w:t>na zmiany w otoczeniu programu.</w:t>
      </w:r>
    </w:p>
    <w:p w:rsidR="00A6085B" w:rsidRPr="00A6085B" w:rsidRDefault="00A6085B" w:rsidP="00A6085B">
      <w:pPr>
        <w:jc w:val="both"/>
        <w:rPr>
          <w:rFonts w:eastAsia="Calibri" w:cs="Times New Roman"/>
          <w:iCs/>
        </w:rPr>
      </w:pPr>
      <w:r w:rsidRPr="00A6085B">
        <w:rPr>
          <w:rFonts w:eastAsia="Calibri" w:cs="Times New Roman"/>
          <w:iCs/>
          <w:u w:val="single"/>
        </w:rPr>
        <w:t>2. Diagnoza</w:t>
      </w:r>
      <w:r w:rsidRPr="00A6085B">
        <w:rPr>
          <w:rFonts w:eastAsia="Calibri" w:cs="Times New Roman"/>
          <w:iCs/>
        </w:rPr>
        <w:t xml:space="preserve"> (o której mowa w pkt 1 lit. b.) zawarta w programie rewitalizacji (o ile nie została dokonana w innym dokumencie strategicznym lub planistycznym gminy przyjętym uchwałą rady gminy) obejmuje analizę wszystkich sfer, a w szczególności pogłębioną analizę kwestii społecznych dla określenia potrzeb podjęcia wyprzedzających działań o charakterze społecznym (dotyczącym rozwiązywania problemów społecznych oraz pobudzającym aktywność lokalną), co pozwoli na przygotowanie działań rewitalizacyjnych o bardziej złożonym, kompleksowym charakterze </w:t>
      </w:r>
      <w:r w:rsidRPr="00A6085B">
        <w:rPr>
          <w:rFonts w:eastAsia="Calibri" w:cs="Times New Roman"/>
          <w:iCs/>
        </w:rPr>
        <w:br/>
        <w:t xml:space="preserve">i oddziaływaniu. Takie działania mają na celu podniesienie skuteczności i trwałości projektów rewitalizacyjnych oraz gotowości i świadomości mieszkańców, co do możliwości partycypacyjnego współdecydowania o obszarze objętym programem rewitalizacji. </w:t>
      </w:r>
    </w:p>
    <w:p w:rsidR="00A6085B" w:rsidRPr="00A6085B" w:rsidRDefault="00A6085B" w:rsidP="00A6085B">
      <w:pPr>
        <w:jc w:val="both"/>
        <w:rPr>
          <w:rFonts w:eastAsia="Calibri" w:cs="Times New Roman"/>
          <w:iCs/>
        </w:rPr>
      </w:pPr>
      <w:r w:rsidRPr="00A6085B">
        <w:rPr>
          <w:rFonts w:eastAsia="Calibri" w:cs="Times New Roman"/>
          <w:iCs/>
          <w:u w:val="single"/>
        </w:rPr>
        <w:t>3. Zasięgi przestrzenne obszaru rewitalizacji</w:t>
      </w:r>
      <w:r w:rsidRPr="00A6085B">
        <w:rPr>
          <w:rFonts w:eastAsia="Calibri" w:cs="Times New Roman"/>
          <w:iCs/>
        </w:rPr>
        <w:t xml:space="preserve"> (o których mowa w pkt 1 lit. c.) dokonywane są ( o ile nie zostały dokonane w innym dokumencie strategicznym lub planistycznym gminy przyjętym uchwałą rady gminy) przy założeniu, że dany program rewitalizacji może obejmować więcej niż jedno terytorium wymagające wsparcia. Zasięg każdego z tych obszarów wyznaczany jest przy założeniu, że jest to terytorium ograniczone przestrzennie, tj. obejmujące tereny o szczególnej koncentracji negatywnych zjawisk istotne dla rozwoju danej gminy. Ustalenie zasięgu przestrzennego obszaru lub obszarów rewitalizacji dokonuje samorząd gminy, w oparciu o rozstrzygnięcia wynikające z innych dokumentów strategicznych lub planistycznych gminy lub w oparciu o indywidualne kryteria </w:t>
      </w:r>
      <w:r w:rsidRPr="00A6085B">
        <w:rPr>
          <w:rFonts w:eastAsia="Calibri" w:cs="Times New Roman"/>
          <w:iCs/>
        </w:rPr>
        <w:br/>
        <w:t xml:space="preserve">( wraz z odniesieniem ich do wartości referencyjnych danej gminy) i przy uwzględnieniu kryteriów wskazanych przez IZ RPO, jeśli IZ RPO takie określi. </w:t>
      </w:r>
    </w:p>
    <w:p w:rsidR="00A6085B" w:rsidRPr="00A6085B" w:rsidRDefault="00A6085B" w:rsidP="00A6085B">
      <w:pPr>
        <w:jc w:val="both"/>
        <w:rPr>
          <w:rFonts w:eastAsia="Calibri" w:cs="Times New Roman"/>
          <w:b/>
          <w:iCs/>
        </w:rPr>
      </w:pPr>
      <w:r w:rsidRPr="00A6085B">
        <w:rPr>
          <w:rFonts w:eastAsia="Calibri" w:cs="Times New Roman"/>
          <w:b/>
          <w:iCs/>
        </w:rPr>
        <w:t>Program rewitalizacji łącznie nie obejmuje więcej niż 20% powierzchni gminy i dotyczy liczby ludności nie większej niż 30% jej mieszkańców.</w:t>
      </w:r>
    </w:p>
    <w:p w:rsidR="00A6085B" w:rsidRPr="00A6085B" w:rsidRDefault="00A6085B" w:rsidP="00A6085B">
      <w:pPr>
        <w:jc w:val="both"/>
        <w:rPr>
          <w:rFonts w:eastAsia="Calibri" w:cs="Times New Roman"/>
          <w:iCs/>
        </w:rPr>
      </w:pPr>
      <w:r w:rsidRPr="00A6085B">
        <w:rPr>
          <w:rFonts w:eastAsia="Calibri" w:cs="Times New Roman"/>
          <w:iCs/>
          <w:u w:val="single"/>
        </w:rPr>
        <w:t>4. Opis planowanych działań rewitalizacyjnych</w:t>
      </w:r>
      <w:r w:rsidRPr="00A6085B">
        <w:rPr>
          <w:rFonts w:eastAsia="Calibri" w:cs="Times New Roman"/>
          <w:iCs/>
        </w:rPr>
        <w:t xml:space="preserve">, które będą realizowane w ramach danego programu rewitalizacji powinien zawierać przede wszystkim: </w:t>
      </w:r>
    </w:p>
    <w:p w:rsidR="00A6085B" w:rsidRPr="00A6085B" w:rsidRDefault="00A6085B" w:rsidP="00A6085B">
      <w:pPr>
        <w:numPr>
          <w:ilvl w:val="0"/>
          <w:numId w:val="8"/>
        </w:numPr>
        <w:contextualSpacing/>
        <w:jc w:val="both"/>
        <w:rPr>
          <w:rFonts w:eastAsia="Calibri" w:cs="Times New Roman"/>
          <w:iCs/>
        </w:rPr>
      </w:pPr>
      <w:r w:rsidRPr="00A6085B">
        <w:rPr>
          <w:rFonts w:eastAsia="Calibri" w:cs="Times New Roman"/>
          <w:iCs/>
        </w:rPr>
        <w:lastRenderedPageBreak/>
        <w:t xml:space="preserve">identyfikację głównych przedsięwzięć rewitalizacyjnych (o których mowa w pkt 1 lit. f), tj. takich, bez których realizacja celów programu rewitalizacji nie będzie w stanie wyjść </w:t>
      </w:r>
      <w:r w:rsidRPr="00A6085B">
        <w:rPr>
          <w:rFonts w:eastAsia="Calibri" w:cs="Times New Roman"/>
          <w:iCs/>
        </w:rPr>
        <w:br/>
        <w:t>z kryzysowej sytuacji;</w:t>
      </w:r>
    </w:p>
    <w:p w:rsidR="00A6085B" w:rsidRPr="00A6085B" w:rsidRDefault="00A6085B" w:rsidP="00A6085B">
      <w:pPr>
        <w:numPr>
          <w:ilvl w:val="0"/>
          <w:numId w:val="8"/>
        </w:numPr>
        <w:contextualSpacing/>
        <w:jc w:val="both"/>
        <w:rPr>
          <w:rFonts w:eastAsia="Calibri" w:cs="Times New Roman"/>
          <w:iCs/>
        </w:rPr>
      </w:pPr>
      <w:r w:rsidRPr="00A6085B">
        <w:rPr>
          <w:rFonts w:eastAsia="Calibri" w:cs="Times New Roman"/>
          <w:iCs/>
        </w:rPr>
        <w:t>charakterystykę (zbiorczy opis) innych, (o których mowa w pkt 1 lit. g.) uzupełniających rodzajów przedsięwzięć rewitalizacyjnych, tj. takich, które ze względu na mniejszą skalę oddziaływania trudno zidentyfikować indywidualnie, a są oczekiwane ze względu na realizację celów programu rewitalizacji. W opisie przedsięwzięć uzupełniających należy wskazać obszary tematyczne, zagadnienia istotne z punktu widzenia potrzeb rewitalizacji;</w:t>
      </w:r>
    </w:p>
    <w:p w:rsidR="00A6085B" w:rsidRPr="00A6085B" w:rsidRDefault="00A6085B" w:rsidP="00A6085B">
      <w:pPr>
        <w:jc w:val="both"/>
        <w:rPr>
          <w:rFonts w:eastAsia="Calibri" w:cs="Times New Roman"/>
          <w:iCs/>
        </w:rPr>
      </w:pPr>
      <w:r w:rsidRPr="00A6085B">
        <w:rPr>
          <w:rFonts w:eastAsia="Calibri" w:cs="Times New Roman"/>
          <w:iCs/>
        </w:rPr>
        <w:t xml:space="preserve">Zarówno przedsięwzięcia główne (podstawowe), jak i uzupełniające (pozostałe), są przedsięwzięciami zaplanowanymi/wynikającymi z programu rewitalizacji. </w:t>
      </w:r>
    </w:p>
    <w:p w:rsidR="00A6085B" w:rsidRPr="00A6085B" w:rsidRDefault="00A6085B" w:rsidP="00A6085B">
      <w:pPr>
        <w:jc w:val="both"/>
        <w:rPr>
          <w:rFonts w:eastAsia="Calibri" w:cs="Times New Roman"/>
          <w:iCs/>
        </w:rPr>
      </w:pPr>
    </w:p>
    <w:p w:rsidR="00A6085B" w:rsidRDefault="00A6085B" w:rsidP="00A76BDB">
      <w:pPr>
        <w:pStyle w:val="Nagwek2"/>
        <w:rPr>
          <w:rFonts w:eastAsiaTheme="minorEastAsia"/>
          <w:lang w:eastAsia="pl-PL"/>
        </w:rPr>
      </w:pPr>
      <w:bookmarkStart w:id="11" w:name="_Toc449963527"/>
      <w:bookmarkStart w:id="12" w:name="_Toc450562469"/>
      <w:r w:rsidRPr="00A6085B">
        <w:rPr>
          <w:rFonts w:eastAsiaTheme="minorEastAsia"/>
          <w:lang w:eastAsia="pl-PL"/>
        </w:rPr>
        <w:t>1.1.3. USTAWA O REWITALIZACJI (9 października 2015r)</w:t>
      </w:r>
      <w:bookmarkEnd w:id="11"/>
      <w:bookmarkEnd w:id="12"/>
    </w:p>
    <w:p w:rsidR="00A76BDB" w:rsidRPr="00A76BDB" w:rsidRDefault="00A76BDB" w:rsidP="00A76BDB">
      <w:pPr>
        <w:rPr>
          <w:lang w:eastAsia="pl-PL"/>
        </w:rPr>
      </w:pPr>
    </w:p>
    <w:p w:rsidR="00A6085B" w:rsidRPr="00A6085B" w:rsidRDefault="00A6085B" w:rsidP="00A6085B">
      <w:pPr>
        <w:jc w:val="both"/>
        <w:rPr>
          <w:rFonts w:eastAsia="Calibri" w:cs="Times New Roman"/>
        </w:rPr>
      </w:pPr>
      <w:r w:rsidRPr="00A6085B">
        <w:rPr>
          <w:rFonts w:eastAsia="Calibri" w:cs="Times New Roman"/>
        </w:rPr>
        <w:t xml:space="preserve">Podpisana w dniu 27 października 2015 r. przez Prezydent RP, Ustawa z dnia 9 października 2015 r. </w:t>
      </w:r>
      <w:r w:rsidRPr="00A6085B">
        <w:rPr>
          <w:rFonts w:eastAsia="Calibri" w:cs="Times New Roman"/>
        </w:rPr>
        <w:br/>
        <w:t>o rewitalizacji, daje samorządom podstawę prawną do podjęcia kompleksowych działań służących rewitalizacji obszarów zdegradowanych</w:t>
      </w:r>
      <w:r w:rsidRPr="00A6085B">
        <w:rPr>
          <w:rFonts w:eastAsia="Calibri" w:cs="Times New Roman"/>
          <w:vertAlign w:val="superscript"/>
        </w:rPr>
        <w:footnoteReference w:id="6"/>
      </w:r>
      <w:r w:rsidRPr="00A6085B">
        <w:rPr>
          <w:rFonts w:eastAsia="Calibri" w:cs="Times New Roman"/>
        </w:rPr>
        <w:t xml:space="preserve">. </w:t>
      </w:r>
    </w:p>
    <w:p w:rsidR="00A6085B" w:rsidRPr="00A6085B" w:rsidRDefault="00A6085B" w:rsidP="00A6085B">
      <w:pPr>
        <w:jc w:val="both"/>
        <w:rPr>
          <w:rFonts w:eastAsia="Calibri" w:cs="Times New Roman"/>
        </w:rPr>
      </w:pPr>
      <w:r w:rsidRPr="00A6085B">
        <w:rPr>
          <w:rFonts w:eastAsia="Calibri" w:cs="Times New Roman"/>
        </w:rPr>
        <w:t>Zgodnie z Ustawą o rewitalizacji za obszary zdegradowane przyjmuje się obszary, na których występuje koncentracja negatywnych zjawisk społecznych, takich jak bezrobocie, ubóstwo, przestępczość, niski poziom edukacji oraz dodatkowo negatywne zjawiska gospodarcze (np. słaba kondycja lokalnych przedsiębiorstw), środowiskowe (np. przekroczenie standardów, jakości środowiska), przestrzenno-funkcjonalne (np. brak dostępu do podstawowych usług albo ich niska jakość) lub techniczne (np. degradacja stanu technicznego obiektów budowalnych).</w:t>
      </w:r>
    </w:p>
    <w:p w:rsidR="00A6085B" w:rsidRPr="00A6085B" w:rsidRDefault="00A6085B" w:rsidP="00A6085B">
      <w:pPr>
        <w:jc w:val="both"/>
        <w:rPr>
          <w:rFonts w:eastAsia="Calibri" w:cs="Times New Roman"/>
        </w:rPr>
      </w:pPr>
      <w:r w:rsidRPr="00A6085B">
        <w:rPr>
          <w:rFonts w:eastAsia="Calibri" w:cs="Times New Roman"/>
        </w:rPr>
        <w:t xml:space="preserve">Jako obszar rewitalizacji określono całość lub część obszaru zdegradowanego, cechujący się szczególną koncentracją negatywnych zjawisk, na którym, z uwagi na istotne znaczenie dla rozwoju gminy, przygotowywana lub prowadzona jest rewitalizacja. </w:t>
      </w:r>
    </w:p>
    <w:p w:rsidR="00A6085B" w:rsidRPr="00A6085B" w:rsidRDefault="00A6085B" w:rsidP="00A6085B">
      <w:pPr>
        <w:jc w:val="both"/>
        <w:rPr>
          <w:rFonts w:eastAsia="Calibri" w:cs="Times New Roman"/>
          <w:b/>
        </w:rPr>
      </w:pPr>
      <w:r w:rsidRPr="00A6085B">
        <w:rPr>
          <w:rFonts w:eastAsia="Calibri" w:cs="Times New Roman"/>
          <w:b/>
        </w:rPr>
        <w:t>Ustawa ogranicza zasięg obszaru rewitalizacji przesądzając, że nie może on obejmować łącznie terenów większych niż 20 % powierzchni gminy oraz zamieszkałych przez więcej niż 30 % mieszkańców gminy, przy czym może być podzielony na podobszary.</w:t>
      </w:r>
    </w:p>
    <w:p w:rsidR="00A6085B" w:rsidRPr="00A6085B" w:rsidRDefault="00A6085B" w:rsidP="00A6085B">
      <w:pPr>
        <w:jc w:val="both"/>
        <w:rPr>
          <w:rFonts w:eastAsia="Calibri" w:cs="Times New Roman"/>
        </w:rPr>
      </w:pPr>
      <w:r w:rsidRPr="00A6085B">
        <w:rPr>
          <w:rFonts w:eastAsia="Calibri" w:cs="Times New Roman"/>
        </w:rPr>
        <w:t xml:space="preserve">Dla obszaru rewitalizacji opracowuje się </w:t>
      </w:r>
      <w:r w:rsidR="00A91EF2">
        <w:rPr>
          <w:rFonts w:eastAsia="Calibri" w:cs="Times New Roman"/>
        </w:rPr>
        <w:t>G</w:t>
      </w:r>
      <w:r w:rsidRPr="00A6085B">
        <w:rPr>
          <w:rFonts w:eastAsia="Calibri" w:cs="Times New Roman"/>
        </w:rPr>
        <w:t xml:space="preserve">minny </w:t>
      </w:r>
      <w:r w:rsidR="00A91EF2">
        <w:rPr>
          <w:rFonts w:eastAsia="Calibri" w:cs="Times New Roman"/>
        </w:rPr>
        <w:t>P</w:t>
      </w:r>
      <w:r w:rsidRPr="00A6085B">
        <w:rPr>
          <w:rFonts w:eastAsia="Calibri" w:cs="Times New Roman"/>
        </w:rPr>
        <w:t>rogram rewitalizacji (GPR), który jest podstawą do stosowania na obszarze rewitalizacji specjalnych rozwiązań ustawowych – Specjalnej Strefy Rewitalizacji (SSR) oraz miejscowego planu rewitalizacji.</w:t>
      </w:r>
    </w:p>
    <w:p w:rsidR="00A6085B" w:rsidRPr="00A6085B" w:rsidRDefault="00A6085B" w:rsidP="00A6085B">
      <w:pPr>
        <w:jc w:val="both"/>
        <w:rPr>
          <w:rFonts w:eastAsia="Calibri" w:cs="Times New Roman"/>
        </w:rPr>
      </w:pPr>
      <w:r w:rsidRPr="00A6085B">
        <w:rPr>
          <w:rFonts w:eastAsia="Calibri" w:cs="Times New Roman"/>
        </w:rPr>
        <w:t xml:space="preserve">GPR przyjmuje </w:t>
      </w:r>
      <w:r w:rsidR="00A91EF2">
        <w:rPr>
          <w:rFonts w:eastAsia="Calibri" w:cs="Times New Roman"/>
        </w:rPr>
        <w:t>Rada G</w:t>
      </w:r>
      <w:r w:rsidRPr="00A6085B">
        <w:rPr>
          <w:rFonts w:eastAsia="Calibri" w:cs="Times New Roman"/>
        </w:rPr>
        <w:t>miny w formie uchwały, jako dokument o charakterze aktu kierownictwa wewnętrznego, wiążący organy gminy w podejmowanych działaniach. GPR zawiera szczegółową analizę obszaru rewitalizacji, cele rewitalizacji oraz odpowiadające im kierunki działań, listę planowanych podstawowych przedsięwzięć rewitalizacyjnych oraz ramy finansowe programu wraz ze wskazaniem źródeł finansowania.</w:t>
      </w:r>
    </w:p>
    <w:p w:rsidR="00A6085B" w:rsidRPr="00A6085B" w:rsidRDefault="00A6085B" w:rsidP="00A6085B">
      <w:pPr>
        <w:jc w:val="both"/>
        <w:rPr>
          <w:rFonts w:eastAsia="Calibri" w:cs="Times New Roman"/>
        </w:rPr>
      </w:pPr>
      <w:r w:rsidRPr="00A6085B">
        <w:rPr>
          <w:rFonts w:eastAsia="Calibri" w:cs="Times New Roman"/>
        </w:rPr>
        <w:lastRenderedPageBreak/>
        <w:t>Specjalna Strefę Rewitalizacji (SSR) ustanawia rada gminy w drodze uchwały stanowiącej akt prawa miejscowego. Strefa jest obszarem stosowania szczególnych norm prawnych z zakresu planowania przestrzennego, gospodarki nieruchomościami, mieszkalnictwa, prawa podatkowego oraz cywilnego.</w:t>
      </w:r>
    </w:p>
    <w:p w:rsidR="00A6085B" w:rsidRPr="00A6085B" w:rsidRDefault="00A6085B" w:rsidP="00A6085B">
      <w:pPr>
        <w:jc w:val="both"/>
        <w:rPr>
          <w:rFonts w:eastAsia="Calibri" w:cs="Times New Roman"/>
        </w:rPr>
      </w:pPr>
      <w:r w:rsidRPr="00A6085B">
        <w:rPr>
          <w:rFonts w:eastAsia="Calibri" w:cs="Times New Roman"/>
        </w:rPr>
        <w:t>Ustawa przewiduje również szczególną formę miejscowego planu zagospodarowania przestrzennego - miejscowy plan rewitalizacji, który może być uchwalony wyłącznie dla obszaru rewitalizacji wyznaczonego w drodze uchwały rady gminy.</w:t>
      </w:r>
    </w:p>
    <w:p w:rsidR="00A6085B" w:rsidRPr="00A6085B" w:rsidRDefault="00A6085B" w:rsidP="00A6085B">
      <w:pPr>
        <w:jc w:val="both"/>
        <w:rPr>
          <w:rFonts w:eastAsia="Calibri" w:cs="Times New Roman"/>
        </w:rPr>
      </w:pPr>
      <w:r w:rsidRPr="00A6085B">
        <w:rPr>
          <w:rFonts w:eastAsia="Calibri" w:cs="Times New Roman"/>
        </w:rPr>
        <w:t>Ustawa o rewitalizacji z dnia 9 października 2015 r. ogłoszona w Dzienniku Ustaw Rzeczypospolitej Polskiej, Poz. 1777 3 listopada 2015 r., weszła w życie po 14 dniach, za wyjątkiem art. 37, który wejdzie w życie 1 stycznia 2016 r.</w:t>
      </w:r>
      <w:r w:rsidRPr="00A6085B">
        <w:rPr>
          <w:rFonts w:eastAsia="Calibri" w:cs="Times New Roman"/>
          <w:vertAlign w:val="superscript"/>
        </w:rPr>
        <w:footnoteReference w:id="7"/>
      </w:r>
      <w:r w:rsidRPr="00A6085B">
        <w:rPr>
          <w:rFonts w:eastAsia="Calibri" w:cs="Times New Roman"/>
        </w:rPr>
        <w:t xml:space="preserve"> </w:t>
      </w:r>
    </w:p>
    <w:p w:rsidR="00A6085B" w:rsidRPr="00A6085B" w:rsidRDefault="00A6085B" w:rsidP="00A6085B">
      <w:pPr>
        <w:jc w:val="both"/>
        <w:rPr>
          <w:rFonts w:eastAsia="Calibri" w:cs="Times New Roman"/>
          <w:b/>
        </w:rPr>
      </w:pPr>
      <w:bookmarkStart w:id="13" w:name="_Toc401136180"/>
      <w:bookmarkStart w:id="14" w:name="_Toc420589757"/>
      <w:bookmarkStart w:id="15" w:name="_Toc432515188"/>
      <w:r w:rsidRPr="00A6085B">
        <w:rPr>
          <w:rFonts w:eastAsia="Calibri" w:cs="Times New Roman"/>
          <w:b/>
        </w:rPr>
        <w:t>Ustawa określa zasady oraz tryb przygotowania, prowadzenia i oceny rewitalizacji</w:t>
      </w:r>
      <w:r w:rsidRPr="00A6085B">
        <w:rPr>
          <w:rFonts w:eastAsia="Calibri" w:cs="Times New Roman"/>
          <w:b/>
          <w:vertAlign w:val="superscript"/>
        </w:rPr>
        <w:footnoteReference w:id="8"/>
      </w:r>
      <w:r w:rsidRPr="00A6085B">
        <w:rPr>
          <w:rFonts w:eastAsia="Calibri" w:cs="Times New Roman"/>
          <w:b/>
        </w:rPr>
        <w:t>, poszczególne Rozdziały obejmują m.in.:</w:t>
      </w:r>
    </w:p>
    <w:p w:rsidR="00A6085B" w:rsidRPr="00A6085B" w:rsidRDefault="00A6085B" w:rsidP="00A6085B">
      <w:pPr>
        <w:numPr>
          <w:ilvl w:val="0"/>
          <w:numId w:val="9"/>
        </w:numPr>
        <w:contextualSpacing/>
        <w:jc w:val="both"/>
        <w:rPr>
          <w:rFonts w:eastAsia="Calibri" w:cs="Times New Roman"/>
          <w:i/>
          <w:u w:val="single"/>
        </w:rPr>
      </w:pPr>
      <w:r w:rsidRPr="00A6085B">
        <w:rPr>
          <w:rFonts w:eastAsia="Calibri" w:cs="Times New Roman"/>
          <w:i/>
          <w:u w:val="single"/>
        </w:rPr>
        <w:t>Rozdział 1 Przepisy ogólne, art. 2.1, 2.2 podaje definicję i interesariuszy rewitalizacji:</w:t>
      </w:r>
    </w:p>
    <w:p w:rsidR="00A6085B" w:rsidRPr="00A6085B" w:rsidRDefault="00A6085B" w:rsidP="00A6085B">
      <w:pPr>
        <w:jc w:val="both"/>
        <w:rPr>
          <w:rFonts w:eastAsia="Calibri" w:cs="Times New Roman"/>
        </w:rPr>
      </w:pPr>
      <w:r w:rsidRPr="00A6085B">
        <w:rPr>
          <w:rFonts w:eastAsia="Calibri" w:cs="Times New Roman"/>
        </w:rPr>
        <w:t xml:space="preserve">Rewitalizacja stanowi proces wyprowadzania ze stanu kryzysowego obszarów zdegradowanych, prowadzony w sposób kompleksowy, poprzez zintegrowane działania na rzecz lokalnej społeczności, przestrzeni i gospodarki, skoncentrowane terytorialnie, prowadzone przez interesariuszy rewitalizacji na podstawie </w:t>
      </w:r>
      <w:r w:rsidR="00D31D10">
        <w:rPr>
          <w:rFonts w:eastAsia="Calibri" w:cs="Times New Roman"/>
        </w:rPr>
        <w:t>G</w:t>
      </w:r>
      <w:r w:rsidRPr="00A6085B">
        <w:rPr>
          <w:rFonts w:eastAsia="Calibri" w:cs="Times New Roman"/>
        </w:rPr>
        <w:t xml:space="preserve">minnego </w:t>
      </w:r>
      <w:r w:rsidR="00D31D10">
        <w:rPr>
          <w:rFonts w:eastAsia="Calibri" w:cs="Times New Roman"/>
        </w:rPr>
        <w:t>P</w:t>
      </w:r>
      <w:r w:rsidRPr="00A6085B">
        <w:rPr>
          <w:rFonts w:eastAsia="Calibri" w:cs="Times New Roman"/>
        </w:rPr>
        <w:t>rogramu rewitalizacji.</w:t>
      </w:r>
    </w:p>
    <w:p w:rsidR="00A6085B" w:rsidRPr="00A6085B" w:rsidRDefault="00A6085B" w:rsidP="00A6085B">
      <w:pPr>
        <w:jc w:val="both"/>
        <w:rPr>
          <w:rFonts w:eastAsia="Calibri" w:cs="Times New Roman"/>
        </w:rPr>
      </w:pPr>
      <w:r w:rsidRPr="00A6085B">
        <w:rPr>
          <w:rFonts w:eastAsia="Calibri" w:cs="Times New Roman"/>
        </w:rPr>
        <w:t xml:space="preserve">Interesariuszami rewitalizacji są w szczególności: </w:t>
      </w:r>
    </w:p>
    <w:p w:rsidR="00A6085B" w:rsidRPr="00A6085B" w:rsidRDefault="00A6085B" w:rsidP="00A6085B">
      <w:pPr>
        <w:ind w:left="284" w:hanging="284"/>
        <w:jc w:val="both"/>
        <w:rPr>
          <w:rFonts w:eastAsia="Calibri" w:cs="Times New Roman"/>
        </w:rPr>
      </w:pPr>
      <w:r w:rsidRPr="00A6085B">
        <w:rPr>
          <w:rFonts w:eastAsia="Calibri" w:cs="Times New Roman"/>
        </w:rPr>
        <w:t xml:space="preserve">1) mieszkańcy obszaru rewitalizacji oraz właściciele, użytkownicy wieczyści nieruchomości </w:t>
      </w:r>
      <w:r w:rsidRPr="00A6085B">
        <w:rPr>
          <w:rFonts w:eastAsia="Calibri" w:cs="Times New Roman"/>
        </w:rPr>
        <w:br/>
        <w:t xml:space="preserve">i podmioty zarządzające nieruchomościami znajdującymi się na tym obszarze, w tym spółdzielnie mieszkaniowe, wspólnoty mieszkaniowe i towarzystwa budownictwa społecznego; </w:t>
      </w:r>
    </w:p>
    <w:p w:rsidR="00A6085B" w:rsidRPr="00A6085B" w:rsidRDefault="00A6085B" w:rsidP="00A6085B">
      <w:pPr>
        <w:jc w:val="both"/>
        <w:rPr>
          <w:rFonts w:eastAsia="Calibri" w:cs="Times New Roman"/>
        </w:rPr>
      </w:pPr>
      <w:r w:rsidRPr="00A6085B">
        <w:rPr>
          <w:rFonts w:eastAsia="Calibri" w:cs="Times New Roman"/>
        </w:rPr>
        <w:t xml:space="preserve">2) mieszkańcy gminy inni niż wymienieni w pkt 1; </w:t>
      </w:r>
    </w:p>
    <w:p w:rsidR="00A6085B" w:rsidRPr="00A6085B" w:rsidRDefault="00A6085B" w:rsidP="00A6085B">
      <w:pPr>
        <w:jc w:val="both"/>
        <w:rPr>
          <w:rFonts w:eastAsia="Calibri" w:cs="Times New Roman"/>
        </w:rPr>
      </w:pPr>
      <w:r w:rsidRPr="00A6085B">
        <w:rPr>
          <w:rFonts w:eastAsia="Calibri" w:cs="Times New Roman"/>
        </w:rPr>
        <w:t xml:space="preserve">3) podmioty prowadzące lub zamierzające prowadzić na obszarze gminy działalność gospodarczą; </w:t>
      </w:r>
    </w:p>
    <w:p w:rsidR="00A6085B" w:rsidRPr="00A6085B" w:rsidRDefault="00A6085B" w:rsidP="00A6085B">
      <w:pPr>
        <w:ind w:left="284" w:hanging="284"/>
        <w:jc w:val="both"/>
        <w:rPr>
          <w:rFonts w:eastAsia="Calibri" w:cs="Times New Roman"/>
        </w:rPr>
      </w:pPr>
      <w:r w:rsidRPr="00A6085B">
        <w:rPr>
          <w:rFonts w:eastAsia="Calibri" w:cs="Times New Roman"/>
        </w:rPr>
        <w:t xml:space="preserve">4) podmioty prowadzące lub zamierzające prowadzić na obszarze gminy działalność społeczną, w tym organizacje pozarządowe i grupy nieformalne; </w:t>
      </w:r>
    </w:p>
    <w:p w:rsidR="00A6085B" w:rsidRPr="00A6085B" w:rsidRDefault="00A6085B" w:rsidP="00A6085B">
      <w:pPr>
        <w:jc w:val="both"/>
        <w:rPr>
          <w:rFonts w:eastAsia="Calibri" w:cs="Times New Roman"/>
        </w:rPr>
      </w:pPr>
      <w:r w:rsidRPr="00A6085B">
        <w:rPr>
          <w:rFonts w:eastAsia="Calibri" w:cs="Times New Roman"/>
        </w:rPr>
        <w:t xml:space="preserve">5) jednostki samorządu terytorialnego i ich jednostki organizacyjne; </w:t>
      </w:r>
    </w:p>
    <w:p w:rsidR="00A6085B" w:rsidRPr="00A6085B" w:rsidRDefault="00A6085B" w:rsidP="00A6085B">
      <w:pPr>
        <w:jc w:val="both"/>
        <w:rPr>
          <w:rFonts w:eastAsia="Calibri" w:cs="Times New Roman"/>
        </w:rPr>
      </w:pPr>
      <w:r w:rsidRPr="00A6085B">
        <w:rPr>
          <w:rFonts w:eastAsia="Calibri" w:cs="Times New Roman"/>
        </w:rPr>
        <w:t xml:space="preserve">6) organy władzy publicznej; </w:t>
      </w:r>
    </w:p>
    <w:p w:rsidR="00A6085B" w:rsidRPr="00A6085B" w:rsidRDefault="00A6085B" w:rsidP="00A6085B">
      <w:pPr>
        <w:ind w:left="284" w:hanging="284"/>
        <w:jc w:val="both"/>
        <w:rPr>
          <w:rFonts w:eastAsia="Calibri" w:cs="Times New Roman"/>
        </w:rPr>
      </w:pPr>
      <w:r w:rsidRPr="00A6085B">
        <w:rPr>
          <w:rFonts w:eastAsia="Calibri" w:cs="Times New Roman"/>
        </w:rPr>
        <w:t>7) podmioty, inne niż wymienione w pkt 6, realizujące na obszarze rewitalizacji uprawnienia Skarbu Państwa;</w:t>
      </w:r>
    </w:p>
    <w:p w:rsidR="00A6085B" w:rsidRPr="00A6085B" w:rsidRDefault="00A6085B" w:rsidP="00A6085B">
      <w:pPr>
        <w:numPr>
          <w:ilvl w:val="0"/>
          <w:numId w:val="9"/>
        </w:numPr>
        <w:contextualSpacing/>
        <w:jc w:val="both"/>
        <w:rPr>
          <w:rFonts w:eastAsia="Calibri" w:cs="Times New Roman"/>
          <w:i/>
          <w:u w:val="single"/>
        </w:rPr>
      </w:pPr>
      <w:r w:rsidRPr="00A6085B">
        <w:rPr>
          <w:rFonts w:eastAsia="Calibri" w:cs="Times New Roman"/>
          <w:i/>
          <w:u w:val="single"/>
        </w:rPr>
        <w:t>Rozdział 2 Partycypacja społeczna:</w:t>
      </w:r>
    </w:p>
    <w:p w:rsidR="00A6085B" w:rsidRPr="00A6085B" w:rsidRDefault="00A6085B" w:rsidP="00A6085B">
      <w:pPr>
        <w:jc w:val="both"/>
        <w:rPr>
          <w:rFonts w:eastAsia="Calibri" w:cs="Times New Roman"/>
        </w:rPr>
      </w:pPr>
      <w:r w:rsidRPr="00A6085B">
        <w:rPr>
          <w:rFonts w:eastAsia="Calibri" w:cs="Times New Roman"/>
        </w:rPr>
        <w:t xml:space="preserve">Według ustawy partycypacja społeczna obejmuje przygotowanie, prowadzenie i ocenę rewitalizacji </w:t>
      </w:r>
      <w:r w:rsidRPr="00A6085B">
        <w:rPr>
          <w:rFonts w:eastAsia="Calibri" w:cs="Times New Roman"/>
        </w:rPr>
        <w:br/>
        <w:t xml:space="preserve">w sposób zapewniający aktywny udział interesariuszy, w tym poprzez uczestnictwo </w:t>
      </w:r>
      <w:r w:rsidRPr="00A6085B">
        <w:rPr>
          <w:rFonts w:eastAsia="Calibri" w:cs="Times New Roman"/>
        </w:rPr>
        <w:br/>
        <w:t>w konsultacjach społecznych oraz w pracach Komitetu Rewitalizacji.</w:t>
      </w:r>
    </w:p>
    <w:p w:rsidR="00A6085B" w:rsidRPr="00A6085B" w:rsidRDefault="00A6085B" w:rsidP="00A6085B">
      <w:pPr>
        <w:jc w:val="both"/>
        <w:rPr>
          <w:rFonts w:eastAsia="Calibri" w:cs="Times New Roman"/>
        </w:rPr>
      </w:pPr>
      <w:r w:rsidRPr="00A6085B">
        <w:rPr>
          <w:rFonts w:eastAsia="Calibri" w:cs="Times New Roman"/>
        </w:rPr>
        <w:lastRenderedPageBreak/>
        <w:t xml:space="preserve">Przygotowanie, prowadzenie i ocena rewitalizacji polegają w szczególności na: </w:t>
      </w:r>
    </w:p>
    <w:p w:rsidR="00A6085B" w:rsidRPr="00A6085B" w:rsidRDefault="00A6085B" w:rsidP="00A6085B">
      <w:pPr>
        <w:ind w:left="284" w:hanging="284"/>
        <w:jc w:val="both"/>
        <w:rPr>
          <w:rFonts w:eastAsia="Calibri" w:cs="Times New Roman"/>
        </w:rPr>
      </w:pPr>
      <w:r w:rsidRPr="00A6085B">
        <w:rPr>
          <w:rFonts w:eastAsia="Calibri" w:cs="Times New Roman"/>
        </w:rPr>
        <w:t xml:space="preserve">1) poznaniu potrzeb i oczekiwań interesariuszy oraz dążeniu do spójności planowanych działań z tymi potrzebami i oczekiwaniami; </w:t>
      </w:r>
    </w:p>
    <w:p w:rsidR="00A6085B" w:rsidRPr="00A6085B" w:rsidRDefault="00A6085B" w:rsidP="00A6085B">
      <w:pPr>
        <w:ind w:left="284" w:hanging="284"/>
        <w:jc w:val="both"/>
        <w:rPr>
          <w:rFonts w:eastAsia="Calibri" w:cs="Times New Roman"/>
        </w:rPr>
      </w:pPr>
      <w:r w:rsidRPr="00A6085B">
        <w:rPr>
          <w:rFonts w:eastAsia="Calibri" w:cs="Times New Roman"/>
        </w:rPr>
        <w:t xml:space="preserve">2) prowadzeniu, skierowanych do interesariuszy, działań edukacyjnych i informacyjnych o procesie rewitalizacji, w tym o istocie, celach, zasadach prowadzenia rewitalizacji, wynikających z ustawy, </w:t>
      </w:r>
      <w:r w:rsidRPr="00A6085B">
        <w:rPr>
          <w:rFonts w:eastAsia="Calibri" w:cs="Times New Roman"/>
        </w:rPr>
        <w:br/>
        <w:t xml:space="preserve">oraz o przebiegu tego procesu; </w:t>
      </w:r>
    </w:p>
    <w:p w:rsidR="00A6085B" w:rsidRPr="00A6085B" w:rsidRDefault="00A6085B" w:rsidP="00A6085B">
      <w:pPr>
        <w:ind w:left="284" w:hanging="284"/>
        <w:jc w:val="both"/>
        <w:rPr>
          <w:rFonts w:eastAsia="Calibri" w:cs="Times New Roman"/>
        </w:rPr>
      </w:pPr>
      <w:r w:rsidRPr="00A6085B">
        <w:rPr>
          <w:rFonts w:eastAsia="Calibri" w:cs="Times New Roman"/>
        </w:rPr>
        <w:t xml:space="preserve">3) inicjowaniu, umożliwianiu i wspieraniu działań służących rozwijaniu dialogu między interesariuszami oraz ich integracji wokół rewitalizacji; </w:t>
      </w:r>
    </w:p>
    <w:p w:rsidR="00A6085B" w:rsidRPr="00A6085B" w:rsidRDefault="00A6085B" w:rsidP="00A6085B">
      <w:pPr>
        <w:tabs>
          <w:tab w:val="left" w:pos="284"/>
        </w:tabs>
        <w:ind w:left="284" w:hanging="284"/>
        <w:jc w:val="both"/>
        <w:rPr>
          <w:rFonts w:eastAsia="Calibri" w:cs="Times New Roman"/>
        </w:rPr>
      </w:pPr>
      <w:r w:rsidRPr="00A6085B">
        <w:rPr>
          <w:rFonts w:eastAsia="Calibri" w:cs="Times New Roman"/>
        </w:rPr>
        <w:t xml:space="preserve">4) zapewnieniu udziału interesariuszy w przygotowaniu dokumentów dotyczących rewitalizacji, </w:t>
      </w:r>
      <w:r w:rsidRPr="00A6085B">
        <w:rPr>
          <w:rFonts w:eastAsia="Calibri" w:cs="Times New Roman"/>
        </w:rPr>
        <w:br/>
        <w:t xml:space="preserve">w szczególności </w:t>
      </w:r>
      <w:r w:rsidR="00D31D10" w:rsidRPr="00A6085B">
        <w:rPr>
          <w:rFonts w:eastAsia="Calibri" w:cs="Times New Roman"/>
        </w:rPr>
        <w:t xml:space="preserve">Gminnego Programu </w:t>
      </w:r>
      <w:r w:rsidRPr="00A6085B">
        <w:rPr>
          <w:rFonts w:eastAsia="Calibri" w:cs="Times New Roman"/>
        </w:rPr>
        <w:t xml:space="preserve">rewitalizacji; </w:t>
      </w:r>
    </w:p>
    <w:p w:rsidR="00A6085B" w:rsidRPr="00A6085B" w:rsidRDefault="00A6085B" w:rsidP="00A6085B">
      <w:pPr>
        <w:ind w:left="284" w:hanging="284"/>
        <w:jc w:val="both"/>
        <w:rPr>
          <w:rFonts w:eastAsia="Calibri" w:cs="Times New Roman"/>
        </w:rPr>
      </w:pPr>
      <w:r w:rsidRPr="00A6085B">
        <w:rPr>
          <w:rFonts w:eastAsia="Calibri" w:cs="Times New Roman"/>
        </w:rPr>
        <w:t xml:space="preserve">5) wspieraniu inicjatyw zmierzających do zwiększania udziału interesariuszy w przygotowaniu </w:t>
      </w:r>
      <w:r w:rsidRPr="00A6085B">
        <w:rPr>
          <w:rFonts w:eastAsia="Calibri" w:cs="Times New Roman"/>
        </w:rPr>
        <w:br/>
        <w:t xml:space="preserve">i realizacji </w:t>
      </w:r>
      <w:r w:rsidR="00D31D10" w:rsidRPr="00A6085B">
        <w:rPr>
          <w:rFonts w:eastAsia="Calibri" w:cs="Times New Roman"/>
        </w:rPr>
        <w:t xml:space="preserve">Gminnego Programu </w:t>
      </w:r>
      <w:r w:rsidRPr="00A6085B">
        <w:rPr>
          <w:rFonts w:eastAsia="Calibri" w:cs="Times New Roman"/>
        </w:rPr>
        <w:t xml:space="preserve">rewitalizacji; </w:t>
      </w:r>
    </w:p>
    <w:p w:rsidR="00A6085B" w:rsidRPr="00A6085B" w:rsidRDefault="00A6085B" w:rsidP="00A6085B">
      <w:pPr>
        <w:ind w:left="284" w:hanging="284"/>
        <w:jc w:val="both"/>
        <w:rPr>
          <w:rFonts w:eastAsia="Calibri" w:cs="Times New Roman"/>
        </w:rPr>
      </w:pPr>
      <w:r w:rsidRPr="00A6085B">
        <w:rPr>
          <w:rFonts w:eastAsia="Calibri" w:cs="Times New Roman"/>
        </w:rPr>
        <w:t xml:space="preserve">6) zapewnieniu w czasie przygotowania, prowadzenia i oceny rewitalizacji możliwości wypowiedzenia się przez interesariuszy. </w:t>
      </w:r>
    </w:p>
    <w:p w:rsidR="00A6085B" w:rsidRPr="00A6085B" w:rsidRDefault="00A6085B" w:rsidP="00A6085B">
      <w:pPr>
        <w:jc w:val="both"/>
        <w:rPr>
          <w:rFonts w:eastAsia="Calibri" w:cs="Times New Roman"/>
        </w:rPr>
      </w:pPr>
      <w:r w:rsidRPr="00A6085B">
        <w:rPr>
          <w:rFonts w:eastAsia="Calibri" w:cs="Times New Roman"/>
        </w:rPr>
        <w:t>Konsultacje społeczne prowadzi wójt, burmistrz albo prezydent miasta. O ich rozpoczęciu oraz formach, w jakich będą prowadzone, powiadamia się nie później niż w terminie 7 dni przed dniem ich przeprowadzenia, w sposób zapewniający udział w nich możliwie szerokiego grona interesariuszy, co najmniej poprzez obwieszczenie, ogłoszenie w sposób zwyczajowo przyjęty w danej gminie oraz ogłoszenie na stronie podmiotowej gminy w Biuletynie Informacji Publicznej.</w:t>
      </w:r>
    </w:p>
    <w:p w:rsidR="00A6085B" w:rsidRPr="00A6085B" w:rsidRDefault="00A6085B" w:rsidP="00A6085B">
      <w:pPr>
        <w:jc w:val="both"/>
        <w:rPr>
          <w:rFonts w:eastAsia="Calibri" w:cs="Times New Roman"/>
        </w:rPr>
      </w:pPr>
      <w:r w:rsidRPr="00A6085B">
        <w:rPr>
          <w:rFonts w:eastAsia="Calibri" w:cs="Times New Roman"/>
        </w:rPr>
        <w:t xml:space="preserve">Formami konsultacji społecznych są: </w:t>
      </w:r>
    </w:p>
    <w:p w:rsidR="00A6085B" w:rsidRPr="00A6085B" w:rsidRDefault="00A6085B" w:rsidP="00A6085B">
      <w:pPr>
        <w:ind w:left="284" w:hanging="284"/>
        <w:jc w:val="both"/>
        <w:rPr>
          <w:rFonts w:eastAsia="Calibri" w:cs="Times New Roman"/>
        </w:rPr>
      </w:pPr>
      <w:r w:rsidRPr="00A6085B">
        <w:rPr>
          <w:rFonts w:eastAsia="Calibri" w:cs="Times New Roman"/>
        </w:rPr>
        <w:t xml:space="preserve">1) zbieranie uwag w postaci papierowej lub elektronicznej, w tym za pomocą środków komunikacji elektronicznej, w szczególności poczty elektronicznej lub formularzy zamieszczonych na stronie podmiotowej gminy w Biuletynie Informacji Publicznej; </w:t>
      </w:r>
    </w:p>
    <w:p w:rsidR="00A6085B" w:rsidRPr="00A6085B" w:rsidRDefault="00A6085B" w:rsidP="00A6085B">
      <w:pPr>
        <w:ind w:left="284" w:hanging="284"/>
        <w:jc w:val="both"/>
        <w:rPr>
          <w:rFonts w:eastAsia="Calibri" w:cs="Times New Roman"/>
        </w:rPr>
      </w:pPr>
      <w:r w:rsidRPr="00A6085B">
        <w:rPr>
          <w:rFonts w:eastAsia="Calibri" w:cs="Times New Roman"/>
        </w:rPr>
        <w:t xml:space="preserve">2) spotkania, debaty, warsztaty, spacery studyjne, ankiety, wywiady, wykorzystanie grup przedstawicielskich lub zbieranie uwag ustnych. </w:t>
      </w:r>
    </w:p>
    <w:p w:rsidR="00A6085B" w:rsidRPr="00A6085B" w:rsidRDefault="00A6085B" w:rsidP="00A6085B">
      <w:pPr>
        <w:jc w:val="both"/>
        <w:rPr>
          <w:rFonts w:eastAsia="Calibri" w:cs="Times New Roman"/>
        </w:rPr>
      </w:pPr>
      <w:r w:rsidRPr="00A6085B">
        <w:rPr>
          <w:rFonts w:eastAsia="Calibri" w:cs="Times New Roman"/>
        </w:rPr>
        <w:t xml:space="preserve">Konsultacje społeczne prowadzi się w sposób ułatwiający zrozumienie prezentowanych treści </w:t>
      </w:r>
      <w:r w:rsidRPr="00A6085B">
        <w:rPr>
          <w:rFonts w:eastAsia="Calibri" w:cs="Times New Roman"/>
        </w:rPr>
        <w:br/>
        <w:t xml:space="preserve">i odniesienie się do nich, a w przypadku gdy jest to uzasadnione specyfiką konsultowanych treści, </w:t>
      </w:r>
      <w:r w:rsidRPr="00A6085B">
        <w:rPr>
          <w:rFonts w:eastAsia="Calibri" w:cs="Times New Roman"/>
        </w:rPr>
        <w:br/>
        <w:t>z użyciem wizualizacji oraz sporządzonych w języku niespecjalistycznym skrótów i zestawień informacji zawartych w dokumentach poddawanych konsultacjom.</w:t>
      </w:r>
    </w:p>
    <w:p w:rsidR="00A6085B" w:rsidRPr="00A6085B" w:rsidRDefault="00A6085B" w:rsidP="00A6085B">
      <w:pPr>
        <w:jc w:val="both"/>
        <w:rPr>
          <w:rFonts w:eastAsia="Calibri" w:cs="Times New Roman"/>
        </w:rPr>
      </w:pPr>
      <w:r w:rsidRPr="00A6085B">
        <w:rPr>
          <w:rFonts w:eastAsia="Calibri" w:cs="Times New Roman"/>
        </w:rPr>
        <w:t>Komitet Rewitalizacji stanowi forum współpracy i dialogu interesariuszy z organami gminy ·</w:t>
      </w:r>
      <w:r w:rsidRPr="00A6085B">
        <w:rPr>
          <w:rFonts w:eastAsia="Calibri" w:cs="Times New Roman"/>
        </w:rPr>
        <w:br/>
        <w:t xml:space="preserve">w sprawach dotyczących przygotowania, prowadzenia i oceny rewitalizacji oraz pełni funkcję opiniodawczo-doradczą wójta, burmistrza albo prezydenta miasta. Dopuszcza się powołanie osobnych Komitetów Rewitalizacji dla wyznaczonych podobszarów rewitalizacji. Obsługę organizacyjną Komitetu Rewitalizacji zapewnia wójt, burmistrz albo prezydent miasta. </w:t>
      </w:r>
    </w:p>
    <w:p w:rsidR="00A6085B" w:rsidRPr="00A6085B" w:rsidRDefault="00A6085B" w:rsidP="00A6085B">
      <w:pPr>
        <w:numPr>
          <w:ilvl w:val="0"/>
          <w:numId w:val="9"/>
        </w:numPr>
        <w:contextualSpacing/>
        <w:jc w:val="both"/>
        <w:rPr>
          <w:rFonts w:eastAsia="Calibri" w:cs="Times New Roman"/>
          <w:i/>
          <w:u w:val="single"/>
        </w:rPr>
      </w:pPr>
      <w:r w:rsidRPr="00A6085B">
        <w:rPr>
          <w:rFonts w:eastAsia="Calibri" w:cs="Times New Roman"/>
          <w:i/>
          <w:u w:val="single"/>
        </w:rPr>
        <w:t xml:space="preserve">Rozdział 3 Obszar zdegradowany i obszar rewitalizacji: </w:t>
      </w:r>
    </w:p>
    <w:p w:rsidR="00A6085B" w:rsidRPr="00A6085B" w:rsidRDefault="00A6085B" w:rsidP="00A6085B">
      <w:pPr>
        <w:jc w:val="both"/>
        <w:rPr>
          <w:rFonts w:eastAsia="Calibri" w:cs="Times New Roman"/>
        </w:rPr>
      </w:pPr>
      <w:r w:rsidRPr="00A6085B">
        <w:rPr>
          <w:rFonts w:eastAsia="Calibri" w:cs="Times New Roman"/>
        </w:rPr>
        <w:lastRenderedPageBreak/>
        <w:t xml:space="preserve">Obszar gminy znajdujący się w stanie kryzysowym z powodu koncentracji negatywnych zjawisk społecznych, w szczególności bezrobocia, ubóstwa, przestępczości, niskiego poziomu edukacji lub kapitału społecznego, a także niewystarczającego poziomu uczestnictwa w życiu publicznym </w:t>
      </w:r>
      <w:r w:rsidRPr="00A6085B">
        <w:rPr>
          <w:rFonts w:eastAsia="Calibri" w:cs="Times New Roman"/>
        </w:rPr>
        <w:br/>
        <w:t xml:space="preserve">i kulturalnym, można wyznaczyć, jako obszar zdegradowany w przypadku występowania na nim ponadto, co najmniej jednego z następujących negatywnych zjawisk: </w:t>
      </w:r>
    </w:p>
    <w:p w:rsidR="00A6085B" w:rsidRPr="00A6085B" w:rsidRDefault="00A6085B" w:rsidP="00A6085B">
      <w:pPr>
        <w:ind w:left="284" w:hanging="284"/>
        <w:jc w:val="both"/>
        <w:rPr>
          <w:rFonts w:eastAsia="Calibri" w:cs="Times New Roman"/>
        </w:rPr>
      </w:pPr>
      <w:r w:rsidRPr="00A6085B">
        <w:rPr>
          <w:rFonts w:eastAsia="Calibri" w:cs="Times New Roman"/>
        </w:rPr>
        <w:t xml:space="preserve">1) gospodarczych – w szczególności niskiego stopnia przedsiębiorczości, słabej kondycji lokalnych przedsiębiorstw lub </w:t>
      </w:r>
    </w:p>
    <w:p w:rsidR="00A6085B" w:rsidRPr="00A6085B" w:rsidRDefault="00A6085B" w:rsidP="00A6085B">
      <w:pPr>
        <w:ind w:left="284" w:hanging="284"/>
        <w:jc w:val="both"/>
        <w:rPr>
          <w:rFonts w:eastAsia="Calibri" w:cs="Times New Roman"/>
        </w:rPr>
      </w:pPr>
      <w:r w:rsidRPr="00A6085B">
        <w:rPr>
          <w:rFonts w:eastAsia="Calibri" w:cs="Times New Roman"/>
        </w:rPr>
        <w:t xml:space="preserve">2) środowiskowych – w szczególności przekroczenia standardów jakości środowiska, obecności odpadów stwarzających zagrożenie dla życia, zdrowia ludzi lub stanu środowiska, lub </w:t>
      </w:r>
    </w:p>
    <w:p w:rsidR="00A6085B" w:rsidRPr="00A6085B" w:rsidRDefault="00A6085B" w:rsidP="00A6085B">
      <w:pPr>
        <w:ind w:left="284" w:hanging="284"/>
        <w:jc w:val="both"/>
        <w:rPr>
          <w:rFonts w:eastAsia="Calibri" w:cs="Times New Roman"/>
        </w:rPr>
      </w:pPr>
      <w:r w:rsidRPr="00A6085B">
        <w:rPr>
          <w:rFonts w:eastAsia="Calibri" w:cs="Times New Roman"/>
        </w:rPr>
        <w:t xml:space="preserve">3) przestrzenno-funkcjonalnych – w szczególności niewystarczającego wyposażenia w infrastrukturę techniczną i społeczną lub jej złego stanu technicznego, braku dostępu do podstawowych usług lub ich niskiej jakości, niedostosowania rozwiązań urbanistycznych do zmieniających się funkcji obszaru, niskiego poziomu obsługi komunikacyjnej, niedoboru lub niskiej jakości terenów publicznych, lub </w:t>
      </w:r>
    </w:p>
    <w:p w:rsidR="00A6085B" w:rsidRPr="00A6085B" w:rsidRDefault="00A6085B" w:rsidP="00A6085B">
      <w:pPr>
        <w:ind w:left="284" w:hanging="284"/>
        <w:jc w:val="both"/>
        <w:rPr>
          <w:rFonts w:eastAsia="Calibri" w:cs="Times New Roman"/>
        </w:rPr>
      </w:pPr>
      <w:r w:rsidRPr="00A6085B">
        <w:rPr>
          <w:rFonts w:eastAsia="Calibri" w:cs="Times New Roman"/>
        </w:rPr>
        <w:t xml:space="preserve">4) technicznych – w szczególności degradacji stanu technicznego obiektów budowlanych, w tym </w:t>
      </w:r>
      <w:r w:rsidRPr="00A6085B">
        <w:rPr>
          <w:rFonts w:eastAsia="Calibri" w:cs="Times New Roman"/>
        </w:rPr>
        <w:br/>
        <w:t xml:space="preserve">o przeznaczeniu mieszkaniowym, oraz niefunkcjonowaniu rozwiązań technicznych umożliwiających efektywne korzystanie z obiektów budowlanych, w szczególności w zakresie energooszczędności i ochrony środowiska. </w:t>
      </w:r>
    </w:p>
    <w:p w:rsidR="00A6085B" w:rsidRPr="00A6085B" w:rsidRDefault="00A6085B" w:rsidP="00A6085B">
      <w:pPr>
        <w:jc w:val="both"/>
        <w:rPr>
          <w:rFonts w:eastAsia="Calibri" w:cs="Times New Roman"/>
        </w:rPr>
      </w:pPr>
      <w:r w:rsidRPr="00A6085B">
        <w:rPr>
          <w:rFonts w:eastAsia="Calibri" w:cs="Times New Roman"/>
        </w:rPr>
        <w:t>Obszar zdegradowany może być podzielony na podobszary, w tym podobszary nieposiadające ze sobą wspólnych granic, pod warunkiem stwierdzenia na każdym z podobszarów występowania koncentracji negatywnych zjawisk społecznych oraz gospodarczych, środowiskowych, przestrzenno-funkcjonalnych lub technicznych.</w:t>
      </w:r>
    </w:p>
    <w:p w:rsidR="00A6085B" w:rsidRPr="00A6085B" w:rsidRDefault="00A6085B" w:rsidP="00A6085B">
      <w:pPr>
        <w:jc w:val="both"/>
        <w:rPr>
          <w:rFonts w:eastAsia="Calibri" w:cs="Times New Roman"/>
        </w:rPr>
      </w:pPr>
      <w:r w:rsidRPr="00A6085B">
        <w:rPr>
          <w:rFonts w:eastAsia="Calibri" w:cs="Times New Roman"/>
        </w:rPr>
        <w:t xml:space="preserve">Obszar obejmujący całość lub część obszaru zdegradowanego, cechujący się szczególną koncentracją negatywnych zjawisk, na którym z uwagi na istotne znaczenie dla rozwoju lokalnego gmina zamierza prowadzić rewitalizację, wyznacza się jako obszar rewitalizacji. Obszar rewitalizacji nie może być większy niż 20% powierzchni gminy oraz zamieszkały przez więcej niż 30% liczby mieszkańców gminy. Obszar rewitalizacji może być podzielony na podobszary, w tym podobszary nieposiadające ze sobą wspólnych granic. Niezamieszkałe tereny poprzemysłowe, w tym poportowe i powydobywcze, tereny powojskowe albo pokolejowe, na których występują negatywne zjawiska, mogą wejść w skład obszaru rewitalizacji wyłącznie w przypadku, gdy działania możliwe do przeprowadzenia na tych terenach przyczynią się do przeciwdziałania negatywnym zjawiskom społecznym. Wniosek o wyznaczenie obszaru zdegradowanego i obszaru rewitalizacji zawiera wskazanie granic tych obszarów wykonane na mapie w skali co najmniej 1: 5000, sporządzonej z wykorzystaniem treści mapy zasadniczej, a w przypadku jej braku – z wykorzystaniem treści mapy ewidencyjnej w rozumieniu ustawy z dnia 17 maja 1989 r. – Prawo geodezyjne i kartograficzne (Dz. U. z 2015 r. poz. 520, z późn.zm.). </w:t>
      </w:r>
    </w:p>
    <w:p w:rsidR="00A6085B" w:rsidRPr="00A6085B" w:rsidRDefault="00A6085B" w:rsidP="00A6085B">
      <w:pPr>
        <w:numPr>
          <w:ilvl w:val="0"/>
          <w:numId w:val="9"/>
        </w:numPr>
        <w:contextualSpacing/>
        <w:jc w:val="both"/>
        <w:rPr>
          <w:rFonts w:eastAsia="Calibri" w:cs="Times New Roman"/>
          <w:i/>
          <w:u w:val="single"/>
        </w:rPr>
      </w:pPr>
      <w:r w:rsidRPr="00A6085B">
        <w:rPr>
          <w:rFonts w:eastAsia="Calibri" w:cs="Times New Roman"/>
          <w:i/>
          <w:u w:val="single"/>
        </w:rPr>
        <w:t xml:space="preserve">Rozdział 4 Gminny Program Rewitalizacji: </w:t>
      </w:r>
    </w:p>
    <w:p w:rsidR="00A6085B" w:rsidRPr="00A6085B" w:rsidRDefault="00A6085B" w:rsidP="00A6085B">
      <w:pPr>
        <w:jc w:val="both"/>
        <w:rPr>
          <w:rFonts w:eastAsia="Calibri" w:cs="Times New Roman"/>
        </w:rPr>
      </w:pPr>
      <w:r w:rsidRPr="00A6085B">
        <w:rPr>
          <w:rFonts w:eastAsia="Calibri" w:cs="Times New Roman"/>
        </w:rPr>
        <w:t xml:space="preserve">Gminny program rewitalizacji zawiera w szczególności: </w:t>
      </w:r>
    </w:p>
    <w:p w:rsidR="00A6085B" w:rsidRPr="00A6085B" w:rsidRDefault="00A6085B" w:rsidP="00A6085B">
      <w:pPr>
        <w:ind w:left="284" w:hanging="284"/>
        <w:jc w:val="both"/>
        <w:rPr>
          <w:rFonts w:eastAsia="Calibri" w:cs="Times New Roman"/>
        </w:rPr>
      </w:pPr>
      <w:r w:rsidRPr="00A6085B">
        <w:rPr>
          <w:rFonts w:eastAsia="Calibri" w:cs="Times New Roman"/>
        </w:rPr>
        <w:lastRenderedPageBreak/>
        <w:t xml:space="preserve">1) szczegółową diagnozę obszaru rewitalizacji, obejmującą analizę negatywnych zjawisk, oraz lokalnych potencjałów występujących na terenie tego obszaru; </w:t>
      </w:r>
    </w:p>
    <w:p w:rsidR="00A6085B" w:rsidRPr="00A6085B" w:rsidRDefault="00A6085B" w:rsidP="00A6085B">
      <w:pPr>
        <w:ind w:left="284" w:hanging="284"/>
        <w:jc w:val="both"/>
        <w:rPr>
          <w:rFonts w:eastAsia="Calibri" w:cs="Times New Roman"/>
        </w:rPr>
      </w:pPr>
      <w:r w:rsidRPr="00A6085B">
        <w:rPr>
          <w:rFonts w:eastAsia="Calibri" w:cs="Times New Roman"/>
        </w:rPr>
        <w:t xml:space="preserve">2) opis powiązań </w:t>
      </w:r>
      <w:r w:rsidR="00D31D10" w:rsidRPr="00A6085B">
        <w:rPr>
          <w:rFonts w:eastAsia="Calibri" w:cs="Times New Roman"/>
        </w:rPr>
        <w:t xml:space="preserve">Gminnego Programu </w:t>
      </w:r>
      <w:r w:rsidRPr="00A6085B">
        <w:rPr>
          <w:rFonts w:eastAsia="Calibri" w:cs="Times New Roman"/>
        </w:rPr>
        <w:t xml:space="preserve">rewitalizacji z dokumentami strategicznymi gminy, w tym strategią rozwoju gminy, studium uwarunkowań i kierunków zagospodarowania przestrzennego gminy oraz strategią rozwiązywania problemów społecznych; </w:t>
      </w:r>
    </w:p>
    <w:p w:rsidR="00A6085B" w:rsidRPr="00A6085B" w:rsidRDefault="00A6085B" w:rsidP="00A6085B">
      <w:pPr>
        <w:jc w:val="both"/>
        <w:rPr>
          <w:rFonts w:eastAsia="Calibri" w:cs="Times New Roman"/>
        </w:rPr>
      </w:pPr>
      <w:r w:rsidRPr="00A6085B">
        <w:rPr>
          <w:rFonts w:eastAsia="Calibri" w:cs="Times New Roman"/>
        </w:rPr>
        <w:t xml:space="preserve">3) opis wizji stanu obszaru po przeprowadzeniu rewitalizacji; </w:t>
      </w:r>
    </w:p>
    <w:p w:rsidR="00A6085B" w:rsidRPr="00A6085B" w:rsidRDefault="00A6085B" w:rsidP="00A6085B">
      <w:pPr>
        <w:tabs>
          <w:tab w:val="left" w:pos="284"/>
        </w:tabs>
        <w:ind w:left="284" w:hanging="284"/>
        <w:jc w:val="both"/>
        <w:rPr>
          <w:rFonts w:eastAsia="Calibri" w:cs="Times New Roman"/>
        </w:rPr>
      </w:pPr>
      <w:r w:rsidRPr="00A6085B">
        <w:rPr>
          <w:rFonts w:eastAsia="Calibri" w:cs="Times New Roman"/>
        </w:rPr>
        <w:t xml:space="preserve">4) cele rewitalizacji oraz odpowiadające im kierunki działań służących eliminacji lub ograniczeniu negatywnych zjawisk; </w:t>
      </w:r>
    </w:p>
    <w:p w:rsidR="00A6085B" w:rsidRPr="00A6085B" w:rsidRDefault="00A6085B" w:rsidP="00A6085B">
      <w:pPr>
        <w:ind w:left="284" w:hanging="284"/>
        <w:jc w:val="both"/>
        <w:rPr>
          <w:rFonts w:eastAsia="Calibri" w:cs="Times New Roman"/>
        </w:rPr>
      </w:pPr>
      <w:r w:rsidRPr="00A6085B">
        <w:rPr>
          <w:rFonts w:eastAsia="Calibri" w:cs="Times New Roman"/>
        </w:rPr>
        <w:t xml:space="preserve">5) opis przedsięwzięć rewitalizacyjnych, w szczególności o charakterze społecznym oraz gospodarczym, środowiskowym, przestrzenno-funkcjonalnym lub technicznym, w tym: </w:t>
      </w:r>
    </w:p>
    <w:p w:rsidR="00A6085B" w:rsidRPr="00A6085B" w:rsidRDefault="00A6085B" w:rsidP="00A6085B">
      <w:pPr>
        <w:ind w:left="568" w:hanging="284"/>
        <w:jc w:val="both"/>
        <w:rPr>
          <w:rFonts w:eastAsia="Calibri" w:cs="Times New Roman"/>
        </w:rPr>
      </w:pPr>
      <w:r w:rsidRPr="00A6085B">
        <w:rPr>
          <w:rFonts w:eastAsia="Calibri" w:cs="Times New Roman"/>
        </w:rPr>
        <w:t xml:space="preserve">a) listę planowanych podstawowych przedsięwzięć rewitalizacyjnych, wraz z ich opisami zawierającymi w odniesieniu do każdego przedsięwzięcia: nazwę i wskazanie podmiotów je realizujących, zakres realizowanych zadań, lokalizację, szacowaną wartość, prognozowane rezultaty wraz ze sposobem ich oceny w odniesieniu do celów rewitalizacji, o ile dane te są możliwe do wskazania, </w:t>
      </w:r>
    </w:p>
    <w:p w:rsidR="00A6085B" w:rsidRPr="00A6085B" w:rsidRDefault="00A6085B" w:rsidP="00A6085B">
      <w:pPr>
        <w:ind w:left="284"/>
        <w:jc w:val="both"/>
        <w:rPr>
          <w:rFonts w:eastAsia="Calibri" w:cs="Times New Roman"/>
        </w:rPr>
      </w:pPr>
      <w:r w:rsidRPr="00A6085B">
        <w:rPr>
          <w:rFonts w:eastAsia="Calibri" w:cs="Times New Roman"/>
        </w:rPr>
        <w:t xml:space="preserve">b) charakterystykę pozostałych dopuszczalnych przedsięwzięć rewitalizacyjnych; </w:t>
      </w:r>
    </w:p>
    <w:p w:rsidR="00A6085B" w:rsidRPr="00A6085B" w:rsidRDefault="00A6085B" w:rsidP="00A6085B">
      <w:pPr>
        <w:jc w:val="both"/>
        <w:rPr>
          <w:rFonts w:eastAsia="Calibri" w:cs="Times New Roman"/>
        </w:rPr>
      </w:pPr>
      <w:r w:rsidRPr="00A6085B">
        <w:rPr>
          <w:rFonts w:eastAsia="Calibri" w:cs="Times New Roman"/>
        </w:rPr>
        <w:t xml:space="preserve">6) mechanizmy integrowania działań oraz przedsięwzięć rewitalizacyjnych; </w:t>
      </w:r>
    </w:p>
    <w:p w:rsidR="00A6085B" w:rsidRPr="00A6085B" w:rsidRDefault="00A6085B" w:rsidP="00A6085B">
      <w:pPr>
        <w:ind w:left="284" w:hanging="284"/>
        <w:jc w:val="both"/>
        <w:rPr>
          <w:rFonts w:eastAsia="Calibri" w:cs="Times New Roman"/>
        </w:rPr>
      </w:pPr>
      <w:r w:rsidRPr="00A6085B">
        <w:rPr>
          <w:rFonts w:eastAsia="Calibri" w:cs="Times New Roman"/>
        </w:rPr>
        <w:t xml:space="preserve">7) szacunkowe ramy finansowe </w:t>
      </w:r>
      <w:r w:rsidR="00D31D10" w:rsidRPr="00A6085B">
        <w:rPr>
          <w:rFonts w:eastAsia="Calibri" w:cs="Times New Roman"/>
        </w:rPr>
        <w:t xml:space="preserve">Gminnego Programu </w:t>
      </w:r>
      <w:r w:rsidRPr="00A6085B">
        <w:rPr>
          <w:rFonts w:eastAsia="Calibri" w:cs="Times New Roman"/>
        </w:rPr>
        <w:t>rewitalizacji wraz z szacunkowym wskazaniem środków finansowych ze źródeł publicznych i prywatnych;</w:t>
      </w:r>
    </w:p>
    <w:p w:rsidR="00A6085B" w:rsidRPr="00A6085B" w:rsidRDefault="00A6085B" w:rsidP="00A6085B">
      <w:pPr>
        <w:ind w:left="284" w:hanging="284"/>
        <w:jc w:val="both"/>
        <w:rPr>
          <w:rFonts w:eastAsia="Calibri" w:cs="Times New Roman"/>
        </w:rPr>
      </w:pPr>
      <w:r w:rsidRPr="00A6085B">
        <w:rPr>
          <w:rFonts w:eastAsia="Calibri" w:cs="Times New Roman"/>
        </w:rPr>
        <w:t xml:space="preserve">8) opis struktury zarządzania realizacją </w:t>
      </w:r>
      <w:r w:rsidR="00D31D10" w:rsidRPr="00A6085B">
        <w:rPr>
          <w:rFonts w:eastAsia="Calibri" w:cs="Times New Roman"/>
        </w:rPr>
        <w:t xml:space="preserve">Gminnego Programu </w:t>
      </w:r>
      <w:r w:rsidRPr="00A6085B">
        <w:rPr>
          <w:rFonts w:eastAsia="Calibri" w:cs="Times New Roman"/>
        </w:rPr>
        <w:t xml:space="preserve">rewitalizacji, wskazanie kosztów tego zarządzania wraz z ramowym harmonogramem realizacji programu; </w:t>
      </w:r>
    </w:p>
    <w:p w:rsidR="00A6085B" w:rsidRPr="00A6085B" w:rsidRDefault="00A6085B" w:rsidP="00A6085B">
      <w:pPr>
        <w:jc w:val="both"/>
        <w:rPr>
          <w:rFonts w:eastAsia="Calibri" w:cs="Times New Roman"/>
        </w:rPr>
      </w:pPr>
      <w:r w:rsidRPr="00A6085B">
        <w:rPr>
          <w:rFonts w:eastAsia="Calibri" w:cs="Times New Roman"/>
        </w:rPr>
        <w:t xml:space="preserve">9) system monitorowania i oceny </w:t>
      </w:r>
      <w:r w:rsidR="00D31D10" w:rsidRPr="00A6085B">
        <w:rPr>
          <w:rFonts w:eastAsia="Calibri" w:cs="Times New Roman"/>
        </w:rPr>
        <w:t xml:space="preserve">Gminnego Programu </w:t>
      </w:r>
      <w:r w:rsidRPr="00A6085B">
        <w:rPr>
          <w:rFonts w:eastAsia="Calibri" w:cs="Times New Roman"/>
        </w:rPr>
        <w:t xml:space="preserve">rewitalizacji; </w:t>
      </w:r>
    </w:p>
    <w:p w:rsidR="00A6085B" w:rsidRPr="00A6085B" w:rsidRDefault="00A6085B" w:rsidP="00A6085B">
      <w:pPr>
        <w:jc w:val="both"/>
        <w:rPr>
          <w:rFonts w:eastAsia="Calibri" w:cs="Times New Roman"/>
        </w:rPr>
      </w:pPr>
      <w:r w:rsidRPr="00A6085B">
        <w:rPr>
          <w:rFonts w:eastAsia="Calibri" w:cs="Times New Roman"/>
        </w:rPr>
        <w:t>10) określenie niezbędnych zmian w prawie miejscowym;</w:t>
      </w:r>
    </w:p>
    <w:p w:rsidR="00A6085B" w:rsidRPr="00A6085B" w:rsidRDefault="00A6085B" w:rsidP="00A6085B">
      <w:pPr>
        <w:jc w:val="both"/>
        <w:rPr>
          <w:rFonts w:eastAsia="Calibri" w:cs="Times New Roman"/>
        </w:rPr>
      </w:pPr>
      <w:r w:rsidRPr="00A6085B">
        <w:rPr>
          <w:rFonts w:eastAsia="Calibri" w:cs="Times New Roman"/>
        </w:rPr>
        <w:t>11) określenie niezbędnych zmian w uchwale rady gminy;</w:t>
      </w:r>
    </w:p>
    <w:p w:rsidR="00A6085B" w:rsidRPr="00A6085B" w:rsidRDefault="00A6085B" w:rsidP="00A6085B">
      <w:pPr>
        <w:ind w:left="284" w:hanging="284"/>
        <w:jc w:val="both"/>
        <w:rPr>
          <w:rFonts w:eastAsia="Calibri" w:cs="Times New Roman"/>
        </w:rPr>
      </w:pPr>
      <w:r w:rsidRPr="00A6085B">
        <w:rPr>
          <w:rFonts w:eastAsia="Calibri" w:cs="Times New Roman"/>
        </w:rPr>
        <w:t xml:space="preserve">12) wskazanie, czy na obszarze rewitalizacji ma zostać ustanowiona Specjalna Strefa Rewitalizacji, wraz ze wskazaniem okresu jej obowiązywania; </w:t>
      </w:r>
    </w:p>
    <w:p w:rsidR="00A6085B" w:rsidRPr="00A6085B" w:rsidRDefault="00A6085B" w:rsidP="00A6085B">
      <w:pPr>
        <w:ind w:left="284" w:hanging="284"/>
        <w:jc w:val="both"/>
        <w:rPr>
          <w:rFonts w:eastAsia="Calibri" w:cs="Times New Roman"/>
        </w:rPr>
      </w:pPr>
      <w:r w:rsidRPr="00A6085B">
        <w:rPr>
          <w:rFonts w:eastAsia="Calibri" w:cs="Times New Roman"/>
        </w:rPr>
        <w:t xml:space="preserve">13) wskazanie sposobu realizacji </w:t>
      </w:r>
      <w:r w:rsidR="003E259E" w:rsidRPr="00A6085B">
        <w:rPr>
          <w:rFonts w:eastAsia="Calibri" w:cs="Times New Roman"/>
        </w:rPr>
        <w:t xml:space="preserve">Gminnego Programu </w:t>
      </w:r>
      <w:r w:rsidRPr="00A6085B">
        <w:rPr>
          <w:rFonts w:eastAsia="Calibri" w:cs="Times New Roman"/>
        </w:rPr>
        <w:t xml:space="preserve">rewitalizacji w zakresie planowania </w:t>
      </w:r>
      <w:r w:rsidRPr="00A6085B">
        <w:rPr>
          <w:rFonts w:eastAsia="Calibri" w:cs="Times New Roman"/>
        </w:rPr>
        <w:br/>
        <w:t xml:space="preserve">i zagospodarowania przestrzennego, w tym: </w:t>
      </w:r>
    </w:p>
    <w:p w:rsidR="00A6085B" w:rsidRPr="00A6085B" w:rsidRDefault="00A6085B" w:rsidP="00A6085B">
      <w:pPr>
        <w:ind w:left="568" w:hanging="284"/>
        <w:jc w:val="both"/>
        <w:rPr>
          <w:rFonts w:eastAsia="Calibri" w:cs="Times New Roman"/>
        </w:rPr>
      </w:pPr>
      <w:r w:rsidRPr="00A6085B">
        <w:rPr>
          <w:rFonts w:eastAsia="Calibri" w:cs="Times New Roman"/>
        </w:rPr>
        <w:t xml:space="preserve">a) wskazanie zakresu niezbędnych zmian w studium uwarunkowań i kierunków zagospodarowania przestrzennego gminy, </w:t>
      </w:r>
    </w:p>
    <w:p w:rsidR="00A6085B" w:rsidRPr="00A6085B" w:rsidRDefault="00A6085B" w:rsidP="00A6085B">
      <w:pPr>
        <w:ind w:left="568" w:hanging="284"/>
        <w:jc w:val="both"/>
        <w:rPr>
          <w:rFonts w:eastAsia="Calibri" w:cs="Times New Roman"/>
        </w:rPr>
      </w:pPr>
      <w:r w:rsidRPr="00A6085B">
        <w:rPr>
          <w:rFonts w:eastAsia="Calibri" w:cs="Times New Roman"/>
        </w:rPr>
        <w:t xml:space="preserve">b) wskazanie miejscowych planów zagospodarowania przestrzennego koniecznych do uchwaleni </w:t>
      </w:r>
      <w:r w:rsidRPr="00A6085B">
        <w:rPr>
          <w:rFonts w:eastAsia="Calibri" w:cs="Times New Roman"/>
        </w:rPr>
        <w:br/>
        <w:t>albo zmiany,</w:t>
      </w:r>
    </w:p>
    <w:p w:rsidR="00A6085B" w:rsidRPr="00A6085B" w:rsidRDefault="00A6085B" w:rsidP="00A6085B">
      <w:pPr>
        <w:ind w:left="568" w:hanging="284"/>
        <w:jc w:val="both"/>
        <w:rPr>
          <w:rFonts w:eastAsia="Calibri" w:cs="Times New Roman"/>
        </w:rPr>
      </w:pPr>
      <w:r w:rsidRPr="00A6085B">
        <w:rPr>
          <w:rFonts w:eastAsia="Calibri" w:cs="Times New Roman"/>
        </w:rPr>
        <w:lastRenderedPageBreak/>
        <w:t xml:space="preserve">c) w przypadku wskazania konieczności uchwalenia miejscowego planu rewitalizacji, wskazanie granic obszarów, dla których plan ten będzie procedowany łącznie z procedurą scaleń i podziałów nieruchomości, a także wytyczne w zakresie ustaleń tego planu; </w:t>
      </w:r>
    </w:p>
    <w:p w:rsidR="00A6085B" w:rsidRPr="00A6085B" w:rsidRDefault="00A6085B" w:rsidP="00A6085B">
      <w:pPr>
        <w:ind w:left="284" w:hanging="284"/>
        <w:jc w:val="both"/>
        <w:rPr>
          <w:rFonts w:eastAsia="Calibri" w:cs="Times New Roman"/>
        </w:rPr>
      </w:pPr>
      <w:r w:rsidRPr="00A6085B">
        <w:rPr>
          <w:rFonts w:eastAsia="Calibri" w:cs="Times New Roman"/>
        </w:rPr>
        <w:t xml:space="preserve">14) załącznik graficzny przedstawiający podstawowe kierunki zmian funkcjonalno-przestrzennych obszaru rewitalizacji sporządzony na mapie w skali, co najmniej 1: 5000 opracowanej </w:t>
      </w:r>
      <w:r w:rsidRPr="00A6085B">
        <w:rPr>
          <w:rFonts w:eastAsia="Calibri" w:cs="Times New Roman"/>
        </w:rPr>
        <w:br/>
        <w:t xml:space="preserve">z wykorzystaniem treści mapy zasadniczej, a w przypadku jej braku – z wykorzystaniem treści mapy ewidencyjnej w rozumieniu ustawy z dnia 17 maja 1989 r. – Prawo geodezyjne i kartograficzne. </w:t>
      </w:r>
    </w:p>
    <w:p w:rsidR="00A6085B" w:rsidRPr="00A6085B" w:rsidRDefault="00A6085B" w:rsidP="00A6085B">
      <w:pPr>
        <w:jc w:val="both"/>
        <w:rPr>
          <w:rFonts w:eastAsia="Calibri" w:cs="Times New Roman"/>
        </w:rPr>
      </w:pPr>
      <w:r w:rsidRPr="00A6085B">
        <w:rPr>
          <w:rFonts w:eastAsia="Calibri" w:cs="Times New Roman"/>
        </w:rPr>
        <w:t xml:space="preserve">Przedsięwzięcia rewitalizacyjne zamieszczone w </w:t>
      </w:r>
      <w:r w:rsidR="000D717F">
        <w:rPr>
          <w:rFonts w:eastAsia="Calibri" w:cs="Times New Roman"/>
        </w:rPr>
        <w:t>G</w:t>
      </w:r>
      <w:r w:rsidRPr="00A6085B">
        <w:rPr>
          <w:rFonts w:eastAsia="Calibri" w:cs="Times New Roman"/>
        </w:rPr>
        <w:t xml:space="preserve">minnym </w:t>
      </w:r>
      <w:r w:rsidR="000D717F">
        <w:rPr>
          <w:rFonts w:eastAsia="Calibri" w:cs="Times New Roman"/>
        </w:rPr>
        <w:t>P</w:t>
      </w:r>
      <w:r w:rsidRPr="00A6085B">
        <w:rPr>
          <w:rFonts w:eastAsia="Calibri" w:cs="Times New Roman"/>
        </w:rPr>
        <w:t xml:space="preserve">rogramie rewitalizacji mogą być realizowane również poza obszarem rewitalizacji, jeżeli wynika to z ich specyfiki. W przypadku, gdy </w:t>
      </w:r>
      <w:r w:rsidRPr="00A6085B">
        <w:rPr>
          <w:rFonts w:eastAsia="Calibri" w:cs="Times New Roman"/>
        </w:rPr>
        <w:br/>
        <w:t xml:space="preserve">w związku z rewitalizacją następuje czasowa lub trwała zmiana miejsca zamieszkania osób na miejsce położone poza obszarem rewitalizacji, w </w:t>
      </w:r>
      <w:r w:rsidR="000D717F">
        <w:rPr>
          <w:rFonts w:eastAsia="Calibri" w:cs="Times New Roman"/>
        </w:rPr>
        <w:t>Gminnym P</w:t>
      </w:r>
      <w:r w:rsidRPr="00A6085B">
        <w:rPr>
          <w:rFonts w:eastAsia="Calibri" w:cs="Times New Roman"/>
        </w:rPr>
        <w:t xml:space="preserve">rogramie rewitalizacji uwzględnia się przedsięwzięcia rewitalizacyjne obejmujące te osoby. </w:t>
      </w:r>
    </w:p>
    <w:p w:rsidR="00A6085B" w:rsidRPr="00A6085B" w:rsidRDefault="00A6085B" w:rsidP="00A6085B">
      <w:pPr>
        <w:jc w:val="both"/>
        <w:rPr>
          <w:rFonts w:eastAsia="Calibri" w:cs="Times New Roman"/>
        </w:rPr>
      </w:pPr>
      <w:r w:rsidRPr="00A6085B">
        <w:rPr>
          <w:rFonts w:eastAsia="Calibri" w:cs="Times New Roman"/>
        </w:rPr>
        <w:t xml:space="preserve">Gminny </w:t>
      </w:r>
      <w:r w:rsidR="000D717F">
        <w:rPr>
          <w:rFonts w:eastAsia="Calibri" w:cs="Times New Roman"/>
        </w:rPr>
        <w:t>P</w:t>
      </w:r>
      <w:r w:rsidRPr="00A6085B">
        <w:rPr>
          <w:rFonts w:eastAsia="Calibri" w:cs="Times New Roman"/>
        </w:rPr>
        <w:t>rogram rewitalizacji nie stanowi aktu prawa miejscowego.</w:t>
      </w:r>
    </w:p>
    <w:p w:rsidR="00A6085B" w:rsidRPr="00A6085B" w:rsidRDefault="00A6085B" w:rsidP="00A6085B">
      <w:pPr>
        <w:jc w:val="both"/>
        <w:rPr>
          <w:rFonts w:eastAsia="Calibri" w:cs="Times New Roman"/>
        </w:rPr>
      </w:pPr>
      <w:r w:rsidRPr="00A6085B">
        <w:rPr>
          <w:rFonts w:eastAsia="Calibri" w:cs="Times New Roman"/>
        </w:rPr>
        <w:t xml:space="preserve">Postępowanie w sprawie zmiany studium uwarunkowań i kierunków zagospodarowania przestrzennego gminy oraz w sprawie uchwalenia albo zmiany miejscowego planu zagospodarowania przestrzennego można wszcząć przed uchwaleniem </w:t>
      </w:r>
      <w:r w:rsidR="003E259E" w:rsidRPr="00A6085B">
        <w:rPr>
          <w:rFonts w:eastAsia="Calibri" w:cs="Times New Roman"/>
        </w:rPr>
        <w:t xml:space="preserve">Gminnego Programu </w:t>
      </w:r>
      <w:r w:rsidRPr="00A6085B">
        <w:rPr>
          <w:rFonts w:eastAsia="Calibri" w:cs="Times New Roman"/>
        </w:rPr>
        <w:t xml:space="preserve">rewitalizacji, a po sporządzeniu i zamieszczeniu na stronie podmiotowej gminy w Biuletynie Informacji Publicznej projektu </w:t>
      </w:r>
      <w:r w:rsidR="003E259E" w:rsidRPr="00A6085B">
        <w:rPr>
          <w:rFonts w:eastAsia="Calibri" w:cs="Times New Roman"/>
        </w:rPr>
        <w:t xml:space="preserve">Gminnego Programu </w:t>
      </w:r>
      <w:r w:rsidRPr="00A6085B">
        <w:rPr>
          <w:rFonts w:eastAsia="Calibri" w:cs="Times New Roman"/>
        </w:rPr>
        <w:t xml:space="preserve">rewitalizacji. Uchwalenie zmiany studium uwarunkowań i kierunków zagospodarowania przestrzennego gminy następuje po uchwaleniu </w:t>
      </w:r>
      <w:r w:rsidR="003E259E" w:rsidRPr="00A6085B">
        <w:rPr>
          <w:rFonts w:eastAsia="Calibri" w:cs="Times New Roman"/>
        </w:rPr>
        <w:t xml:space="preserve">Gminnego Programu </w:t>
      </w:r>
      <w:r w:rsidRPr="00A6085B">
        <w:rPr>
          <w:rFonts w:eastAsia="Calibri" w:cs="Times New Roman"/>
        </w:rPr>
        <w:t xml:space="preserve">rewitalizacji. Niezwłocznie po uchwaleniu </w:t>
      </w:r>
      <w:r w:rsidR="003E259E" w:rsidRPr="00A6085B">
        <w:rPr>
          <w:rFonts w:eastAsia="Calibri" w:cs="Times New Roman"/>
        </w:rPr>
        <w:t xml:space="preserve">Gminnego Programu </w:t>
      </w:r>
      <w:r w:rsidRPr="00A6085B">
        <w:rPr>
          <w:rFonts w:eastAsia="Calibri" w:cs="Times New Roman"/>
        </w:rPr>
        <w:t xml:space="preserve">rewitalizacji, rada gminy wprowadza przedsięwzięcia rewitalizacyjne zawarte w tym programie, służące realizacji zadań własnych gminy, do załącznika do uchwały w sprawie wieloletniej prognozy finansowej gminy. Jeżeli dane dotyczące tych przedsięwzięć nie są wystarczające do wpisania ich do załącznika do uchwały </w:t>
      </w:r>
      <w:r w:rsidRPr="00A6085B">
        <w:rPr>
          <w:rFonts w:eastAsia="Calibri" w:cs="Times New Roman"/>
        </w:rPr>
        <w:br/>
        <w:t>w sprawie wieloletniej prognozy finansowej gminy, rada gminy wprowadza przedsięwzięcia do tego załącznika niezwłocznie po ustaleniu niezbędnych danych.</w:t>
      </w:r>
    </w:p>
    <w:p w:rsidR="00A6085B" w:rsidRPr="00A6085B" w:rsidRDefault="00A6085B" w:rsidP="00A6085B">
      <w:pPr>
        <w:jc w:val="both"/>
        <w:rPr>
          <w:rFonts w:eastAsia="Calibri" w:cs="Times New Roman"/>
        </w:rPr>
      </w:pPr>
      <w:r w:rsidRPr="00A6085B">
        <w:rPr>
          <w:rFonts w:eastAsia="Calibri" w:cs="Times New Roman"/>
        </w:rPr>
        <w:t xml:space="preserve">Gminny program rewitalizacji podlega ocenie aktualności i stopnia realizacji, dokonywanej przez wójta, burmistrza albo prezydenta miasta, co najmniej raz na 3 lata, zgodnie z systemem monitorowania i oceny określonym w tym programie. Ocena sporządzona przez wójta, burmistrza albo prezydenta miasta podlega zaopiniowaniu przez Komitet Rewitalizacji oraz ogłoszeniu na stronie podmiotowej gminy w Biuletynie Informacji Publicznej. W przypadku stwierdzenia, że </w:t>
      </w:r>
      <w:r w:rsidR="000D717F">
        <w:rPr>
          <w:rFonts w:eastAsia="Calibri" w:cs="Times New Roman"/>
        </w:rPr>
        <w:t>G</w:t>
      </w:r>
      <w:r w:rsidRPr="00A6085B">
        <w:rPr>
          <w:rFonts w:eastAsia="Calibri" w:cs="Times New Roman"/>
        </w:rPr>
        <w:t xml:space="preserve">minny program rewitalizacji wymaga zmiany, wójt, burmistrz albo prezydent miasta występuje do rady gminy z wnioskiem o jego zmianę. W przypadku stwierdzenia, w wyniku przeprowadzonej oceny stopnia realizacji </w:t>
      </w:r>
      <w:r w:rsidR="003E259E" w:rsidRPr="00A6085B">
        <w:rPr>
          <w:rFonts w:eastAsia="Calibri" w:cs="Times New Roman"/>
        </w:rPr>
        <w:t xml:space="preserve">Gminnego Programu </w:t>
      </w:r>
      <w:r w:rsidRPr="00A6085B">
        <w:rPr>
          <w:rFonts w:eastAsia="Calibri" w:cs="Times New Roman"/>
        </w:rPr>
        <w:t xml:space="preserve">rewitalizacji, osiągnięcia celów rewitalizacji w nim zawartych, rada gminy uchyla uchwałę w sprawie </w:t>
      </w:r>
      <w:r w:rsidR="003E259E" w:rsidRPr="00A6085B">
        <w:rPr>
          <w:rFonts w:eastAsia="Calibri" w:cs="Times New Roman"/>
        </w:rPr>
        <w:t xml:space="preserve">Gminnego Programu </w:t>
      </w:r>
      <w:r w:rsidRPr="00A6085B">
        <w:rPr>
          <w:rFonts w:eastAsia="Calibri" w:cs="Times New Roman"/>
        </w:rPr>
        <w:t xml:space="preserve">rewitalizacji w całości albo w części, </w:t>
      </w:r>
      <w:r w:rsidRPr="00A6085B">
        <w:rPr>
          <w:rFonts w:eastAsia="Calibri" w:cs="Times New Roman"/>
        </w:rPr>
        <w:br/>
        <w:t>z własnej inicjatywy albo na wniosek wójta, burmistrza albo prezydenta miasta.</w:t>
      </w:r>
    </w:p>
    <w:p w:rsidR="00A6085B" w:rsidRPr="00A6085B" w:rsidRDefault="00A6085B" w:rsidP="00A6085B">
      <w:pPr>
        <w:numPr>
          <w:ilvl w:val="0"/>
          <w:numId w:val="9"/>
        </w:numPr>
        <w:contextualSpacing/>
        <w:jc w:val="both"/>
        <w:rPr>
          <w:rFonts w:eastAsia="Calibri" w:cs="Times New Roman"/>
          <w:i/>
          <w:u w:val="single"/>
        </w:rPr>
      </w:pPr>
      <w:r w:rsidRPr="00A6085B">
        <w:rPr>
          <w:rFonts w:eastAsia="Calibri" w:cs="Times New Roman"/>
          <w:i/>
          <w:u w:val="single"/>
        </w:rPr>
        <w:t xml:space="preserve">Rozdział 5 Specjalna Strefa Rewitalizacji: </w:t>
      </w:r>
    </w:p>
    <w:p w:rsidR="00A6085B" w:rsidRPr="00A6085B" w:rsidRDefault="00A6085B" w:rsidP="00A6085B">
      <w:pPr>
        <w:jc w:val="both"/>
        <w:rPr>
          <w:rFonts w:eastAsia="Calibri" w:cs="Times New Roman"/>
        </w:rPr>
      </w:pPr>
      <w:r w:rsidRPr="00A6085B">
        <w:rPr>
          <w:rFonts w:eastAsia="Calibri" w:cs="Times New Roman"/>
        </w:rPr>
        <w:t xml:space="preserve">Na wniosek wójta, burmistrza albo prezydenta miasta rada gminy podejmuje uchwałę </w:t>
      </w:r>
      <w:r w:rsidRPr="00A6085B">
        <w:rPr>
          <w:rFonts w:eastAsia="Calibri" w:cs="Times New Roman"/>
        </w:rPr>
        <w:br/>
        <w:t xml:space="preserve">w sprawie ustanowienia na obszarze rewitalizacji Specjalnej Strefy Rewitalizacji. Strefę ustanawia się w celu zapewnienia sprawnej realizacji przedsięwzięć rewitalizacyjnych na okres nie dłuższy niż </w:t>
      </w:r>
      <w:r w:rsidRPr="00A6085B">
        <w:rPr>
          <w:rFonts w:eastAsia="Calibri" w:cs="Times New Roman"/>
        </w:rPr>
        <w:br/>
      </w:r>
      <w:r w:rsidRPr="00A6085B">
        <w:rPr>
          <w:rFonts w:eastAsia="Calibri" w:cs="Times New Roman"/>
        </w:rPr>
        <w:lastRenderedPageBreak/>
        <w:t xml:space="preserve">10 lat, bez możliwości przedłużenia. Wniosek o ustanowienie Strefy składa się po uchwaleniu </w:t>
      </w:r>
      <w:r w:rsidR="003E259E" w:rsidRPr="00A6085B">
        <w:rPr>
          <w:rFonts w:eastAsia="Calibri" w:cs="Times New Roman"/>
        </w:rPr>
        <w:t xml:space="preserve">Gminnego Programu </w:t>
      </w:r>
      <w:r w:rsidRPr="00A6085B">
        <w:rPr>
          <w:rFonts w:eastAsia="Calibri" w:cs="Times New Roman"/>
        </w:rPr>
        <w:t>rewitalizacji i zgodnie z jego ustaleniami. Uchwała w sprawie ustanowienia na obszarze rewitalizacji Strefy stanowi akt prawa miejscowego.</w:t>
      </w:r>
    </w:p>
    <w:p w:rsidR="00A6085B" w:rsidRPr="00A6085B" w:rsidRDefault="00A6085B" w:rsidP="00A6085B">
      <w:pPr>
        <w:numPr>
          <w:ilvl w:val="0"/>
          <w:numId w:val="9"/>
        </w:numPr>
        <w:contextualSpacing/>
        <w:jc w:val="both"/>
        <w:rPr>
          <w:rFonts w:eastAsia="Calibri" w:cs="Times New Roman"/>
          <w:i/>
          <w:u w:val="single"/>
        </w:rPr>
      </w:pPr>
      <w:r w:rsidRPr="00A6085B">
        <w:rPr>
          <w:rFonts w:eastAsia="Calibri" w:cs="Times New Roman"/>
          <w:i/>
          <w:u w:val="single"/>
        </w:rPr>
        <w:t>Rozdział 6 Zmiany w przepisach obowiązujących</w:t>
      </w:r>
    </w:p>
    <w:p w:rsidR="00A6085B" w:rsidRPr="00A6085B" w:rsidRDefault="00A6085B" w:rsidP="00A6085B">
      <w:pPr>
        <w:ind w:left="360"/>
        <w:contextualSpacing/>
        <w:jc w:val="both"/>
        <w:rPr>
          <w:rFonts w:eastAsia="Calibri" w:cs="Times New Roman"/>
          <w:i/>
          <w:u w:val="single"/>
        </w:rPr>
      </w:pPr>
    </w:p>
    <w:p w:rsidR="00A6085B" w:rsidRPr="00A6085B" w:rsidRDefault="00A6085B" w:rsidP="00A6085B">
      <w:pPr>
        <w:numPr>
          <w:ilvl w:val="0"/>
          <w:numId w:val="9"/>
        </w:numPr>
        <w:contextualSpacing/>
        <w:jc w:val="both"/>
        <w:rPr>
          <w:rFonts w:eastAsia="Calibri" w:cs="Times New Roman"/>
          <w:i/>
          <w:u w:val="single"/>
        </w:rPr>
      </w:pPr>
      <w:r w:rsidRPr="00A6085B">
        <w:rPr>
          <w:rFonts w:eastAsia="Calibri" w:cs="Times New Roman"/>
          <w:i/>
          <w:u w:val="single"/>
        </w:rPr>
        <w:t xml:space="preserve">Rozdział 7 Przepisy przejściowe i końcowe </w:t>
      </w:r>
    </w:p>
    <w:p w:rsidR="00A6085B" w:rsidRPr="00A6085B" w:rsidRDefault="00A6085B" w:rsidP="00A6085B">
      <w:pPr>
        <w:jc w:val="both"/>
        <w:rPr>
          <w:rFonts w:eastAsia="Calibri" w:cs="Times New Roman"/>
        </w:rPr>
      </w:pPr>
      <w:r w:rsidRPr="00A6085B">
        <w:rPr>
          <w:rFonts w:eastAsia="Calibri" w:cs="Times New Roman"/>
        </w:rPr>
        <w:t xml:space="preserve">Do dnia 31 grudnia 2023 r. dopuszcza się realizację przedsięwzięć wynikających z programu zawierającego działania służące wyprowadzeniu obszaru zdegradowanego ze stanu kryzysowego, przyjmowanego uchwałą rady gminy, bez uchwalania </w:t>
      </w:r>
      <w:r w:rsidR="003E259E" w:rsidRPr="00A6085B">
        <w:rPr>
          <w:rFonts w:eastAsia="Calibri" w:cs="Times New Roman"/>
        </w:rPr>
        <w:t xml:space="preserve">Gminnego Programu </w:t>
      </w:r>
      <w:r w:rsidRPr="00A6085B">
        <w:rPr>
          <w:rFonts w:eastAsia="Calibri" w:cs="Times New Roman"/>
        </w:rPr>
        <w:t xml:space="preserve">rewitalizacji. W takim przypadku wyznaczenie w drodze uchwały obszaru zdegradowanego i obszaru rewitalizacji, Strefy, </w:t>
      </w:r>
      <w:r w:rsidRPr="00A6085B">
        <w:rPr>
          <w:rFonts w:eastAsia="Calibri" w:cs="Times New Roman"/>
        </w:rPr>
        <w:br/>
        <w:t>a także uchwalenie miejscowego planu rewitalizacji nie jest dopuszczalne.</w:t>
      </w:r>
    </w:p>
    <w:p w:rsidR="00A6085B" w:rsidRPr="00A6085B" w:rsidRDefault="00A6085B" w:rsidP="00A6085B">
      <w:pPr>
        <w:jc w:val="both"/>
        <w:rPr>
          <w:rFonts w:eastAsia="Calibri" w:cs="Times New Roman"/>
        </w:rPr>
      </w:pPr>
      <w:r w:rsidRPr="00A6085B">
        <w:rPr>
          <w:rFonts w:eastAsia="Calibri" w:cs="Times New Roman"/>
        </w:rPr>
        <w:t xml:space="preserve">Jeżeli program, uchwalony przed dniem wejścia w życie niniejszej ustawy, zawiera co najmniej opis procesu wyprowadzania ze stanu kryzysowego obszarów gminy oraz diagnozę pozwalającą na wyznaczenie obszaru zdegradowanego i obszaru rewitalizacji, na jego podstawie może zostać opracowany i uchwalony </w:t>
      </w:r>
      <w:r w:rsidR="000D717F">
        <w:rPr>
          <w:rFonts w:eastAsia="Calibri" w:cs="Times New Roman"/>
        </w:rPr>
        <w:t>G</w:t>
      </w:r>
      <w:r w:rsidRPr="00A6085B">
        <w:rPr>
          <w:rFonts w:eastAsia="Calibri" w:cs="Times New Roman"/>
        </w:rPr>
        <w:t xml:space="preserve">minny </w:t>
      </w:r>
      <w:r w:rsidR="000D717F">
        <w:rPr>
          <w:rFonts w:eastAsia="Calibri" w:cs="Times New Roman"/>
        </w:rPr>
        <w:t>P</w:t>
      </w:r>
      <w:r w:rsidRPr="00A6085B">
        <w:rPr>
          <w:rFonts w:eastAsia="Calibri" w:cs="Times New Roman"/>
        </w:rPr>
        <w:t xml:space="preserve">rogram rewitalizacji. </w:t>
      </w:r>
    </w:p>
    <w:p w:rsidR="00A6085B" w:rsidRPr="00A6085B" w:rsidRDefault="00A6085B" w:rsidP="00A6085B">
      <w:pPr>
        <w:jc w:val="both"/>
        <w:rPr>
          <w:rFonts w:eastAsia="Calibri" w:cs="Times New Roman"/>
        </w:rPr>
      </w:pPr>
      <w:r w:rsidRPr="00A6085B">
        <w:rPr>
          <w:rFonts w:eastAsia="Calibri" w:cs="Times New Roman"/>
        </w:rPr>
        <w:t xml:space="preserve">W takim przypadku rada gminy, na wniosek wójta, burmistrza albo prezydenta miasta, przed przystąpieniem do sporządzania </w:t>
      </w:r>
      <w:r w:rsidR="003E259E" w:rsidRPr="00A6085B">
        <w:rPr>
          <w:rFonts w:eastAsia="Calibri" w:cs="Times New Roman"/>
        </w:rPr>
        <w:t xml:space="preserve">Gminnego Programu </w:t>
      </w:r>
      <w:r w:rsidRPr="00A6085B">
        <w:rPr>
          <w:rFonts w:eastAsia="Calibri" w:cs="Times New Roman"/>
        </w:rPr>
        <w:t xml:space="preserve">rewitalizacji, podejmuje uchwałę w sprawie wyznaczenia obszaru zdegradowanego i obszaru rewitalizacji, na podstawie diagnozy pozwalającej na wyznaczenie tych obszarów zawartej w programie. </w:t>
      </w:r>
    </w:p>
    <w:p w:rsidR="00A6085B" w:rsidRPr="00A6085B" w:rsidRDefault="00A6085B" w:rsidP="00A6085B">
      <w:pPr>
        <w:jc w:val="both"/>
        <w:rPr>
          <w:rFonts w:eastAsia="Calibri" w:cs="Times New Roman"/>
        </w:rPr>
      </w:pPr>
      <w:r w:rsidRPr="00A6085B">
        <w:rPr>
          <w:rFonts w:eastAsia="Calibri" w:cs="Times New Roman"/>
        </w:rPr>
        <w:t xml:space="preserve">Po przyjęciu uchwały w sprawie wyznaczenia obszaru zdegradowanego i obszaru rewitalizacji, wójt, burmistrz albo prezydent miasta kolejno: </w:t>
      </w:r>
    </w:p>
    <w:p w:rsidR="00A6085B" w:rsidRPr="00A6085B" w:rsidRDefault="00A6085B" w:rsidP="00A6085B">
      <w:pPr>
        <w:jc w:val="both"/>
        <w:rPr>
          <w:rFonts w:eastAsia="Calibri" w:cs="Times New Roman"/>
        </w:rPr>
      </w:pPr>
      <w:r w:rsidRPr="00A6085B">
        <w:rPr>
          <w:rFonts w:eastAsia="Calibri" w:cs="Times New Roman"/>
        </w:rPr>
        <w:t xml:space="preserve">1) opracowuje na podstawie programu, projekt </w:t>
      </w:r>
      <w:r w:rsidR="003E259E" w:rsidRPr="00A6085B">
        <w:rPr>
          <w:rFonts w:eastAsia="Calibri" w:cs="Times New Roman"/>
        </w:rPr>
        <w:t xml:space="preserve">Gminnego Programu </w:t>
      </w:r>
      <w:r w:rsidRPr="00A6085B">
        <w:rPr>
          <w:rFonts w:eastAsia="Calibri" w:cs="Times New Roman"/>
        </w:rPr>
        <w:t xml:space="preserve">rewitalizacji; </w:t>
      </w:r>
    </w:p>
    <w:p w:rsidR="00A6085B" w:rsidRPr="00A6085B" w:rsidRDefault="00A6085B" w:rsidP="00A6085B">
      <w:pPr>
        <w:jc w:val="both"/>
        <w:rPr>
          <w:rFonts w:eastAsia="Calibri" w:cs="Times New Roman"/>
        </w:rPr>
      </w:pPr>
      <w:r w:rsidRPr="00A6085B">
        <w:rPr>
          <w:rFonts w:eastAsia="Calibri" w:cs="Times New Roman"/>
        </w:rPr>
        <w:t xml:space="preserve">2) przeprowadza konsultacje społeczne projektu </w:t>
      </w:r>
      <w:r w:rsidR="003E259E" w:rsidRPr="00A6085B">
        <w:rPr>
          <w:rFonts w:eastAsia="Calibri" w:cs="Times New Roman"/>
        </w:rPr>
        <w:t xml:space="preserve">Gminnego Programu </w:t>
      </w:r>
      <w:r w:rsidRPr="00A6085B">
        <w:rPr>
          <w:rFonts w:eastAsia="Calibri" w:cs="Times New Roman"/>
        </w:rPr>
        <w:t xml:space="preserve">rewitalizacji; </w:t>
      </w:r>
    </w:p>
    <w:p w:rsidR="00A6085B" w:rsidRPr="00A6085B" w:rsidRDefault="00A6085B" w:rsidP="00A6085B">
      <w:pPr>
        <w:ind w:left="284" w:hanging="284"/>
        <w:jc w:val="both"/>
        <w:rPr>
          <w:rFonts w:eastAsia="Calibri" w:cs="Times New Roman"/>
        </w:rPr>
      </w:pPr>
      <w:r w:rsidRPr="00A6085B">
        <w:rPr>
          <w:rFonts w:eastAsia="Calibri" w:cs="Times New Roman"/>
        </w:rPr>
        <w:t xml:space="preserve">3) wprowadza zmiany wynikające z konsultacji społecznych oraz przedstawia radzie gminy do uchwalenia projekt </w:t>
      </w:r>
      <w:r w:rsidR="003E259E" w:rsidRPr="00A6085B">
        <w:rPr>
          <w:rFonts w:eastAsia="Calibri" w:cs="Times New Roman"/>
        </w:rPr>
        <w:t xml:space="preserve">Gminnego Programu </w:t>
      </w:r>
      <w:r w:rsidRPr="00A6085B">
        <w:rPr>
          <w:rFonts w:eastAsia="Calibri" w:cs="Times New Roman"/>
        </w:rPr>
        <w:t xml:space="preserve">rewitalizacji. </w:t>
      </w:r>
    </w:p>
    <w:p w:rsidR="00A6085B" w:rsidRPr="00A6085B" w:rsidRDefault="00A6085B" w:rsidP="00A6085B">
      <w:pPr>
        <w:ind w:left="284" w:hanging="284"/>
        <w:jc w:val="both"/>
        <w:rPr>
          <w:rFonts w:eastAsia="Calibri" w:cs="Times New Roman"/>
        </w:rPr>
      </w:pPr>
    </w:p>
    <w:p w:rsidR="00A6085B" w:rsidRDefault="00A6085B" w:rsidP="00A76BDB">
      <w:pPr>
        <w:pStyle w:val="Nagwek2"/>
        <w:rPr>
          <w:rFonts w:eastAsiaTheme="minorEastAsia"/>
          <w:lang w:eastAsia="pl-PL"/>
        </w:rPr>
      </w:pPr>
      <w:bookmarkStart w:id="16" w:name="_Toc449963528"/>
      <w:bookmarkStart w:id="17" w:name="_Toc450562470"/>
      <w:bookmarkEnd w:id="13"/>
      <w:bookmarkEnd w:id="14"/>
      <w:bookmarkEnd w:id="15"/>
      <w:r w:rsidRPr="00A6085B">
        <w:rPr>
          <w:rFonts w:eastAsiaTheme="minorEastAsia"/>
          <w:lang w:eastAsia="pl-PL"/>
        </w:rPr>
        <w:t>1.2. INSTRUMENTY PLANISTYCZNE ZWIĄZANE Z REWITALIZACJĄ</w:t>
      </w:r>
      <w:bookmarkEnd w:id="16"/>
      <w:bookmarkEnd w:id="17"/>
    </w:p>
    <w:p w:rsidR="00A76BDB" w:rsidRPr="00A76BDB" w:rsidRDefault="00A76BDB" w:rsidP="00A76BDB">
      <w:pPr>
        <w:rPr>
          <w:lang w:eastAsia="pl-PL"/>
        </w:rPr>
      </w:pPr>
    </w:p>
    <w:p w:rsidR="003005F7" w:rsidRPr="003005F7" w:rsidRDefault="003005F7" w:rsidP="000D717F">
      <w:pPr>
        <w:jc w:val="both"/>
      </w:pPr>
      <w:r w:rsidRPr="003005F7">
        <w:t>Konieczność usytuowania Planu Rewitalizacji wśród innych dokumentów określających politykę rozwojową gminy oraz ustawowa i faktyczna pozycja gminy, jako jednostki odpowiedzialnej za te procesy, stawia na porządku dziennym sprawę niezbędnych kompetencji do wiążącego opracowania tego typu dokumentu i późniejszej realizacji zapisanych w nim zadań.</w:t>
      </w:r>
    </w:p>
    <w:p w:rsidR="003005F7" w:rsidRPr="003005F7" w:rsidRDefault="003005F7" w:rsidP="000D717F">
      <w:pPr>
        <w:jc w:val="both"/>
      </w:pPr>
      <w:r w:rsidRPr="003005F7">
        <w:t xml:space="preserve">Z oceny dotychczasowych rozwiązań prawnych wyłania się wniosek, że przygotowujące </w:t>
      </w:r>
      <w:r w:rsidRPr="003005F7">
        <w:br/>
        <w:t xml:space="preserve">i sterujące Programami Rewitalizacji gminy są w zasadzie pozbawione wystarczających uprawnień, aby kompleksowo zaplanować i skutecznie zrealizować takie przedsięwzięcia. Braki kompetencji </w:t>
      </w:r>
      <w:r w:rsidRPr="003005F7">
        <w:br/>
        <w:t xml:space="preserve">w tym zakresie można zlokalizować w dwóch płaszczyznach. Po pierwsze – część zagadnień, które </w:t>
      </w:r>
      <w:r w:rsidRPr="003005F7">
        <w:lastRenderedPageBreak/>
        <w:t>należy rozwiązać w ramach prowadzonych prac rewitalizacyjnych ustawodawca rozdzielił pomiędzy trzy szczeble samorządu terytorialnego. I tak w ogólnym ujęciu:</w:t>
      </w:r>
    </w:p>
    <w:p w:rsidR="003005F7" w:rsidRPr="003005F7" w:rsidRDefault="003005F7" w:rsidP="003005F7">
      <w:pPr>
        <w:jc w:val="both"/>
        <w:rPr>
          <w:rFonts w:ascii="Calibri" w:eastAsia="Times New Roman" w:hAnsi="Calibri" w:cs="Times New Roman"/>
          <w:lang w:eastAsia="pl-PL"/>
        </w:rPr>
      </w:pPr>
      <w:r w:rsidRPr="003005F7">
        <w:rPr>
          <w:rFonts w:ascii="Calibri" w:eastAsia="Times New Roman" w:hAnsi="Calibri" w:cs="Times New Roman"/>
          <w:lang w:eastAsia="pl-PL"/>
        </w:rPr>
        <w:t>– zgodnie z art. 7 ustawy o samorządzie gminy</w:t>
      </w:r>
      <w:r w:rsidRPr="003005F7">
        <w:rPr>
          <w:rFonts w:ascii="Calibri" w:eastAsia="Times New Roman" w:hAnsi="Calibri" w:cs="Times New Roman"/>
          <w:vertAlign w:val="superscript"/>
          <w:lang w:eastAsia="pl-PL"/>
        </w:rPr>
        <w:footnoteReference w:id="9"/>
      </w:r>
      <w:r w:rsidRPr="003005F7">
        <w:rPr>
          <w:rFonts w:ascii="Calibri" w:eastAsia="Times New Roman" w:hAnsi="Calibri" w:cs="Times New Roman"/>
          <w:lang w:eastAsia="pl-PL"/>
        </w:rPr>
        <w:t xml:space="preserve"> do zadań własnych gminy należą w większości zagadnienia m.in. materialno-przestrzenne, </w:t>
      </w:r>
    </w:p>
    <w:p w:rsidR="003005F7" w:rsidRPr="003005F7" w:rsidRDefault="003005F7" w:rsidP="003005F7">
      <w:pPr>
        <w:jc w:val="both"/>
        <w:rPr>
          <w:rFonts w:ascii="Calibri" w:eastAsia="Times New Roman" w:hAnsi="Calibri" w:cs="Times New Roman"/>
          <w:lang w:eastAsia="pl-PL"/>
        </w:rPr>
      </w:pPr>
      <w:r w:rsidRPr="003005F7">
        <w:rPr>
          <w:rFonts w:ascii="Calibri" w:eastAsia="Times New Roman" w:hAnsi="Calibri" w:cs="Times New Roman"/>
          <w:lang w:eastAsia="pl-PL"/>
        </w:rPr>
        <w:t>– zgodnie z art. 4. ust 1 ustawy o samorządzie powiatu</w:t>
      </w:r>
      <w:r w:rsidRPr="003005F7">
        <w:rPr>
          <w:rFonts w:ascii="Calibri" w:eastAsia="Times New Roman" w:hAnsi="Calibri" w:cs="Times New Roman"/>
          <w:vertAlign w:val="superscript"/>
          <w:lang w:eastAsia="pl-PL"/>
        </w:rPr>
        <w:footnoteReference w:id="10"/>
      </w:r>
      <w:r w:rsidRPr="003005F7">
        <w:rPr>
          <w:rFonts w:ascii="Calibri" w:eastAsia="Times New Roman" w:hAnsi="Calibri" w:cs="Times New Roman"/>
          <w:lang w:eastAsia="pl-PL"/>
        </w:rPr>
        <w:t xml:space="preserve"> do zadań własnych tej jednostki samorządu należą m.in. sprawy socjalno-społeczne, zagadnienia rynku pracy oraz zarządzanie nieruchomościami Skarbu Państwa, </w:t>
      </w:r>
    </w:p>
    <w:p w:rsidR="003005F7" w:rsidRPr="003005F7" w:rsidRDefault="003005F7" w:rsidP="003005F7">
      <w:pPr>
        <w:jc w:val="both"/>
        <w:rPr>
          <w:rFonts w:ascii="Calibri" w:eastAsia="Times New Roman" w:hAnsi="Calibri" w:cs="Times New Roman"/>
          <w:lang w:eastAsia="pl-PL"/>
        </w:rPr>
      </w:pPr>
      <w:r w:rsidRPr="003005F7">
        <w:rPr>
          <w:rFonts w:ascii="Calibri" w:eastAsia="Times New Roman" w:hAnsi="Calibri" w:cs="Times New Roman"/>
          <w:lang w:eastAsia="pl-PL"/>
        </w:rPr>
        <w:t>– zgodnie z art.11 ust.1 i 2 ustawy o samorządzie województwa</w:t>
      </w:r>
      <w:r w:rsidRPr="003005F7">
        <w:rPr>
          <w:rFonts w:ascii="Calibri" w:eastAsia="Times New Roman" w:hAnsi="Calibri" w:cs="Times New Roman"/>
          <w:vertAlign w:val="superscript"/>
          <w:lang w:eastAsia="pl-PL"/>
        </w:rPr>
        <w:footnoteReference w:id="11"/>
      </w:r>
      <w:r w:rsidRPr="003005F7">
        <w:rPr>
          <w:rFonts w:ascii="Calibri" w:eastAsia="Times New Roman" w:hAnsi="Calibri" w:cs="Times New Roman"/>
          <w:lang w:eastAsia="pl-PL"/>
        </w:rPr>
        <w:t xml:space="preserve"> do kompetencji tej jednostki należą zagadnienia związane z pobudzaniem aktywności gospodarczej, finansowaniem rozwoju oraz wspieraniem i prowadzeniem działań na rzecz integracji społecznej i przeciwdziałania wykluczeniu społecznemu. </w:t>
      </w:r>
    </w:p>
    <w:p w:rsidR="003005F7" w:rsidRPr="003005F7" w:rsidRDefault="003005F7" w:rsidP="003005F7">
      <w:pPr>
        <w:ind w:firstLine="1134"/>
        <w:jc w:val="both"/>
        <w:rPr>
          <w:rFonts w:ascii="Calibri" w:eastAsia="Times New Roman" w:hAnsi="Calibri" w:cs="Times New Roman"/>
          <w:lang w:eastAsia="pl-PL"/>
        </w:rPr>
      </w:pPr>
      <w:r w:rsidRPr="003005F7">
        <w:rPr>
          <w:rFonts w:ascii="Calibri" w:eastAsia="Times New Roman" w:hAnsi="Calibri" w:cs="Times New Roman"/>
          <w:lang w:eastAsia="pl-PL"/>
        </w:rPr>
        <w:t xml:space="preserve">Zatem sporządzenie spójnego Programu Rewitalizacji wymagać będzie współdziałania </w:t>
      </w:r>
      <w:r w:rsidRPr="003005F7">
        <w:rPr>
          <w:rFonts w:ascii="Calibri" w:eastAsia="Times New Roman" w:hAnsi="Calibri" w:cs="Times New Roman"/>
          <w:lang w:eastAsia="pl-PL"/>
        </w:rPr>
        <w:br/>
        <w:t xml:space="preserve">w planowaniu w zakresie wykraczającym poza dozwolony gminie, obszar użyteczności publicznej. </w:t>
      </w:r>
      <w:r w:rsidRPr="003005F7">
        <w:rPr>
          <w:rFonts w:ascii="Calibri" w:eastAsia="Times New Roman" w:hAnsi="Calibri" w:cs="Times New Roman"/>
          <w:lang w:eastAsia="pl-PL"/>
        </w:rPr>
        <w:br/>
        <w:t>Do takich należą np. ogólnie mówiąc wszelkie usługi, które na zasadach komercyjnych</w:t>
      </w:r>
      <w:r w:rsidRPr="003005F7">
        <w:rPr>
          <w:rFonts w:ascii="Calibri" w:eastAsia="Times New Roman" w:hAnsi="Calibri" w:cs="Times New Roman"/>
          <w:vertAlign w:val="superscript"/>
          <w:lang w:eastAsia="pl-PL"/>
        </w:rPr>
        <w:footnoteReference w:id="12"/>
      </w:r>
      <w:r w:rsidRPr="003005F7">
        <w:rPr>
          <w:rFonts w:ascii="Calibri" w:eastAsia="Times New Roman" w:hAnsi="Calibri" w:cs="Times New Roman"/>
          <w:lang w:eastAsia="pl-PL"/>
        </w:rPr>
        <w:t xml:space="preserve"> lub niekomercyjnych gmina mogłaby świadczyć na rzecz uczestników procesów rewitalizacyjnych przykładowo w sprawach; zarządzania i koordynowania prowadzonych inwestycji (w tym w zakresie mieszkalnictwa), obrotu i zarządzania nieruchomościami, prowadzania montażu finansowego, doradztwa w sprawach projektowych, szerokich działań prorozwojowych itp. </w:t>
      </w:r>
    </w:p>
    <w:p w:rsidR="003005F7" w:rsidRPr="003005F7" w:rsidRDefault="003005F7" w:rsidP="003005F7">
      <w:pPr>
        <w:ind w:firstLine="1134"/>
        <w:jc w:val="both"/>
        <w:rPr>
          <w:rFonts w:ascii="Calibri" w:eastAsia="Times New Roman" w:hAnsi="Calibri" w:cs="Times New Roman"/>
          <w:lang w:eastAsia="pl-PL"/>
        </w:rPr>
      </w:pPr>
      <w:r w:rsidRPr="003005F7">
        <w:rPr>
          <w:rFonts w:ascii="Calibri" w:eastAsia="Times New Roman" w:hAnsi="Calibri" w:cs="Times New Roman"/>
          <w:lang w:eastAsia="pl-PL"/>
        </w:rPr>
        <w:t xml:space="preserve">Zgodnie z ogólnym zapisem z art. 7.1. ustawy o samorządzie gminy art. 7. 1. Zaspokajanie zbiorowych potrzeb wspólnoty należy do zadań własnych gminy oraz art. 1 ustawy </w:t>
      </w:r>
      <w:r w:rsidRPr="003005F7">
        <w:rPr>
          <w:rFonts w:ascii="Calibri" w:eastAsia="Times New Roman" w:hAnsi="Calibri" w:cs="Times New Roman"/>
          <w:lang w:eastAsia="pl-PL"/>
        </w:rPr>
        <w:br/>
        <w:t xml:space="preserve">o gospodarce komunalnej, który stwierdza co następuje: art. 1. 1. Ustawa określa zasady i formy gospodarki komunalnej jednostek samorządu terytorialnego, polegające na wykonywaniu przez te jednostki zadań własnych, w celu zaspokojenia zbiorowych potrzeb wspólnoty samorządowej. Gospodarka komunalna obejmuje w szczególności zadania o charakterze użyteczności publicznej, których celem jest bieżące i nieprzerwane zaspokajanie zbiorowych potrzeb ludności w drodze świadczenia usług powszechnie dostępnych. </w:t>
      </w:r>
    </w:p>
    <w:p w:rsidR="003005F7" w:rsidRPr="003005F7" w:rsidRDefault="003005F7" w:rsidP="003005F7">
      <w:pPr>
        <w:ind w:firstLine="1134"/>
        <w:jc w:val="both"/>
        <w:rPr>
          <w:rFonts w:ascii="Calibri" w:eastAsia="Times New Roman" w:hAnsi="Calibri" w:cs="Times New Roman"/>
          <w:lang w:eastAsia="pl-PL"/>
        </w:rPr>
      </w:pPr>
      <w:r w:rsidRPr="003005F7">
        <w:rPr>
          <w:rFonts w:ascii="Calibri" w:eastAsia="Times New Roman" w:hAnsi="Calibri" w:cs="Times New Roman"/>
          <w:lang w:eastAsia="pl-PL"/>
        </w:rPr>
        <w:t xml:space="preserve">Takim zadaniem jest bez wątpienia poprawa, szeroko rozumianego, standardu zamieszkiwania w gminie. Można jednak mieć wątpliwości, czy działalność ograniczona terytorialnie </w:t>
      </w:r>
      <w:r w:rsidRPr="003005F7">
        <w:rPr>
          <w:rFonts w:ascii="Calibri" w:eastAsia="Times New Roman" w:hAnsi="Calibri" w:cs="Times New Roman"/>
          <w:lang w:eastAsia="pl-PL"/>
        </w:rPr>
        <w:br/>
        <w:t>i czasowo (obszar rewitalizacji i tylko na czas trwania tego Programu) oraz specyfika procesów rewitalizacyjnych spełnia kryteria „bieżącego i nieprzerwanego zaspokajania zbiorowych potrzeb ludności na usługi powszechnie dostępne”, a więc wypełnia warunki, pod którymi może stanowić przedmiot instytucjonalnego zainteresowania gminy.</w:t>
      </w:r>
    </w:p>
    <w:p w:rsidR="003005F7" w:rsidRPr="003005F7" w:rsidRDefault="003005F7" w:rsidP="003005F7">
      <w:pPr>
        <w:ind w:firstLine="708"/>
        <w:jc w:val="both"/>
        <w:rPr>
          <w:rFonts w:ascii="Calibri" w:eastAsia="Times New Roman" w:hAnsi="Calibri" w:cs="Times New Roman"/>
          <w:lang w:eastAsia="pl-PL"/>
        </w:rPr>
      </w:pPr>
      <w:r w:rsidRPr="003005F7">
        <w:rPr>
          <w:rFonts w:ascii="Calibri" w:eastAsia="Times New Roman" w:hAnsi="Calibri" w:cs="Times New Roman"/>
          <w:lang w:eastAsia="pl-PL"/>
        </w:rPr>
        <w:lastRenderedPageBreak/>
        <w:t xml:space="preserve">Poza sferą użyteczności publicznej gmina może działać poprzez spółki prawa handlowego, </w:t>
      </w:r>
      <w:r w:rsidRPr="003005F7">
        <w:rPr>
          <w:rFonts w:ascii="Calibri" w:eastAsia="Times New Roman" w:hAnsi="Calibri" w:cs="Times New Roman"/>
          <w:lang w:eastAsia="pl-PL"/>
        </w:rPr>
        <w:br/>
        <w:t>ale tylko w sytuacjach wymienionych w art. 10 ust. 1 i 2 ustawy o gospodarce komunalnej</w:t>
      </w:r>
      <w:r w:rsidRPr="003005F7">
        <w:rPr>
          <w:rFonts w:ascii="Calibri" w:eastAsia="Times New Roman" w:hAnsi="Calibri" w:cs="Times New Roman"/>
          <w:vertAlign w:val="superscript"/>
          <w:lang w:eastAsia="pl-PL"/>
        </w:rPr>
        <w:footnoteReference w:id="13"/>
      </w:r>
      <w:r w:rsidRPr="003005F7">
        <w:rPr>
          <w:rFonts w:ascii="Calibri" w:eastAsia="Times New Roman" w:hAnsi="Calibri" w:cs="Times New Roman"/>
          <w:lang w:eastAsia="pl-PL"/>
        </w:rPr>
        <w:t xml:space="preserve"> tzn., </w:t>
      </w:r>
      <w:r w:rsidRPr="003005F7">
        <w:rPr>
          <w:rFonts w:ascii="Calibri" w:eastAsia="Times New Roman" w:hAnsi="Calibri" w:cs="Times New Roman"/>
          <w:lang w:eastAsia="pl-PL"/>
        </w:rPr>
        <w:br/>
        <w:t>kiedy spełnione są łącznie następujące przesłanki:</w:t>
      </w:r>
    </w:p>
    <w:p w:rsidR="003005F7" w:rsidRPr="003005F7" w:rsidRDefault="003005F7" w:rsidP="003005F7">
      <w:pPr>
        <w:tabs>
          <w:tab w:val="num" w:pos="720"/>
        </w:tabs>
        <w:jc w:val="both"/>
        <w:rPr>
          <w:rFonts w:ascii="Calibri" w:eastAsia="Times New Roman" w:hAnsi="Calibri" w:cs="Times New Roman"/>
          <w:lang w:eastAsia="pl-PL"/>
        </w:rPr>
      </w:pPr>
      <w:r w:rsidRPr="003005F7">
        <w:rPr>
          <w:rFonts w:ascii="Calibri" w:eastAsia="Times New Roman" w:hAnsi="Calibri" w:cs="Times New Roman"/>
          <w:lang w:eastAsia="pl-PL"/>
        </w:rPr>
        <w:t xml:space="preserve">- istnieją niezaspokojone potrzeby wspólnoty samorządowej na rynku lokalnym, </w:t>
      </w:r>
    </w:p>
    <w:p w:rsidR="003005F7" w:rsidRPr="003005F7" w:rsidRDefault="003005F7" w:rsidP="003005F7">
      <w:pPr>
        <w:jc w:val="both"/>
        <w:rPr>
          <w:rFonts w:ascii="Calibri" w:eastAsia="Times New Roman" w:hAnsi="Calibri" w:cs="Times New Roman"/>
          <w:lang w:eastAsia="pl-PL"/>
        </w:rPr>
      </w:pPr>
      <w:r w:rsidRPr="003005F7">
        <w:rPr>
          <w:rFonts w:ascii="Calibri" w:eastAsia="Times New Roman" w:hAnsi="Calibri" w:cs="Times New Roman"/>
          <w:lang w:eastAsia="pl-PL"/>
        </w:rPr>
        <w:t>- występujące w gminie bezrobocie w znacznym stopniu wpływa ujemnie na poziom życia wspólnoty samorządowej, a zastosowanie innych działań i wynikających z obowiązujących przepisów środków prawnych nie doprowadziło do aktywizacji gospodarczej, a w szczególności do znacznego ożywienia rynku lokalnego lub trwałego ograniczenia bezrobocia.</w:t>
      </w:r>
    </w:p>
    <w:p w:rsidR="003005F7" w:rsidRPr="003005F7" w:rsidRDefault="003005F7" w:rsidP="003005F7">
      <w:pPr>
        <w:jc w:val="center"/>
        <w:rPr>
          <w:rFonts w:ascii="Calibri" w:eastAsia="Times New Roman" w:hAnsi="Calibri" w:cs="Times New Roman"/>
          <w:lang w:eastAsia="pl-PL"/>
        </w:rPr>
      </w:pPr>
    </w:p>
    <w:p w:rsidR="003005F7" w:rsidRPr="003005F7" w:rsidRDefault="003005F7" w:rsidP="003005F7">
      <w:pPr>
        <w:jc w:val="center"/>
        <w:rPr>
          <w:b/>
          <w:i/>
          <w:u w:val="single"/>
          <w:lang w:eastAsia="pl-PL"/>
        </w:rPr>
      </w:pPr>
      <w:r w:rsidRPr="003005F7">
        <w:rPr>
          <w:b/>
          <w:i/>
          <w:u w:val="single"/>
          <w:lang w:eastAsia="pl-PL"/>
        </w:rPr>
        <w:t>Strategia Rozwoju Gminy</w:t>
      </w:r>
    </w:p>
    <w:p w:rsidR="003005F7" w:rsidRPr="003005F7" w:rsidRDefault="003005F7" w:rsidP="004140DA">
      <w:pPr>
        <w:jc w:val="both"/>
        <w:rPr>
          <w:rFonts w:ascii="Calibri" w:eastAsia="Times New Roman" w:hAnsi="Calibri" w:cs="Times New Roman"/>
          <w:lang w:eastAsia="pl-PL"/>
        </w:rPr>
      </w:pPr>
      <w:r w:rsidRPr="003005F7">
        <w:rPr>
          <w:rFonts w:ascii="Calibri" w:eastAsia="Times New Roman" w:hAnsi="Calibri" w:cs="Times New Roman"/>
          <w:lang w:eastAsia="pl-PL"/>
        </w:rPr>
        <w:t>Program Rewitalizacji powinien być częścią większej całości, jaką jest Strategia (Polityka) Rozwoju Gminy, przyjmująca najczęściej prawną formę – uchwały Rady Gminy. Ustalanie celów oraz sposobów ich osiągnięcia (Strategia Rozwoju) dla całego spektrum zagadnień, które powinny znaleźć się w kręgu zainteresowań organów samorządu terytorialnego jest, zgodnie z obowiązującym prawem, obligatoryjne tylko w części dotyczącej gospodarki przestrzennej gminy – art. 9 ust.1 ustawy o planowaniu i zagospodarowaniu przestrzennym</w:t>
      </w:r>
      <w:r w:rsidRPr="003005F7">
        <w:rPr>
          <w:rFonts w:ascii="Calibri" w:eastAsia="Times New Roman" w:hAnsi="Calibri" w:cs="Times New Roman"/>
          <w:vertAlign w:val="superscript"/>
          <w:lang w:eastAsia="pl-PL"/>
        </w:rPr>
        <w:footnoteReference w:id="14"/>
      </w:r>
      <w:r w:rsidRPr="003005F7">
        <w:rPr>
          <w:rFonts w:ascii="Calibri" w:eastAsia="Times New Roman" w:hAnsi="Calibri" w:cs="Times New Roman"/>
          <w:lang w:eastAsia="pl-PL"/>
        </w:rPr>
        <w:t xml:space="preserve">. Dotyczy to również uprzedniego sporządzenia wszelkich analiz i ekspertyz mających ustalić „stan obecny” w gminie. Obowiązki gminy w tym zakresie zawiera art. 32 cytowanej ustawy o planowaniu i zagospodarowaniu przestrzennym, </w:t>
      </w:r>
      <w:r w:rsidRPr="003005F7">
        <w:rPr>
          <w:rFonts w:ascii="Calibri" w:eastAsia="Times New Roman" w:hAnsi="Calibri" w:cs="Times New Roman"/>
          <w:lang w:eastAsia="pl-PL"/>
        </w:rPr>
        <w:br/>
        <w:t>ale dotyczy on tylko zagadnień przestrzennych. W pozostałych zakresach funkcjonowania wspólnoty terytorialnej, zakres, układ, analiz i innych opracowań jest fakultatywny; gmina nie ma w tym zakresie żadnych ustawowych ograniczeń.</w:t>
      </w:r>
    </w:p>
    <w:p w:rsidR="003005F7" w:rsidRPr="003005F7" w:rsidRDefault="003005F7" w:rsidP="004140DA">
      <w:pPr>
        <w:jc w:val="both"/>
        <w:rPr>
          <w:rFonts w:ascii="Calibri" w:eastAsia="Times New Roman" w:hAnsi="Calibri" w:cs="Times New Roman"/>
          <w:lang w:eastAsia="pl-PL"/>
        </w:rPr>
      </w:pPr>
      <w:r w:rsidRPr="003005F7">
        <w:rPr>
          <w:rFonts w:ascii="Calibri" w:eastAsia="Times New Roman" w:hAnsi="Calibri" w:cs="Times New Roman"/>
          <w:lang w:eastAsia="pl-PL"/>
        </w:rPr>
        <w:t>Pewnym czynnikiem dyscyplinującym gminy w zakresie posiadania Strategii Rozwoju jest możliwość uzyskania wsparcia ze środków wspól</w:t>
      </w:r>
      <w:r w:rsidR="000D717F">
        <w:rPr>
          <w:rFonts w:ascii="Calibri" w:eastAsia="Times New Roman" w:hAnsi="Calibri" w:cs="Times New Roman"/>
          <w:lang w:eastAsia="pl-PL"/>
        </w:rPr>
        <w:t xml:space="preserve">notowych na inwestycje gminne. </w:t>
      </w:r>
      <w:r w:rsidRPr="003005F7">
        <w:rPr>
          <w:rFonts w:ascii="Calibri" w:eastAsia="Times New Roman" w:hAnsi="Calibri" w:cs="Times New Roman"/>
          <w:lang w:eastAsia="pl-PL"/>
        </w:rPr>
        <w:t>Otóż jednym z warunków uzyskania wsparcia z tego źród</w:t>
      </w:r>
      <w:r w:rsidR="000D717F">
        <w:rPr>
          <w:rFonts w:ascii="Calibri" w:eastAsia="Times New Roman" w:hAnsi="Calibri" w:cs="Times New Roman"/>
          <w:lang w:eastAsia="pl-PL"/>
        </w:rPr>
        <w:t xml:space="preserve">ła jest posiadanie przez gminę </w:t>
      </w:r>
      <w:r w:rsidRPr="003005F7">
        <w:rPr>
          <w:rFonts w:ascii="Calibri" w:eastAsia="Times New Roman" w:hAnsi="Calibri" w:cs="Times New Roman"/>
          <w:lang w:eastAsia="pl-PL"/>
        </w:rPr>
        <w:t>tzw. Programu Rozwoju Lokalnego pełniącego funkcję Strategii Rozwoju Gminy. Są to na ogół jednak dokumenty bardzo pragmatyczne, ukierunk</w:t>
      </w:r>
      <w:r w:rsidR="000D717F">
        <w:rPr>
          <w:rFonts w:ascii="Calibri" w:eastAsia="Times New Roman" w:hAnsi="Calibri" w:cs="Times New Roman"/>
          <w:lang w:eastAsia="pl-PL"/>
        </w:rPr>
        <w:t xml:space="preserve">owane na te zadania rozwojowe, </w:t>
      </w:r>
      <w:r w:rsidRPr="003005F7">
        <w:rPr>
          <w:rFonts w:ascii="Calibri" w:eastAsia="Times New Roman" w:hAnsi="Calibri" w:cs="Times New Roman"/>
          <w:lang w:eastAsia="pl-PL"/>
        </w:rPr>
        <w:t>które mogą uzyskać dofinansowanie za środków UE.</w:t>
      </w:r>
    </w:p>
    <w:p w:rsidR="003005F7" w:rsidRPr="003005F7" w:rsidRDefault="003005F7" w:rsidP="004140DA">
      <w:pPr>
        <w:jc w:val="both"/>
        <w:rPr>
          <w:rFonts w:ascii="Calibri" w:eastAsia="Times New Roman" w:hAnsi="Calibri" w:cs="Times New Roman"/>
          <w:lang w:eastAsia="pl-PL"/>
        </w:rPr>
      </w:pPr>
      <w:r w:rsidRPr="003005F7">
        <w:rPr>
          <w:rFonts w:ascii="Calibri" w:eastAsia="Times New Roman" w:hAnsi="Calibri" w:cs="Times New Roman"/>
          <w:lang w:eastAsia="pl-PL"/>
        </w:rPr>
        <w:t xml:space="preserve">Opracowanie Planu Społeczno-Gospodarczego Rozwoju Gminy (Strategii Rozwoju) leży wyłącznie </w:t>
      </w:r>
      <w:r w:rsidR="000D717F">
        <w:rPr>
          <w:rFonts w:ascii="Calibri" w:eastAsia="Times New Roman" w:hAnsi="Calibri" w:cs="Times New Roman"/>
          <w:lang w:eastAsia="pl-PL"/>
        </w:rPr>
        <w:br/>
      </w:r>
      <w:r w:rsidRPr="003005F7">
        <w:rPr>
          <w:rFonts w:ascii="Calibri" w:eastAsia="Times New Roman" w:hAnsi="Calibri" w:cs="Times New Roman"/>
          <w:lang w:eastAsia="pl-PL"/>
        </w:rPr>
        <w:t>w kompetencjach Rady Gminy – art. 7 w powiązaniu</w:t>
      </w:r>
      <w:r w:rsidR="000D717F">
        <w:rPr>
          <w:rFonts w:ascii="Calibri" w:eastAsia="Times New Roman" w:hAnsi="Calibri" w:cs="Times New Roman"/>
          <w:lang w:eastAsia="pl-PL"/>
        </w:rPr>
        <w:t xml:space="preserve"> z art. 18 ust. 2 pkt 6 ustawy </w:t>
      </w:r>
      <w:r w:rsidRPr="003005F7">
        <w:rPr>
          <w:rFonts w:ascii="Calibri" w:eastAsia="Times New Roman" w:hAnsi="Calibri" w:cs="Times New Roman"/>
          <w:lang w:eastAsia="pl-PL"/>
        </w:rPr>
        <w:t>o samorządzie gminnym. Uchwalona Strategia Rozwoju Gminy (wraz z częścią nazwaną Planem Operacyjnym, zawierającym zestawienie zadań przewidzianych do realizacji, jednostek odpowiedzialnych, terminów realizacji wraz z przewidywanymi koniecznymi środkami) stanowi dla Zarządu Gminy najważniejszy instrument planistyczny rozwoju gminy, instrument niezbędny dla realizacji społeczno-gospodarczej polityki gminy.</w:t>
      </w:r>
    </w:p>
    <w:p w:rsidR="003005F7" w:rsidRPr="003005F7" w:rsidRDefault="003005F7" w:rsidP="004140DA">
      <w:pPr>
        <w:jc w:val="both"/>
        <w:rPr>
          <w:rFonts w:ascii="Calibri" w:eastAsia="Times New Roman" w:hAnsi="Calibri" w:cs="Times New Roman"/>
          <w:lang w:eastAsia="pl-PL"/>
        </w:rPr>
      </w:pPr>
      <w:r w:rsidRPr="003005F7">
        <w:rPr>
          <w:rFonts w:ascii="Calibri" w:eastAsia="Times New Roman" w:hAnsi="Calibri" w:cs="Times New Roman"/>
          <w:lang w:eastAsia="pl-PL"/>
        </w:rPr>
        <w:lastRenderedPageBreak/>
        <w:t>Strategia, choć nie jest przepisem miejscowym (gminnym), jest jednak obowiązująca dla Zarządu (art. 30 ustawy o samorządzie gminnym). Realizacja uchwalonych założeń Strategii jest jednym z kryteriów oceny działalności Zarządu i może być podstawą do wysunięcia wniosku o jego odwołanie.</w:t>
      </w:r>
    </w:p>
    <w:p w:rsidR="003005F7" w:rsidRPr="003005F7" w:rsidRDefault="003005F7" w:rsidP="004140DA">
      <w:pPr>
        <w:jc w:val="both"/>
        <w:rPr>
          <w:rFonts w:ascii="Calibri" w:eastAsia="Times New Roman" w:hAnsi="Calibri" w:cs="Times New Roman"/>
          <w:lang w:eastAsia="pl-PL"/>
        </w:rPr>
      </w:pPr>
      <w:r w:rsidRPr="003005F7">
        <w:rPr>
          <w:rFonts w:ascii="Calibri" w:eastAsia="Times New Roman" w:hAnsi="Calibri" w:cs="Times New Roman"/>
          <w:lang w:eastAsia="pl-PL"/>
        </w:rPr>
        <w:t xml:space="preserve">Chcąc prowadzić spójną politykę rozwoju, w takim dokumencie powinien być zawarty cały zakres zadań przestrzennych, społecznych i ekonomicznych gminy. Dla wszystkich tych zakresów powinny być ustalone cele, metody osiągania tych celów oraz środki (instrumenty), za pomocą których cele te można osiągnąć. Strategia Rozwoju Gminy powinna być ponadto opracowaniem dynamicznym, ulegającym pewnym zmianom w zależności od zmieniających się czynników zewnętrznych weryfikujących pozytywnie lub negatywnie założone cele oraz możliwości ich osiągnięcia. Ponieważ obecnie brak jest regulacji, które ujednolicałyby zawartość i układ Strategii Rozwoju Gminy, dokumenty te cechuje z zasady znaczna różnorodność zarówno pod względem zawartości merytorycznej jak i układu treści oraz stopnia szczegółowości prezentowanych celów </w:t>
      </w:r>
      <w:r w:rsidRPr="003005F7">
        <w:rPr>
          <w:rFonts w:ascii="Calibri" w:eastAsia="Times New Roman" w:hAnsi="Calibri" w:cs="Times New Roman"/>
          <w:lang w:eastAsia="pl-PL"/>
        </w:rPr>
        <w:br/>
        <w:t>i możliwości ich osiągnięcia.</w:t>
      </w:r>
    </w:p>
    <w:p w:rsidR="003005F7" w:rsidRPr="003005F7" w:rsidRDefault="003005F7" w:rsidP="004140DA">
      <w:pPr>
        <w:widowControl w:val="0"/>
        <w:tabs>
          <w:tab w:val="left" w:pos="142"/>
          <w:tab w:val="left" w:pos="284"/>
        </w:tabs>
        <w:spacing w:after="0"/>
        <w:contextualSpacing/>
        <w:jc w:val="both"/>
        <w:rPr>
          <w:rFonts w:ascii="Calibri" w:eastAsia="Times New Roman" w:hAnsi="Calibri" w:cs="Calibri"/>
          <w:bCs/>
          <w:iCs/>
        </w:rPr>
      </w:pPr>
      <w:r w:rsidRPr="003005F7">
        <w:rPr>
          <w:rFonts w:ascii="Calibri" w:eastAsia="Times New Roman" w:hAnsi="Calibri" w:cs="Calibri"/>
          <w:bCs/>
          <w:iCs/>
        </w:rPr>
        <w:t xml:space="preserve">Strategia Rozwoju Gminy to długofalowy proces wytyczania i osiągania celów wspólnoty samorządowej. Określa ona generalny kierunek, aspiracje i priorytety rozwoju społeczno-gospodarczego jednostki oraz przedstawia metody i narzędzia wdrożeniowe. Zapisy Strategii stanowią determinantę decyzji merytorycznych, organizacyjnych i finansowych podejmowanych przez władze samorządowe. </w:t>
      </w:r>
    </w:p>
    <w:p w:rsidR="004140DA" w:rsidRDefault="004140DA" w:rsidP="004140DA">
      <w:pPr>
        <w:widowControl w:val="0"/>
        <w:tabs>
          <w:tab w:val="left" w:pos="142"/>
          <w:tab w:val="left" w:pos="284"/>
        </w:tabs>
        <w:spacing w:after="0"/>
        <w:contextualSpacing/>
        <w:jc w:val="both"/>
        <w:rPr>
          <w:rFonts w:ascii="Calibri" w:eastAsia="Times New Roman" w:hAnsi="Calibri" w:cs="Calibri"/>
          <w:bCs/>
          <w:iCs/>
        </w:rPr>
      </w:pPr>
    </w:p>
    <w:p w:rsidR="003005F7" w:rsidRDefault="003005F7" w:rsidP="004140DA">
      <w:pPr>
        <w:widowControl w:val="0"/>
        <w:tabs>
          <w:tab w:val="left" w:pos="142"/>
          <w:tab w:val="left" w:pos="284"/>
        </w:tabs>
        <w:spacing w:after="0"/>
        <w:contextualSpacing/>
        <w:jc w:val="both"/>
        <w:rPr>
          <w:rFonts w:ascii="Calibri" w:eastAsia="Times New Roman" w:hAnsi="Calibri" w:cs="Calibri"/>
          <w:bCs/>
          <w:iCs/>
        </w:rPr>
      </w:pPr>
      <w:r w:rsidRPr="003005F7">
        <w:rPr>
          <w:rFonts w:ascii="Calibri" w:eastAsia="Times New Roman" w:hAnsi="Calibri" w:cs="Calibri"/>
          <w:bCs/>
          <w:iCs/>
        </w:rPr>
        <w:t xml:space="preserve">Strategia Rozwoju Gminy Mirzec na lata 2013-2020 zawiera merytorycznie istotne elementy łączące ją z </w:t>
      </w:r>
      <w:r w:rsidR="00A0323D">
        <w:rPr>
          <w:rFonts w:ascii="Calibri" w:eastAsia="Times New Roman" w:hAnsi="Calibri" w:cs="Calibri"/>
          <w:bCs/>
          <w:iCs/>
        </w:rPr>
        <w:t>Gminnym</w:t>
      </w:r>
      <w:r w:rsidRPr="003005F7">
        <w:rPr>
          <w:rFonts w:ascii="Calibri" w:eastAsia="Times New Roman" w:hAnsi="Calibri" w:cs="Calibri"/>
          <w:bCs/>
          <w:iCs/>
        </w:rPr>
        <w:t xml:space="preserve"> Programem Rewitalizacji Miejscowości Mirzec na lata 201</w:t>
      </w:r>
      <w:r w:rsidR="00A0323D">
        <w:rPr>
          <w:rFonts w:ascii="Calibri" w:eastAsia="Times New Roman" w:hAnsi="Calibri" w:cs="Calibri"/>
          <w:bCs/>
          <w:iCs/>
        </w:rPr>
        <w:t>6</w:t>
      </w:r>
      <w:r w:rsidRPr="003005F7">
        <w:rPr>
          <w:rFonts w:ascii="Calibri" w:eastAsia="Times New Roman" w:hAnsi="Calibri" w:cs="Calibri"/>
          <w:bCs/>
          <w:iCs/>
        </w:rPr>
        <w:t>-2020,  jak:</w:t>
      </w:r>
    </w:p>
    <w:p w:rsidR="003005F7" w:rsidRDefault="003005F7" w:rsidP="003005F7">
      <w:pPr>
        <w:widowControl w:val="0"/>
        <w:tabs>
          <w:tab w:val="left" w:pos="142"/>
          <w:tab w:val="left" w:pos="284"/>
        </w:tabs>
        <w:spacing w:after="0"/>
        <w:ind w:firstLine="1134"/>
        <w:contextualSpacing/>
        <w:jc w:val="both"/>
        <w:rPr>
          <w:rFonts w:ascii="Calibri" w:eastAsia="Times New Roman" w:hAnsi="Calibri" w:cs="Calibri"/>
          <w:bCs/>
          <w:iCs/>
        </w:rPr>
      </w:pPr>
    </w:p>
    <w:p w:rsidR="003005F7" w:rsidRPr="003005F7" w:rsidRDefault="003005F7" w:rsidP="00A0323D">
      <w:pPr>
        <w:widowControl w:val="0"/>
        <w:tabs>
          <w:tab w:val="left" w:pos="142"/>
          <w:tab w:val="left" w:pos="284"/>
        </w:tabs>
        <w:spacing w:after="0"/>
        <w:contextualSpacing/>
        <w:jc w:val="both"/>
        <w:rPr>
          <w:rFonts w:ascii="Calibri" w:eastAsia="Times New Roman" w:hAnsi="Calibri" w:cs="Calibri"/>
          <w:bCs/>
          <w:iCs/>
        </w:rPr>
      </w:pPr>
    </w:p>
    <w:p w:rsidR="003005F7" w:rsidRPr="003005F7" w:rsidRDefault="003005F7" w:rsidP="003005F7">
      <w:pPr>
        <w:spacing w:after="0" w:line="240" w:lineRule="auto"/>
        <w:rPr>
          <w:rFonts w:eastAsia="Times New Roman" w:cs="Arial"/>
          <w:b/>
          <w:color w:val="31849B" w:themeColor="accent5" w:themeShade="BF"/>
          <w:sz w:val="40"/>
          <w:szCs w:val="40"/>
          <w:lang w:eastAsia="pl-PL"/>
        </w:rPr>
      </w:pPr>
      <w:r w:rsidRPr="003005F7">
        <w:rPr>
          <w:rFonts w:eastAsia="Times New Roman" w:cs="Arial"/>
          <w:b/>
          <w:color w:val="31849B" w:themeColor="accent5" w:themeShade="BF"/>
          <w:sz w:val="40"/>
          <w:szCs w:val="40"/>
          <w:lang w:eastAsia="pl-PL"/>
        </w:rPr>
        <w:t>WIZJA</w:t>
      </w:r>
    </w:p>
    <w:p w:rsidR="003005F7" w:rsidRDefault="003005F7" w:rsidP="003005F7">
      <w:pPr>
        <w:spacing w:after="0" w:line="240" w:lineRule="auto"/>
        <w:jc w:val="center"/>
        <w:rPr>
          <w:rFonts w:eastAsia="Times New Roman" w:cs="Arial"/>
          <w:b/>
          <w:color w:val="31849B" w:themeColor="accent5" w:themeShade="BF"/>
          <w:sz w:val="40"/>
          <w:szCs w:val="40"/>
          <w:lang w:eastAsia="pl-PL"/>
        </w:rPr>
      </w:pPr>
      <w:r w:rsidRPr="003005F7">
        <w:rPr>
          <w:rFonts w:eastAsia="Times New Roman" w:cs="Arial"/>
          <w:b/>
          <w:color w:val="31849B" w:themeColor="accent5" w:themeShade="BF"/>
          <w:sz w:val="40"/>
          <w:szCs w:val="40"/>
          <w:lang w:eastAsia="pl-PL"/>
        </w:rPr>
        <w:t xml:space="preserve">Gmina Mirzec obszarem zrównoważonego </w:t>
      </w:r>
      <w:r w:rsidR="003978E3">
        <w:rPr>
          <w:rFonts w:eastAsia="Times New Roman" w:cs="Arial"/>
          <w:b/>
          <w:color w:val="31849B" w:themeColor="accent5" w:themeShade="BF"/>
          <w:sz w:val="40"/>
          <w:szCs w:val="40"/>
          <w:lang w:eastAsia="pl-PL"/>
        </w:rPr>
        <w:t>rozwoju społeczn</w:t>
      </w:r>
      <w:r w:rsidR="00720731">
        <w:rPr>
          <w:rFonts w:eastAsia="Times New Roman" w:cs="Arial"/>
          <w:b/>
          <w:color w:val="31849B" w:themeColor="accent5" w:themeShade="BF"/>
          <w:sz w:val="40"/>
          <w:szCs w:val="40"/>
          <w:lang w:eastAsia="pl-PL"/>
        </w:rPr>
        <w:t>o-ekonomicznego z dbałością o ochronę środowiska</w:t>
      </w:r>
      <w:r w:rsidRPr="003005F7">
        <w:rPr>
          <w:rFonts w:eastAsia="Times New Roman" w:cs="Arial"/>
          <w:b/>
          <w:color w:val="31849B" w:themeColor="accent5" w:themeShade="BF"/>
          <w:sz w:val="40"/>
          <w:szCs w:val="40"/>
          <w:lang w:eastAsia="pl-PL"/>
        </w:rPr>
        <w:t>, kreac</w:t>
      </w:r>
      <w:r w:rsidR="00720731">
        <w:rPr>
          <w:rFonts w:eastAsia="Times New Roman" w:cs="Arial"/>
          <w:b/>
          <w:color w:val="31849B" w:themeColor="accent5" w:themeShade="BF"/>
          <w:sz w:val="40"/>
          <w:szCs w:val="40"/>
          <w:lang w:eastAsia="pl-PL"/>
        </w:rPr>
        <w:t xml:space="preserve">ji czasu wolnego oraz wysokiej jakości </w:t>
      </w:r>
      <w:r w:rsidRPr="003005F7">
        <w:rPr>
          <w:rFonts w:eastAsia="Times New Roman" w:cs="Arial"/>
          <w:b/>
          <w:color w:val="31849B" w:themeColor="accent5" w:themeShade="BF"/>
          <w:sz w:val="40"/>
          <w:szCs w:val="40"/>
          <w:lang w:eastAsia="pl-PL"/>
        </w:rPr>
        <w:t>poziomu</w:t>
      </w:r>
      <w:r w:rsidR="00720731">
        <w:rPr>
          <w:rFonts w:eastAsia="Times New Roman" w:cs="Arial"/>
          <w:b/>
          <w:color w:val="31849B" w:themeColor="accent5" w:themeShade="BF"/>
          <w:sz w:val="40"/>
          <w:szCs w:val="40"/>
          <w:lang w:eastAsia="pl-PL"/>
        </w:rPr>
        <w:t xml:space="preserve"> życia </w:t>
      </w:r>
      <w:r w:rsidRPr="003005F7">
        <w:rPr>
          <w:rFonts w:eastAsia="Times New Roman" w:cs="Arial"/>
          <w:b/>
          <w:color w:val="31849B" w:themeColor="accent5" w:themeShade="BF"/>
          <w:sz w:val="40"/>
          <w:szCs w:val="40"/>
          <w:lang w:eastAsia="pl-PL"/>
        </w:rPr>
        <w:t>i aktywności społecznej mieszkańców</w:t>
      </w:r>
    </w:p>
    <w:p w:rsidR="00A0323D" w:rsidRPr="003005F7" w:rsidRDefault="00A0323D" w:rsidP="003005F7">
      <w:pPr>
        <w:spacing w:after="0" w:line="240" w:lineRule="auto"/>
        <w:jc w:val="center"/>
        <w:rPr>
          <w:rFonts w:eastAsia="Times New Roman" w:cs="Arial"/>
          <w:b/>
          <w:color w:val="31849B" w:themeColor="accent5" w:themeShade="BF"/>
          <w:sz w:val="40"/>
          <w:szCs w:val="40"/>
          <w:lang w:eastAsia="pl-PL"/>
        </w:rPr>
      </w:pPr>
    </w:p>
    <w:p w:rsidR="003005F7" w:rsidRPr="003005F7" w:rsidRDefault="003005F7" w:rsidP="00720731">
      <w:pPr>
        <w:spacing w:after="0" w:line="240" w:lineRule="auto"/>
        <w:jc w:val="both"/>
        <w:rPr>
          <w:rFonts w:eastAsia="Times New Roman" w:cs="Arial"/>
          <w:lang w:eastAsia="pl-PL"/>
        </w:rPr>
      </w:pPr>
      <w:r w:rsidRPr="003005F7">
        <w:rPr>
          <w:rFonts w:eastAsia="Times New Roman" w:cs="Arial"/>
          <w:lang w:eastAsia="pl-PL"/>
        </w:rPr>
        <w:t xml:space="preserve">Wizja gminy sformułowana w ten sposób, skorelowana jest z zaproponowaną ścieżką rozwoju gminy Mirzec, opartą o wariant rozwoju gospodarki lokalnej z wykorzystaniem terenów strefy aktywności gospodarczej,  która  daje  szanse  na  zachęcenie  inwestorów  do  otwierania  działalności  gospodarczej w gminie, co wpłynie na wzrost jej dochodów i poprawę komfortu życia mieszkańców, których część nie będzie  musiała  szukać  pracy  poza  granicami  gminy.  Wizja  zwraca  uwagę  na  potrzebę  rozwoju zrównoważonego, czyli takiego, który zapewni równowagę pomiędzy sferą ekonomiczną, społeczną oraz środowiska naturalnego. Istotną kwestią jest jakość funkcjonowania społeczności gminnej, dlatego w wizji zaznaczona została konieczność aktywności społecznej mieszkańców. Potrzeba integracji i zaangażowania wynika  z  trendów społecznych  obserwowanych  </w:t>
      </w:r>
      <w:r w:rsidRPr="003005F7">
        <w:rPr>
          <w:rFonts w:eastAsia="Times New Roman" w:cs="Arial"/>
          <w:lang w:eastAsia="pl-PL"/>
        </w:rPr>
        <w:lastRenderedPageBreak/>
        <w:t>zarówno  w skali  kraju,  takich jak  rozluźnienie  więzi społecznych,  nadal  duże  poczucie  braku  zaufania  pomiędzy  ludźmi,  jak  i  związanych  bezpośrednio z charakterem Gminy Mirzec.</w:t>
      </w:r>
    </w:p>
    <w:p w:rsidR="003005F7" w:rsidRPr="003005F7" w:rsidRDefault="003005F7" w:rsidP="00720731">
      <w:pPr>
        <w:spacing w:after="0" w:line="240" w:lineRule="auto"/>
        <w:jc w:val="both"/>
        <w:rPr>
          <w:rFonts w:eastAsia="Times New Roman" w:cs="Arial"/>
          <w:lang w:eastAsia="pl-PL"/>
        </w:rPr>
      </w:pPr>
      <w:r w:rsidRPr="003005F7">
        <w:rPr>
          <w:rFonts w:eastAsia="Times New Roman" w:cs="Arial"/>
          <w:lang w:eastAsia="pl-PL"/>
        </w:rPr>
        <w:t>Sposobem    urzeczywistnienia  zakładanej  wizji  jest misja.    Stanowi    ona nadrzędny  cel funkcjonowania wspólnoty samorządowej. Określa przede wszystkim rolę władz w procesie rozwoju, ale ma równocześnie integrować, motywować i rozbudzać aspiracje całej społeczności lokalnej. Stanowi jasny przekaz dla turystów i gości, odwiedzających gminę. Zawiera w sobie podstawowe wartości, na których zamierzają koncentrować swoje działania decydenci i mieszkańcy Gminy Mirzec</w:t>
      </w:r>
      <w:r w:rsidRPr="003005F7">
        <w:rPr>
          <w:rFonts w:eastAsia="Times New Roman" w:cs="Arial"/>
          <w:vertAlign w:val="superscript"/>
          <w:lang w:eastAsia="pl-PL"/>
        </w:rPr>
        <w:footnoteReference w:id="15"/>
      </w:r>
      <w:r w:rsidRPr="003005F7">
        <w:rPr>
          <w:rFonts w:eastAsia="Times New Roman" w:cs="Arial"/>
          <w:lang w:eastAsia="pl-PL"/>
        </w:rPr>
        <w:t>.</w:t>
      </w:r>
    </w:p>
    <w:p w:rsidR="003005F7" w:rsidRPr="003005F7" w:rsidRDefault="003005F7" w:rsidP="003005F7">
      <w:pPr>
        <w:spacing w:after="0" w:line="240" w:lineRule="auto"/>
        <w:rPr>
          <w:rFonts w:eastAsia="Times New Roman" w:cs="Arial"/>
          <w:b/>
          <w:color w:val="31849B" w:themeColor="accent5" w:themeShade="BF"/>
          <w:sz w:val="40"/>
          <w:szCs w:val="40"/>
          <w:lang w:eastAsia="pl-PL"/>
        </w:rPr>
      </w:pPr>
      <w:r w:rsidRPr="003005F7">
        <w:rPr>
          <w:rFonts w:eastAsia="Times New Roman" w:cs="Arial"/>
          <w:b/>
          <w:color w:val="31849B" w:themeColor="accent5" w:themeShade="BF"/>
          <w:sz w:val="40"/>
          <w:szCs w:val="40"/>
          <w:lang w:eastAsia="pl-PL"/>
        </w:rPr>
        <w:t>MISJA</w:t>
      </w:r>
    </w:p>
    <w:p w:rsidR="003005F7" w:rsidRPr="003005F7" w:rsidRDefault="003005F7" w:rsidP="003005F7">
      <w:pPr>
        <w:spacing w:after="0" w:line="240" w:lineRule="auto"/>
        <w:jc w:val="center"/>
        <w:rPr>
          <w:rFonts w:eastAsia="Times New Roman" w:cs="Arial"/>
          <w:b/>
          <w:color w:val="31849B" w:themeColor="accent5" w:themeShade="BF"/>
          <w:sz w:val="40"/>
          <w:szCs w:val="40"/>
          <w:lang w:eastAsia="pl-PL"/>
        </w:rPr>
      </w:pPr>
      <w:r w:rsidRPr="003005F7">
        <w:rPr>
          <w:rFonts w:eastAsia="Times New Roman" w:cs="Arial"/>
          <w:b/>
          <w:color w:val="31849B" w:themeColor="accent5" w:themeShade="BF"/>
          <w:sz w:val="40"/>
          <w:szCs w:val="40"/>
          <w:lang w:eastAsia="pl-PL"/>
        </w:rPr>
        <w:t xml:space="preserve">Stworzenie i ciągłe doskonalenie warunków </w:t>
      </w:r>
      <w:r w:rsidRPr="003005F7">
        <w:rPr>
          <w:rFonts w:eastAsia="Times New Roman" w:cs="Arial"/>
          <w:b/>
          <w:color w:val="31849B" w:themeColor="accent5" w:themeShade="BF"/>
          <w:sz w:val="40"/>
          <w:szCs w:val="40"/>
          <w:lang w:eastAsia="pl-PL"/>
        </w:rPr>
        <w:br/>
        <w:t xml:space="preserve">do aktywnego życia, wypoczynku </w:t>
      </w:r>
      <w:r w:rsidRPr="003005F7">
        <w:rPr>
          <w:rFonts w:eastAsia="Times New Roman" w:cs="Arial"/>
          <w:b/>
          <w:color w:val="31849B" w:themeColor="accent5" w:themeShade="BF"/>
          <w:sz w:val="40"/>
          <w:szCs w:val="40"/>
          <w:lang w:eastAsia="pl-PL"/>
        </w:rPr>
        <w:br/>
        <w:t xml:space="preserve">i rozwoju przedsiębiorczości poprzez specjalizacje </w:t>
      </w:r>
      <w:r w:rsidRPr="003005F7">
        <w:rPr>
          <w:rFonts w:eastAsia="Times New Roman" w:cs="Arial"/>
          <w:b/>
          <w:color w:val="31849B" w:themeColor="accent5" w:themeShade="BF"/>
          <w:sz w:val="40"/>
          <w:szCs w:val="40"/>
          <w:lang w:eastAsia="pl-PL"/>
        </w:rPr>
        <w:br/>
        <w:t>oraz podejście systemowe do realizacji działań</w:t>
      </w:r>
    </w:p>
    <w:p w:rsidR="003005F7" w:rsidRPr="003005F7" w:rsidRDefault="003005F7" w:rsidP="003005F7">
      <w:pPr>
        <w:spacing w:after="0" w:line="240" w:lineRule="auto"/>
        <w:jc w:val="center"/>
        <w:rPr>
          <w:rFonts w:eastAsia="Times New Roman" w:cs="Arial"/>
          <w:b/>
          <w:color w:val="31849B" w:themeColor="accent5" w:themeShade="BF"/>
          <w:sz w:val="40"/>
          <w:szCs w:val="40"/>
          <w:lang w:eastAsia="pl-PL"/>
        </w:rPr>
      </w:pPr>
      <w:r w:rsidRPr="003005F7">
        <w:rPr>
          <w:rFonts w:eastAsia="Times New Roman" w:cs="Arial"/>
          <w:b/>
          <w:color w:val="31849B" w:themeColor="accent5" w:themeShade="BF"/>
          <w:sz w:val="40"/>
          <w:szCs w:val="40"/>
          <w:lang w:eastAsia="pl-PL"/>
        </w:rPr>
        <w:t>i wdrażanie zasad zrównoważonego rozwoju</w:t>
      </w:r>
    </w:p>
    <w:p w:rsidR="003005F7" w:rsidRDefault="003005F7" w:rsidP="003005F7">
      <w:pPr>
        <w:ind w:firstLine="1134"/>
        <w:jc w:val="both"/>
      </w:pPr>
    </w:p>
    <w:p w:rsidR="003005F7" w:rsidRPr="003005F7" w:rsidRDefault="003005F7" w:rsidP="003005F7">
      <w:pPr>
        <w:ind w:firstLine="1134"/>
        <w:jc w:val="both"/>
      </w:pPr>
    </w:p>
    <w:p w:rsidR="003005F7" w:rsidRPr="003005F7" w:rsidRDefault="003005F7" w:rsidP="003005F7">
      <w:pPr>
        <w:ind w:firstLine="1134"/>
        <w:jc w:val="center"/>
        <w:rPr>
          <w:u w:val="single"/>
        </w:rPr>
      </w:pPr>
      <w:r w:rsidRPr="003005F7">
        <w:rPr>
          <w:u w:val="single"/>
        </w:rPr>
        <w:t>STRATEGICZNE OBSZARY ROZWOJU:</w:t>
      </w:r>
    </w:p>
    <w:p w:rsidR="003005F7" w:rsidRPr="003005F7" w:rsidRDefault="003005F7" w:rsidP="003005F7">
      <w:pPr>
        <w:ind w:firstLine="1134"/>
        <w:jc w:val="both"/>
      </w:pPr>
      <w:r w:rsidRPr="003005F7">
        <w:t>- SPOŁECZNY</w:t>
      </w:r>
    </w:p>
    <w:p w:rsidR="003005F7" w:rsidRPr="003005F7" w:rsidRDefault="003005F7" w:rsidP="003005F7">
      <w:pPr>
        <w:ind w:firstLine="1134"/>
        <w:jc w:val="both"/>
      </w:pPr>
      <w:r w:rsidRPr="003005F7">
        <w:t>- GOSPODARCZY</w:t>
      </w:r>
    </w:p>
    <w:p w:rsidR="003005F7" w:rsidRDefault="003005F7" w:rsidP="003005F7">
      <w:pPr>
        <w:ind w:firstLine="1134"/>
        <w:jc w:val="both"/>
      </w:pPr>
      <w:r w:rsidRPr="003005F7">
        <w:t>- INFRASTRUKTURY I ŚRODOWISKA</w:t>
      </w:r>
    </w:p>
    <w:p w:rsidR="003005F7" w:rsidRPr="003005F7" w:rsidRDefault="003005F7" w:rsidP="00E75EBD">
      <w:pPr>
        <w:jc w:val="both"/>
      </w:pPr>
      <w:r w:rsidRPr="003005F7">
        <w:t>Dla  każdego  ze  strategicznych  obszarów  rozwoju  sformułowany  został  cel  strategiczny (w  perspektywie  202</w:t>
      </w:r>
      <w:r w:rsidR="00B46559">
        <w:t>2</w:t>
      </w:r>
      <w:r w:rsidRPr="003005F7">
        <w:t xml:space="preserve"> roku),  który  obejmuje  kilka  celów  operacyjnych.</w:t>
      </w:r>
    </w:p>
    <w:tbl>
      <w:tblPr>
        <w:tblStyle w:val="Tabela-Siatka"/>
        <w:tblW w:w="0" w:type="auto"/>
        <w:tblLook w:val="04A0" w:firstRow="1" w:lastRow="0" w:firstColumn="1" w:lastColumn="0" w:noHBand="0" w:noVBand="1"/>
      </w:tblPr>
      <w:tblGrid>
        <w:gridCol w:w="1951"/>
        <w:gridCol w:w="2410"/>
        <w:gridCol w:w="3080"/>
        <w:gridCol w:w="1847"/>
      </w:tblGrid>
      <w:tr w:rsidR="00A16344" w:rsidRPr="003005F7" w:rsidTr="00813EA6">
        <w:tc>
          <w:tcPr>
            <w:tcW w:w="1951" w:type="dxa"/>
            <w:shd w:val="clear" w:color="auto" w:fill="943634" w:themeFill="accent2" w:themeFillShade="BF"/>
          </w:tcPr>
          <w:p w:rsidR="00A16344" w:rsidRPr="003005F7" w:rsidRDefault="00A16344" w:rsidP="003005F7">
            <w:pPr>
              <w:jc w:val="center"/>
              <w:rPr>
                <w:sz w:val="24"/>
                <w:szCs w:val="24"/>
              </w:rPr>
            </w:pPr>
            <w:r>
              <w:rPr>
                <w:b/>
                <w:color w:val="FFFFFF" w:themeColor="background1"/>
                <w:sz w:val="24"/>
                <w:szCs w:val="24"/>
              </w:rPr>
              <w:t>CEL STRATEGICZNY</w:t>
            </w:r>
          </w:p>
        </w:tc>
        <w:tc>
          <w:tcPr>
            <w:tcW w:w="2410" w:type="dxa"/>
            <w:shd w:val="clear" w:color="auto" w:fill="943634" w:themeFill="accent2" w:themeFillShade="BF"/>
          </w:tcPr>
          <w:p w:rsidR="00A16344" w:rsidRPr="003005F7" w:rsidRDefault="00A16344" w:rsidP="003005F7">
            <w:pPr>
              <w:jc w:val="center"/>
              <w:rPr>
                <w:sz w:val="24"/>
                <w:szCs w:val="24"/>
              </w:rPr>
            </w:pPr>
            <w:r>
              <w:rPr>
                <w:b/>
                <w:color w:val="FFFFFF" w:themeColor="background1"/>
                <w:sz w:val="24"/>
                <w:szCs w:val="24"/>
              </w:rPr>
              <w:t>CEL OPERACYJNY</w:t>
            </w:r>
          </w:p>
        </w:tc>
        <w:tc>
          <w:tcPr>
            <w:tcW w:w="3080" w:type="dxa"/>
            <w:shd w:val="clear" w:color="auto" w:fill="943634" w:themeFill="accent2" w:themeFillShade="BF"/>
          </w:tcPr>
          <w:p w:rsidR="00A16344" w:rsidRPr="003005F7" w:rsidRDefault="00A16344" w:rsidP="003005F7">
            <w:pPr>
              <w:jc w:val="center"/>
              <w:rPr>
                <w:sz w:val="24"/>
                <w:szCs w:val="24"/>
              </w:rPr>
            </w:pPr>
            <w:r>
              <w:rPr>
                <w:b/>
                <w:color w:val="FFFFFF" w:themeColor="background1"/>
                <w:sz w:val="24"/>
                <w:szCs w:val="24"/>
              </w:rPr>
              <w:t>MIERNIKI</w:t>
            </w:r>
          </w:p>
        </w:tc>
        <w:tc>
          <w:tcPr>
            <w:tcW w:w="1847" w:type="dxa"/>
            <w:shd w:val="clear" w:color="auto" w:fill="943634" w:themeFill="accent2" w:themeFillShade="BF"/>
          </w:tcPr>
          <w:p w:rsidR="00A16344" w:rsidRDefault="00A16344" w:rsidP="003005F7">
            <w:pPr>
              <w:jc w:val="center"/>
              <w:rPr>
                <w:b/>
                <w:color w:val="FFFFFF" w:themeColor="background1"/>
                <w:sz w:val="24"/>
                <w:szCs w:val="24"/>
              </w:rPr>
            </w:pPr>
            <w:r>
              <w:rPr>
                <w:b/>
                <w:color w:val="FFFFFF" w:themeColor="background1"/>
                <w:sz w:val="24"/>
                <w:szCs w:val="24"/>
              </w:rPr>
              <w:t>ŹRÓDŁA DANYCH</w:t>
            </w:r>
          </w:p>
        </w:tc>
      </w:tr>
      <w:tr w:rsidR="00A16344" w:rsidRPr="003005F7" w:rsidTr="00813EA6">
        <w:trPr>
          <w:trHeight w:val="1005"/>
        </w:trPr>
        <w:tc>
          <w:tcPr>
            <w:tcW w:w="1951" w:type="dxa"/>
            <w:vMerge w:val="restart"/>
            <w:shd w:val="clear" w:color="auto" w:fill="C2D69B" w:themeFill="accent3" w:themeFillTint="99"/>
          </w:tcPr>
          <w:p w:rsidR="00A16344" w:rsidRPr="003005F7" w:rsidRDefault="00A16344" w:rsidP="00B55477">
            <w:r w:rsidRPr="003005F7">
              <w:t>Podniesienie</w:t>
            </w:r>
          </w:p>
          <w:p w:rsidR="00A16344" w:rsidRPr="003005F7" w:rsidRDefault="00A16344" w:rsidP="00B55477">
            <w:r w:rsidRPr="003005F7">
              <w:t>zaangażowania</w:t>
            </w:r>
          </w:p>
          <w:p w:rsidR="00A16344" w:rsidRPr="003005F7" w:rsidRDefault="00A16344" w:rsidP="00B55477">
            <w:r w:rsidRPr="003005F7">
              <w:t>społecznego</w:t>
            </w:r>
          </w:p>
          <w:p w:rsidR="00A16344" w:rsidRPr="003005F7" w:rsidRDefault="00A16344" w:rsidP="00B55477">
            <w:r w:rsidRPr="003005F7">
              <w:t>mieszkańców gminy oraz</w:t>
            </w:r>
          </w:p>
          <w:p w:rsidR="00A16344" w:rsidRPr="003005F7" w:rsidRDefault="00A16344" w:rsidP="00B55477">
            <w:r w:rsidRPr="003005F7">
              <w:t>zapewnienie</w:t>
            </w:r>
          </w:p>
          <w:p w:rsidR="00A16344" w:rsidRPr="003005F7" w:rsidRDefault="00A16344" w:rsidP="00B55477">
            <w:r w:rsidRPr="003005F7">
              <w:t>wysokiej jakości</w:t>
            </w:r>
          </w:p>
          <w:p w:rsidR="00A16344" w:rsidRPr="003005F7" w:rsidRDefault="00A16344" w:rsidP="00B55477">
            <w:r w:rsidRPr="003005F7">
              <w:t>życia i usług publicznych</w:t>
            </w:r>
          </w:p>
        </w:tc>
        <w:tc>
          <w:tcPr>
            <w:tcW w:w="2410" w:type="dxa"/>
            <w:shd w:val="clear" w:color="auto" w:fill="C2D69B" w:themeFill="accent3" w:themeFillTint="99"/>
          </w:tcPr>
          <w:p w:rsidR="00A16344" w:rsidRPr="003005F7" w:rsidRDefault="00A16344" w:rsidP="003005F7">
            <w:pPr>
              <w:jc w:val="center"/>
            </w:pPr>
            <w:r>
              <w:t>Rozwój kapitału ludzkiego i aktywizacja społeczna</w:t>
            </w:r>
          </w:p>
        </w:tc>
        <w:tc>
          <w:tcPr>
            <w:tcW w:w="3080" w:type="dxa"/>
            <w:shd w:val="clear" w:color="auto" w:fill="C2D69B" w:themeFill="accent3" w:themeFillTint="99"/>
          </w:tcPr>
          <w:p w:rsidR="00A16344" w:rsidRDefault="00A16344" w:rsidP="00234BBD">
            <w:pPr>
              <w:pStyle w:val="Akapitzlist"/>
              <w:numPr>
                <w:ilvl w:val="0"/>
                <w:numId w:val="55"/>
              </w:numPr>
              <w:ind w:left="214" w:hanging="283"/>
            </w:pPr>
            <w:r w:rsidRPr="00A16344">
              <w:t xml:space="preserve">Liczba </w:t>
            </w:r>
            <w:r>
              <w:t>zmodernizowanych placówek oświatowych</w:t>
            </w:r>
          </w:p>
          <w:p w:rsidR="00A16344" w:rsidRDefault="00A16344" w:rsidP="00234BBD">
            <w:pPr>
              <w:pStyle w:val="Akapitzlist"/>
              <w:numPr>
                <w:ilvl w:val="0"/>
                <w:numId w:val="55"/>
              </w:numPr>
              <w:ind w:left="214" w:hanging="283"/>
            </w:pPr>
            <w:r>
              <w:t>Liczba godzin zajęć dodatkowych zorganizowanych w szkołach gminnych</w:t>
            </w:r>
          </w:p>
          <w:p w:rsidR="00A16344" w:rsidRPr="00A16344" w:rsidRDefault="00A16344" w:rsidP="00234BBD">
            <w:pPr>
              <w:pStyle w:val="Akapitzlist"/>
              <w:numPr>
                <w:ilvl w:val="0"/>
                <w:numId w:val="55"/>
              </w:numPr>
              <w:ind w:left="214" w:hanging="283"/>
            </w:pPr>
            <w:r>
              <w:t>Liczba szkół, w których realizowane są zajęcia dodatkowe</w:t>
            </w:r>
          </w:p>
        </w:tc>
        <w:tc>
          <w:tcPr>
            <w:tcW w:w="1847" w:type="dxa"/>
            <w:shd w:val="clear" w:color="auto" w:fill="C2D69B" w:themeFill="accent3" w:themeFillTint="99"/>
          </w:tcPr>
          <w:p w:rsidR="00813EA6" w:rsidRDefault="00813EA6" w:rsidP="00234BBD">
            <w:pPr>
              <w:pStyle w:val="Akapitzlist"/>
              <w:numPr>
                <w:ilvl w:val="0"/>
                <w:numId w:val="55"/>
              </w:numPr>
              <w:ind w:left="214" w:hanging="284"/>
            </w:pPr>
            <w:r>
              <w:t>w</w:t>
            </w:r>
            <w:r w:rsidRPr="00813EA6">
              <w:t>łasna baza danych</w:t>
            </w:r>
          </w:p>
          <w:p w:rsidR="00813EA6" w:rsidRDefault="00813EA6" w:rsidP="00813EA6">
            <w:pPr>
              <w:pStyle w:val="Akapitzlist"/>
              <w:ind w:left="214"/>
            </w:pPr>
          </w:p>
          <w:p w:rsidR="00813EA6" w:rsidRPr="00813EA6" w:rsidRDefault="00813EA6" w:rsidP="00234BBD">
            <w:pPr>
              <w:pStyle w:val="Akapitzlist"/>
              <w:numPr>
                <w:ilvl w:val="0"/>
                <w:numId w:val="55"/>
              </w:numPr>
              <w:ind w:left="214" w:hanging="284"/>
            </w:pPr>
            <w:r w:rsidRPr="00813EA6">
              <w:t>badania własne</w:t>
            </w:r>
          </w:p>
          <w:p w:rsidR="00813EA6" w:rsidRPr="00813EA6" w:rsidRDefault="00813EA6" w:rsidP="00813EA6">
            <w:pPr>
              <w:pStyle w:val="Akapitzlist"/>
            </w:pPr>
          </w:p>
          <w:p w:rsidR="00813EA6" w:rsidRPr="00813EA6" w:rsidRDefault="00813EA6" w:rsidP="00813EA6">
            <w:pPr>
              <w:pStyle w:val="Akapitzlist"/>
              <w:ind w:left="214"/>
            </w:pPr>
          </w:p>
          <w:p w:rsidR="00813EA6" w:rsidRPr="00813EA6" w:rsidRDefault="00813EA6" w:rsidP="00234BBD">
            <w:pPr>
              <w:pStyle w:val="Akapitzlist"/>
              <w:numPr>
                <w:ilvl w:val="0"/>
                <w:numId w:val="55"/>
              </w:numPr>
              <w:ind w:left="214" w:hanging="284"/>
              <w:rPr>
                <w:b/>
              </w:rPr>
            </w:pPr>
            <w:r w:rsidRPr="00813EA6">
              <w:t>badania własne</w:t>
            </w:r>
          </w:p>
        </w:tc>
      </w:tr>
      <w:tr w:rsidR="00A16344" w:rsidRPr="003005F7" w:rsidTr="00813EA6">
        <w:trPr>
          <w:trHeight w:val="1003"/>
        </w:trPr>
        <w:tc>
          <w:tcPr>
            <w:tcW w:w="1951" w:type="dxa"/>
            <w:vMerge/>
            <w:shd w:val="clear" w:color="auto" w:fill="C2D69B" w:themeFill="accent3" w:themeFillTint="99"/>
          </w:tcPr>
          <w:p w:rsidR="00A16344" w:rsidRPr="003005F7" w:rsidRDefault="00A16344" w:rsidP="003005F7">
            <w:pPr>
              <w:jc w:val="center"/>
            </w:pPr>
          </w:p>
        </w:tc>
        <w:tc>
          <w:tcPr>
            <w:tcW w:w="2410" w:type="dxa"/>
            <w:shd w:val="clear" w:color="auto" w:fill="C2D69B" w:themeFill="accent3" w:themeFillTint="99"/>
          </w:tcPr>
          <w:p w:rsidR="00A16344" w:rsidRPr="003005F7" w:rsidRDefault="00A16344" w:rsidP="003005F7">
            <w:pPr>
              <w:jc w:val="center"/>
            </w:pPr>
            <w:r>
              <w:t>Rozwój kultury oraz bogata oferta czasu wolnego</w:t>
            </w:r>
          </w:p>
        </w:tc>
        <w:tc>
          <w:tcPr>
            <w:tcW w:w="3080" w:type="dxa"/>
            <w:shd w:val="clear" w:color="auto" w:fill="C2D69B" w:themeFill="accent3" w:themeFillTint="99"/>
          </w:tcPr>
          <w:p w:rsidR="00A16344" w:rsidRDefault="00A16344" w:rsidP="00234BBD">
            <w:pPr>
              <w:pStyle w:val="Akapitzlist"/>
              <w:numPr>
                <w:ilvl w:val="0"/>
                <w:numId w:val="56"/>
              </w:numPr>
              <w:ind w:left="214" w:hanging="283"/>
            </w:pPr>
            <w:r>
              <w:t>Liczba wybudowanych obiektów instytucji kultury</w:t>
            </w:r>
          </w:p>
          <w:p w:rsidR="00A16344" w:rsidRDefault="00A16344" w:rsidP="00234BBD">
            <w:pPr>
              <w:pStyle w:val="Akapitzlist"/>
              <w:numPr>
                <w:ilvl w:val="0"/>
                <w:numId w:val="56"/>
              </w:numPr>
              <w:ind w:left="214" w:hanging="283"/>
            </w:pPr>
            <w:r>
              <w:t xml:space="preserve">Liczba zmodernizowanych obiektów infrastruktury </w:t>
            </w:r>
            <w:r>
              <w:lastRenderedPageBreak/>
              <w:t>kultury</w:t>
            </w:r>
          </w:p>
          <w:p w:rsidR="00A16344" w:rsidRDefault="00813EA6" w:rsidP="00234BBD">
            <w:pPr>
              <w:pStyle w:val="Akapitzlist"/>
              <w:numPr>
                <w:ilvl w:val="0"/>
                <w:numId w:val="56"/>
              </w:numPr>
              <w:ind w:left="214" w:hanging="283"/>
            </w:pPr>
            <w:r>
              <w:t xml:space="preserve">Liczba zorganizowanych wydarzeń kulturalnych </w:t>
            </w:r>
          </w:p>
          <w:p w:rsidR="00813EA6" w:rsidRPr="00A16344" w:rsidRDefault="00813EA6" w:rsidP="00234BBD">
            <w:pPr>
              <w:pStyle w:val="Akapitzlist"/>
              <w:numPr>
                <w:ilvl w:val="0"/>
                <w:numId w:val="56"/>
              </w:numPr>
              <w:ind w:left="214" w:hanging="283"/>
            </w:pPr>
            <w:r>
              <w:t>Liczba nowych zajęć i kół zainteresowań</w:t>
            </w:r>
          </w:p>
        </w:tc>
        <w:tc>
          <w:tcPr>
            <w:tcW w:w="1847" w:type="dxa"/>
            <w:shd w:val="clear" w:color="auto" w:fill="C2D69B" w:themeFill="accent3" w:themeFillTint="99"/>
          </w:tcPr>
          <w:p w:rsidR="00813EA6" w:rsidRDefault="00813EA6" w:rsidP="00234BBD">
            <w:pPr>
              <w:pStyle w:val="Akapitzlist"/>
              <w:numPr>
                <w:ilvl w:val="0"/>
                <w:numId w:val="56"/>
              </w:numPr>
              <w:ind w:left="214" w:hanging="284"/>
            </w:pPr>
            <w:r w:rsidRPr="00813EA6">
              <w:lastRenderedPageBreak/>
              <w:t>własna</w:t>
            </w:r>
            <w:r>
              <w:t xml:space="preserve"> baza</w:t>
            </w:r>
          </w:p>
          <w:p w:rsidR="00813EA6" w:rsidRDefault="00813EA6" w:rsidP="00813EA6">
            <w:pPr>
              <w:pStyle w:val="Akapitzlist"/>
              <w:ind w:left="214"/>
            </w:pPr>
          </w:p>
          <w:p w:rsidR="00813EA6" w:rsidRDefault="00813EA6" w:rsidP="00234BBD">
            <w:pPr>
              <w:pStyle w:val="Akapitzlist"/>
              <w:numPr>
                <w:ilvl w:val="0"/>
                <w:numId w:val="56"/>
              </w:numPr>
              <w:ind w:left="214" w:hanging="284"/>
            </w:pPr>
            <w:r>
              <w:t>własna baza</w:t>
            </w:r>
          </w:p>
          <w:p w:rsidR="00813EA6" w:rsidRPr="00813EA6" w:rsidRDefault="00813EA6" w:rsidP="00813EA6">
            <w:pPr>
              <w:pStyle w:val="Akapitzlist"/>
            </w:pPr>
          </w:p>
          <w:p w:rsidR="00813EA6" w:rsidRDefault="00813EA6" w:rsidP="00813EA6">
            <w:pPr>
              <w:pStyle w:val="Akapitzlist"/>
              <w:ind w:left="214"/>
            </w:pPr>
          </w:p>
          <w:p w:rsidR="00813EA6" w:rsidRDefault="00813EA6" w:rsidP="00234BBD">
            <w:pPr>
              <w:pStyle w:val="Akapitzlist"/>
              <w:numPr>
                <w:ilvl w:val="0"/>
                <w:numId w:val="56"/>
              </w:numPr>
              <w:ind w:left="214" w:hanging="284"/>
            </w:pPr>
            <w:r>
              <w:t>badania własne</w:t>
            </w:r>
          </w:p>
          <w:p w:rsidR="00813EA6" w:rsidRDefault="00813EA6" w:rsidP="00813EA6">
            <w:pPr>
              <w:pStyle w:val="Akapitzlist"/>
              <w:ind w:left="214"/>
            </w:pPr>
          </w:p>
          <w:p w:rsidR="00813EA6" w:rsidRPr="00813EA6" w:rsidRDefault="00813EA6" w:rsidP="00234BBD">
            <w:pPr>
              <w:pStyle w:val="Akapitzlist"/>
              <w:numPr>
                <w:ilvl w:val="0"/>
                <w:numId w:val="56"/>
              </w:numPr>
              <w:ind w:left="214" w:hanging="284"/>
            </w:pPr>
            <w:r>
              <w:t>badania własne</w:t>
            </w:r>
          </w:p>
        </w:tc>
      </w:tr>
      <w:tr w:rsidR="00A16344" w:rsidRPr="003005F7" w:rsidTr="00813EA6">
        <w:trPr>
          <w:trHeight w:val="1003"/>
        </w:trPr>
        <w:tc>
          <w:tcPr>
            <w:tcW w:w="1951" w:type="dxa"/>
            <w:vMerge/>
            <w:shd w:val="clear" w:color="auto" w:fill="C2D69B" w:themeFill="accent3" w:themeFillTint="99"/>
          </w:tcPr>
          <w:p w:rsidR="00A16344" w:rsidRPr="003005F7" w:rsidRDefault="00A16344" w:rsidP="003005F7">
            <w:pPr>
              <w:jc w:val="center"/>
            </w:pPr>
          </w:p>
        </w:tc>
        <w:tc>
          <w:tcPr>
            <w:tcW w:w="2410" w:type="dxa"/>
            <w:shd w:val="clear" w:color="auto" w:fill="C2D69B" w:themeFill="accent3" w:themeFillTint="99"/>
          </w:tcPr>
          <w:p w:rsidR="00A16344" w:rsidRPr="003005F7" w:rsidRDefault="00A16344" w:rsidP="003005F7">
            <w:pPr>
              <w:jc w:val="center"/>
            </w:pPr>
            <w:r>
              <w:t>Rozwój usług zdrowotnych i pomocy społecznej</w:t>
            </w:r>
          </w:p>
        </w:tc>
        <w:tc>
          <w:tcPr>
            <w:tcW w:w="3080" w:type="dxa"/>
            <w:shd w:val="clear" w:color="auto" w:fill="C2D69B" w:themeFill="accent3" w:themeFillTint="99"/>
          </w:tcPr>
          <w:p w:rsidR="00A16344" w:rsidRDefault="00813EA6" w:rsidP="00234BBD">
            <w:pPr>
              <w:pStyle w:val="Akapitzlist"/>
              <w:numPr>
                <w:ilvl w:val="0"/>
                <w:numId w:val="57"/>
              </w:numPr>
              <w:ind w:left="175" w:hanging="283"/>
            </w:pPr>
            <w:r>
              <w:t>Liczba wprowadzonych innowacji w sektorze ochrony zdrowia</w:t>
            </w:r>
          </w:p>
          <w:p w:rsidR="00813EA6" w:rsidRDefault="00813EA6" w:rsidP="00234BBD">
            <w:pPr>
              <w:pStyle w:val="Akapitzlist"/>
              <w:numPr>
                <w:ilvl w:val="0"/>
                <w:numId w:val="57"/>
              </w:numPr>
              <w:ind w:left="175" w:hanging="283"/>
            </w:pPr>
            <w:r>
              <w:t>Liczba osób korzystających ze świadczeń Ośrodka Pomocy Społecznej</w:t>
            </w:r>
          </w:p>
          <w:p w:rsidR="00813EA6" w:rsidRDefault="00813EA6" w:rsidP="00234BBD">
            <w:pPr>
              <w:pStyle w:val="Akapitzlist"/>
              <w:numPr>
                <w:ilvl w:val="0"/>
                <w:numId w:val="57"/>
              </w:numPr>
              <w:ind w:left="175" w:hanging="283"/>
            </w:pPr>
            <w:r>
              <w:t>Liczba organizacji pozarządowych prowadzących działalność w zakresie polityki społecznej</w:t>
            </w:r>
          </w:p>
          <w:p w:rsidR="00813EA6" w:rsidRPr="00813EA6" w:rsidRDefault="00813EA6" w:rsidP="00234BBD">
            <w:pPr>
              <w:pStyle w:val="Akapitzlist"/>
              <w:numPr>
                <w:ilvl w:val="0"/>
                <w:numId w:val="57"/>
              </w:numPr>
              <w:ind w:left="175" w:hanging="283"/>
            </w:pPr>
            <w:r>
              <w:t>Liczba sprywatyzowanych ośrodków zdrowia</w:t>
            </w:r>
          </w:p>
        </w:tc>
        <w:tc>
          <w:tcPr>
            <w:tcW w:w="1847" w:type="dxa"/>
            <w:shd w:val="clear" w:color="auto" w:fill="C2D69B" w:themeFill="accent3" w:themeFillTint="99"/>
          </w:tcPr>
          <w:p w:rsidR="00813EA6" w:rsidRDefault="00813EA6" w:rsidP="00234BBD">
            <w:pPr>
              <w:pStyle w:val="Akapitzlist"/>
              <w:numPr>
                <w:ilvl w:val="0"/>
                <w:numId w:val="57"/>
              </w:numPr>
              <w:ind w:left="214" w:hanging="284"/>
            </w:pPr>
            <w:r w:rsidRPr="00813EA6">
              <w:t>baza własna</w:t>
            </w:r>
          </w:p>
          <w:p w:rsidR="00813EA6" w:rsidRDefault="00813EA6" w:rsidP="00813EA6">
            <w:pPr>
              <w:pStyle w:val="Akapitzlist"/>
              <w:ind w:left="214"/>
            </w:pPr>
          </w:p>
          <w:p w:rsidR="00813EA6" w:rsidRPr="00813EA6" w:rsidRDefault="00813EA6" w:rsidP="00813EA6">
            <w:pPr>
              <w:pStyle w:val="Akapitzlist"/>
              <w:ind w:left="214"/>
            </w:pPr>
          </w:p>
          <w:p w:rsidR="00813EA6" w:rsidRDefault="00813EA6" w:rsidP="00234BBD">
            <w:pPr>
              <w:pStyle w:val="Akapitzlist"/>
              <w:numPr>
                <w:ilvl w:val="0"/>
                <w:numId w:val="57"/>
              </w:numPr>
              <w:ind w:left="214" w:hanging="284"/>
            </w:pPr>
            <w:r w:rsidRPr="00813EA6">
              <w:t>baza własna</w:t>
            </w:r>
          </w:p>
          <w:p w:rsidR="00813EA6" w:rsidRPr="00813EA6" w:rsidRDefault="00813EA6" w:rsidP="00813EA6">
            <w:pPr>
              <w:pStyle w:val="Akapitzlist"/>
            </w:pPr>
          </w:p>
          <w:p w:rsidR="00813EA6" w:rsidRPr="00813EA6" w:rsidRDefault="00813EA6" w:rsidP="00813EA6"/>
          <w:p w:rsidR="00813EA6" w:rsidRPr="00813EA6" w:rsidRDefault="00813EA6" w:rsidP="00234BBD">
            <w:pPr>
              <w:pStyle w:val="Akapitzlist"/>
              <w:numPr>
                <w:ilvl w:val="0"/>
                <w:numId w:val="57"/>
              </w:numPr>
              <w:ind w:left="214" w:hanging="284"/>
            </w:pPr>
            <w:r w:rsidRPr="00813EA6">
              <w:t>badania własne</w:t>
            </w:r>
          </w:p>
          <w:p w:rsidR="00813EA6" w:rsidRDefault="00813EA6" w:rsidP="00813EA6">
            <w:pPr>
              <w:pStyle w:val="Akapitzlist"/>
              <w:ind w:left="214"/>
            </w:pPr>
          </w:p>
          <w:p w:rsidR="00813EA6" w:rsidRPr="00813EA6" w:rsidRDefault="00813EA6" w:rsidP="00813EA6">
            <w:pPr>
              <w:pStyle w:val="Akapitzlist"/>
              <w:ind w:left="214"/>
            </w:pPr>
          </w:p>
          <w:p w:rsidR="00813EA6" w:rsidRPr="00813EA6" w:rsidRDefault="00813EA6" w:rsidP="00234BBD">
            <w:pPr>
              <w:pStyle w:val="Akapitzlist"/>
              <w:numPr>
                <w:ilvl w:val="0"/>
                <w:numId w:val="57"/>
              </w:numPr>
              <w:ind w:left="214" w:hanging="284"/>
              <w:rPr>
                <w:b/>
              </w:rPr>
            </w:pPr>
            <w:r w:rsidRPr="00813EA6">
              <w:t>badania własne</w:t>
            </w:r>
          </w:p>
        </w:tc>
      </w:tr>
      <w:tr w:rsidR="00337302" w:rsidRPr="003005F7" w:rsidTr="00337302">
        <w:trPr>
          <w:trHeight w:val="892"/>
        </w:trPr>
        <w:tc>
          <w:tcPr>
            <w:tcW w:w="1951" w:type="dxa"/>
            <w:vMerge w:val="restart"/>
            <w:shd w:val="clear" w:color="auto" w:fill="8DB3E2" w:themeFill="text2" w:themeFillTint="66"/>
          </w:tcPr>
          <w:p w:rsidR="00337302" w:rsidRPr="003005F7" w:rsidRDefault="00337302" w:rsidP="00B55477">
            <w:r>
              <w:t>Stworzenie konkurencyjnej gospodarki i rolnictwa oraz przedsiębiorczości gminy poprzez specjalizacje i rozwój usług</w:t>
            </w:r>
          </w:p>
        </w:tc>
        <w:tc>
          <w:tcPr>
            <w:tcW w:w="2410" w:type="dxa"/>
            <w:shd w:val="clear" w:color="auto" w:fill="8DB3E2" w:themeFill="text2" w:themeFillTint="66"/>
          </w:tcPr>
          <w:p w:rsidR="00337302" w:rsidRPr="003005F7" w:rsidRDefault="00337302" w:rsidP="00B55477">
            <w:r>
              <w:t>Tworzenie</w:t>
            </w:r>
            <w:r w:rsidR="00B55477">
              <w:t xml:space="preserve"> sprzyjających warunków dla przedsiębiorczości i rozwoju usług oraz wsparcie zatrudnienia na lokalnym rynku pracy</w:t>
            </w:r>
          </w:p>
        </w:tc>
        <w:tc>
          <w:tcPr>
            <w:tcW w:w="3080" w:type="dxa"/>
            <w:shd w:val="clear" w:color="auto" w:fill="8DB3E2" w:themeFill="text2" w:themeFillTint="66"/>
          </w:tcPr>
          <w:p w:rsidR="00337302" w:rsidRDefault="00B55477" w:rsidP="00234BBD">
            <w:pPr>
              <w:pStyle w:val="Akapitzlist"/>
              <w:numPr>
                <w:ilvl w:val="0"/>
                <w:numId w:val="58"/>
              </w:numPr>
              <w:ind w:left="175" w:hanging="283"/>
            </w:pPr>
            <w:r>
              <w:t>Liczba nowo powstałych firm w usługach</w:t>
            </w:r>
          </w:p>
          <w:p w:rsidR="00B55477" w:rsidRPr="00B55477" w:rsidRDefault="00B55477" w:rsidP="00234BBD">
            <w:pPr>
              <w:pStyle w:val="Akapitzlist"/>
              <w:numPr>
                <w:ilvl w:val="0"/>
                <w:numId w:val="58"/>
              </w:numPr>
              <w:ind w:left="175" w:hanging="283"/>
            </w:pPr>
            <w:r>
              <w:t>Liczba nowych miejsc pracy</w:t>
            </w:r>
          </w:p>
        </w:tc>
        <w:tc>
          <w:tcPr>
            <w:tcW w:w="1847" w:type="dxa"/>
            <w:shd w:val="clear" w:color="auto" w:fill="8DB3E2" w:themeFill="text2" w:themeFillTint="66"/>
          </w:tcPr>
          <w:p w:rsidR="00337302" w:rsidRDefault="00B55477" w:rsidP="00234BBD">
            <w:pPr>
              <w:pStyle w:val="Akapitzlist"/>
              <w:numPr>
                <w:ilvl w:val="0"/>
                <w:numId w:val="58"/>
              </w:numPr>
              <w:ind w:left="214" w:hanging="284"/>
            </w:pPr>
            <w:r w:rsidRPr="00B55477">
              <w:t>baza własna</w:t>
            </w:r>
          </w:p>
          <w:p w:rsidR="006974DE" w:rsidRDefault="006974DE" w:rsidP="006974DE">
            <w:pPr>
              <w:pStyle w:val="Akapitzlist"/>
              <w:ind w:left="214"/>
            </w:pPr>
          </w:p>
          <w:p w:rsidR="00B55477" w:rsidRPr="00B55477" w:rsidRDefault="006974DE" w:rsidP="00234BBD">
            <w:pPr>
              <w:pStyle w:val="Akapitzlist"/>
              <w:numPr>
                <w:ilvl w:val="0"/>
                <w:numId w:val="58"/>
              </w:numPr>
              <w:ind w:left="214" w:hanging="284"/>
            </w:pPr>
            <w:r>
              <w:t>dane własne</w:t>
            </w:r>
          </w:p>
        </w:tc>
      </w:tr>
      <w:tr w:rsidR="00337302" w:rsidRPr="003005F7" w:rsidTr="00813EA6">
        <w:trPr>
          <w:trHeight w:val="891"/>
        </w:trPr>
        <w:tc>
          <w:tcPr>
            <w:tcW w:w="1951" w:type="dxa"/>
            <w:vMerge/>
            <w:shd w:val="clear" w:color="auto" w:fill="8DB3E2" w:themeFill="text2" w:themeFillTint="66"/>
          </w:tcPr>
          <w:p w:rsidR="00337302" w:rsidRDefault="00337302" w:rsidP="003005F7">
            <w:pPr>
              <w:jc w:val="center"/>
            </w:pPr>
          </w:p>
        </w:tc>
        <w:tc>
          <w:tcPr>
            <w:tcW w:w="2410" w:type="dxa"/>
            <w:shd w:val="clear" w:color="auto" w:fill="8DB3E2" w:themeFill="text2" w:themeFillTint="66"/>
          </w:tcPr>
          <w:p w:rsidR="00337302" w:rsidRPr="003005F7" w:rsidRDefault="00B55477" w:rsidP="00B55477">
            <w:r>
              <w:t>Rozwój i promocja regionalnego pakietu turystycznego</w:t>
            </w:r>
          </w:p>
        </w:tc>
        <w:tc>
          <w:tcPr>
            <w:tcW w:w="3080" w:type="dxa"/>
            <w:shd w:val="clear" w:color="auto" w:fill="8DB3E2" w:themeFill="text2" w:themeFillTint="66"/>
          </w:tcPr>
          <w:p w:rsidR="00337302" w:rsidRPr="00B55477" w:rsidRDefault="00B55477" w:rsidP="00234BBD">
            <w:pPr>
              <w:pStyle w:val="Akapitzlist"/>
              <w:numPr>
                <w:ilvl w:val="0"/>
                <w:numId w:val="59"/>
              </w:numPr>
              <w:ind w:left="175" w:hanging="283"/>
            </w:pPr>
            <w:r>
              <w:t>Liczba pakietów turystycznych</w:t>
            </w:r>
          </w:p>
        </w:tc>
        <w:tc>
          <w:tcPr>
            <w:tcW w:w="1847" w:type="dxa"/>
            <w:shd w:val="clear" w:color="auto" w:fill="8DB3E2" w:themeFill="text2" w:themeFillTint="66"/>
          </w:tcPr>
          <w:p w:rsidR="00337302" w:rsidRPr="006974DE" w:rsidRDefault="006974DE" w:rsidP="00234BBD">
            <w:pPr>
              <w:pStyle w:val="Akapitzlist"/>
              <w:numPr>
                <w:ilvl w:val="0"/>
                <w:numId w:val="59"/>
              </w:numPr>
              <w:ind w:left="214" w:hanging="284"/>
            </w:pPr>
            <w:r w:rsidRPr="006974DE">
              <w:t>badania własne</w:t>
            </w:r>
          </w:p>
        </w:tc>
      </w:tr>
      <w:tr w:rsidR="00337302" w:rsidRPr="003005F7" w:rsidTr="00813EA6">
        <w:trPr>
          <w:trHeight w:val="891"/>
        </w:trPr>
        <w:tc>
          <w:tcPr>
            <w:tcW w:w="1951" w:type="dxa"/>
            <w:vMerge/>
            <w:shd w:val="clear" w:color="auto" w:fill="8DB3E2" w:themeFill="text2" w:themeFillTint="66"/>
          </w:tcPr>
          <w:p w:rsidR="00337302" w:rsidRDefault="00337302" w:rsidP="003005F7">
            <w:pPr>
              <w:jc w:val="center"/>
            </w:pPr>
          </w:p>
        </w:tc>
        <w:tc>
          <w:tcPr>
            <w:tcW w:w="2410" w:type="dxa"/>
            <w:shd w:val="clear" w:color="auto" w:fill="8DB3E2" w:themeFill="text2" w:themeFillTint="66"/>
          </w:tcPr>
          <w:p w:rsidR="00337302" w:rsidRPr="003005F7" w:rsidRDefault="00B55477" w:rsidP="00B55477">
            <w:r>
              <w:t>Rozwój zrównoważonego rolnictwa opartego na specjalizacji i innowacyjności</w:t>
            </w:r>
          </w:p>
        </w:tc>
        <w:tc>
          <w:tcPr>
            <w:tcW w:w="3080" w:type="dxa"/>
            <w:shd w:val="clear" w:color="auto" w:fill="8DB3E2" w:themeFill="text2" w:themeFillTint="66"/>
          </w:tcPr>
          <w:p w:rsidR="00337302" w:rsidRDefault="00B55477" w:rsidP="00234BBD">
            <w:pPr>
              <w:pStyle w:val="Akapitzlist"/>
              <w:numPr>
                <w:ilvl w:val="0"/>
                <w:numId w:val="59"/>
              </w:numPr>
              <w:ind w:left="175" w:hanging="283"/>
            </w:pPr>
            <w:r>
              <w:t>Liczba wysoko specjalizowanych gospodarstw rolnych</w:t>
            </w:r>
          </w:p>
          <w:p w:rsidR="00B55477" w:rsidRDefault="00B55477" w:rsidP="00234BBD">
            <w:pPr>
              <w:pStyle w:val="Akapitzlist"/>
              <w:numPr>
                <w:ilvl w:val="0"/>
                <w:numId w:val="59"/>
              </w:numPr>
              <w:ind w:left="175" w:hanging="283"/>
            </w:pPr>
            <w:r>
              <w:t>Liczba gospodarstw ekologicznych – pozycja w rankingu gmin świętokrzyskich</w:t>
            </w:r>
          </w:p>
          <w:p w:rsidR="00B55477" w:rsidRDefault="00B55477" w:rsidP="00234BBD">
            <w:pPr>
              <w:pStyle w:val="Akapitzlist"/>
              <w:numPr>
                <w:ilvl w:val="0"/>
                <w:numId w:val="59"/>
              </w:numPr>
              <w:ind w:left="175" w:hanging="283"/>
            </w:pPr>
            <w:r>
              <w:t>Liczba gospodarstw agroturystycznych</w:t>
            </w:r>
          </w:p>
          <w:p w:rsidR="00B55477" w:rsidRDefault="00B55477" w:rsidP="00234BBD">
            <w:pPr>
              <w:pStyle w:val="Akapitzlist"/>
              <w:numPr>
                <w:ilvl w:val="0"/>
                <w:numId w:val="59"/>
              </w:numPr>
              <w:ind w:left="175" w:hanging="283"/>
            </w:pPr>
            <w:r>
              <w:t>Liczba założonych i utrzymanych w okresie obejmującym Strategię Rozwoju pozarolniczych działalności gospodarczych</w:t>
            </w:r>
          </w:p>
          <w:p w:rsidR="00B55477" w:rsidRPr="00B55477" w:rsidRDefault="00B55477" w:rsidP="00234BBD">
            <w:pPr>
              <w:pStyle w:val="Akapitzlist"/>
              <w:numPr>
                <w:ilvl w:val="0"/>
                <w:numId w:val="59"/>
              </w:numPr>
              <w:ind w:left="175" w:hanging="283"/>
            </w:pPr>
            <w:r>
              <w:t xml:space="preserve">Liczba inwestycji w gospodarstwach rolnych </w:t>
            </w:r>
          </w:p>
        </w:tc>
        <w:tc>
          <w:tcPr>
            <w:tcW w:w="1847" w:type="dxa"/>
            <w:shd w:val="clear" w:color="auto" w:fill="8DB3E2" w:themeFill="text2" w:themeFillTint="66"/>
          </w:tcPr>
          <w:p w:rsidR="00337302" w:rsidRDefault="006974DE" w:rsidP="00234BBD">
            <w:pPr>
              <w:pStyle w:val="Akapitzlist"/>
              <w:numPr>
                <w:ilvl w:val="0"/>
                <w:numId w:val="59"/>
              </w:numPr>
              <w:ind w:left="214" w:hanging="284"/>
            </w:pPr>
            <w:r>
              <w:t>badania własne</w:t>
            </w:r>
          </w:p>
          <w:p w:rsidR="006974DE" w:rsidRDefault="006974DE" w:rsidP="006974DE">
            <w:pPr>
              <w:pStyle w:val="Akapitzlist"/>
              <w:ind w:left="214"/>
            </w:pPr>
          </w:p>
          <w:p w:rsidR="006974DE" w:rsidRDefault="006974DE" w:rsidP="00234BBD">
            <w:pPr>
              <w:pStyle w:val="Akapitzlist"/>
              <w:numPr>
                <w:ilvl w:val="0"/>
                <w:numId w:val="59"/>
              </w:numPr>
              <w:ind w:left="214" w:hanging="284"/>
            </w:pPr>
            <w:r>
              <w:t>badania własne</w:t>
            </w:r>
          </w:p>
          <w:p w:rsidR="006974DE" w:rsidRPr="006974DE" w:rsidRDefault="006974DE" w:rsidP="006974DE">
            <w:pPr>
              <w:pStyle w:val="Akapitzlist"/>
            </w:pPr>
          </w:p>
          <w:p w:rsidR="006974DE" w:rsidRDefault="006974DE" w:rsidP="006974DE"/>
          <w:p w:rsidR="006974DE" w:rsidRPr="006974DE" w:rsidRDefault="006974DE" w:rsidP="006974DE"/>
          <w:p w:rsidR="006974DE" w:rsidRDefault="006974DE" w:rsidP="00234BBD">
            <w:pPr>
              <w:pStyle w:val="Akapitzlist"/>
              <w:numPr>
                <w:ilvl w:val="0"/>
                <w:numId w:val="59"/>
              </w:numPr>
              <w:ind w:left="214" w:hanging="284"/>
            </w:pPr>
            <w:r>
              <w:t>badania własne</w:t>
            </w:r>
          </w:p>
          <w:p w:rsidR="006974DE" w:rsidRDefault="006974DE" w:rsidP="006974DE">
            <w:pPr>
              <w:pStyle w:val="Akapitzlist"/>
              <w:ind w:left="214"/>
            </w:pPr>
          </w:p>
          <w:p w:rsidR="006974DE" w:rsidRDefault="006974DE" w:rsidP="006974DE">
            <w:pPr>
              <w:pStyle w:val="Akapitzlist"/>
              <w:ind w:left="214"/>
            </w:pPr>
          </w:p>
          <w:p w:rsidR="006974DE" w:rsidRDefault="006974DE" w:rsidP="00234BBD">
            <w:pPr>
              <w:pStyle w:val="Akapitzlist"/>
              <w:numPr>
                <w:ilvl w:val="0"/>
                <w:numId w:val="59"/>
              </w:numPr>
              <w:ind w:left="214" w:hanging="284"/>
            </w:pPr>
            <w:r>
              <w:t>badania własne</w:t>
            </w:r>
          </w:p>
          <w:p w:rsidR="006974DE" w:rsidRDefault="006974DE" w:rsidP="006974DE"/>
          <w:p w:rsidR="006974DE" w:rsidRDefault="006974DE" w:rsidP="006974DE"/>
          <w:p w:rsidR="006974DE" w:rsidRPr="006974DE" w:rsidRDefault="006974DE" w:rsidP="006974DE"/>
          <w:p w:rsidR="006974DE" w:rsidRPr="006974DE" w:rsidRDefault="006974DE" w:rsidP="00234BBD">
            <w:pPr>
              <w:pStyle w:val="Akapitzlist"/>
              <w:numPr>
                <w:ilvl w:val="0"/>
                <w:numId w:val="59"/>
              </w:numPr>
              <w:ind w:left="214" w:hanging="284"/>
            </w:pPr>
            <w:r>
              <w:t>badania własne</w:t>
            </w:r>
          </w:p>
        </w:tc>
      </w:tr>
      <w:tr w:rsidR="006974DE" w:rsidRPr="003005F7" w:rsidTr="006974DE">
        <w:trPr>
          <w:trHeight w:val="1228"/>
        </w:trPr>
        <w:tc>
          <w:tcPr>
            <w:tcW w:w="1951" w:type="dxa"/>
            <w:vMerge w:val="restart"/>
            <w:shd w:val="clear" w:color="auto" w:fill="FBD4B4" w:themeFill="accent6" w:themeFillTint="66"/>
          </w:tcPr>
          <w:p w:rsidR="006974DE" w:rsidRDefault="006974DE" w:rsidP="006974DE">
            <w:r>
              <w:t xml:space="preserve">Rozwój infrastruktury technicznej gminy oraz dbałość o środowisko </w:t>
            </w:r>
            <w:r>
              <w:lastRenderedPageBreak/>
              <w:t>naturalne podnoszące atrakcyjność inwestycyjną oraz poziom życia mieszkańców</w:t>
            </w:r>
          </w:p>
        </w:tc>
        <w:tc>
          <w:tcPr>
            <w:tcW w:w="2410" w:type="dxa"/>
            <w:shd w:val="clear" w:color="auto" w:fill="FBD4B4" w:themeFill="accent6" w:themeFillTint="66"/>
          </w:tcPr>
          <w:p w:rsidR="006974DE" w:rsidRDefault="006974DE" w:rsidP="00B55477">
            <w:r>
              <w:lastRenderedPageBreak/>
              <w:t>Wykorzystanie potencjału i rozwój infrastruktury technicznej gminy</w:t>
            </w:r>
          </w:p>
        </w:tc>
        <w:tc>
          <w:tcPr>
            <w:tcW w:w="3080" w:type="dxa"/>
            <w:shd w:val="clear" w:color="auto" w:fill="FBD4B4" w:themeFill="accent6" w:themeFillTint="66"/>
          </w:tcPr>
          <w:p w:rsidR="006974DE" w:rsidRDefault="006974DE" w:rsidP="00234BBD">
            <w:pPr>
              <w:pStyle w:val="Akapitzlist"/>
              <w:numPr>
                <w:ilvl w:val="0"/>
                <w:numId w:val="59"/>
              </w:numPr>
              <w:ind w:left="175" w:hanging="283"/>
            </w:pPr>
            <w:r>
              <w:t>Długość zmodernizowanych dróg</w:t>
            </w:r>
          </w:p>
          <w:p w:rsidR="006974DE" w:rsidRDefault="006974DE" w:rsidP="00234BBD">
            <w:pPr>
              <w:pStyle w:val="Akapitzlist"/>
              <w:numPr>
                <w:ilvl w:val="0"/>
                <w:numId w:val="59"/>
              </w:numPr>
              <w:ind w:left="175" w:hanging="283"/>
            </w:pPr>
            <w:r>
              <w:t>Długość wybudowanych linii wodociągowych i kanalizacyjnych</w:t>
            </w:r>
          </w:p>
        </w:tc>
        <w:tc>
          <w:tcPr>
            <w:tcW w:w="1847" w:type="dxa"/>
            <w:shd w:val="clear" w:color="auto" w:fill="FBD4B4" w:themeFill="accent6" w:themeFillTint="66"/>
          </w:tcPr>
          <w:p w:rsidR="006974DE" w:rsidRDefault="006974DE" w:rsidP="00234BBD">
            <w:pPr>
              <w:pStyle w:val="Akapitzlist"/>
              <w:numPr>
                <w:ilvl w:val="0"/>
                <w:numId w:val="59"/>
              </w:numPr>
              <w:ind w:left="214" w:hanging="284"/>
            </w:pPr>
            <w:r>
              <w:t>baza własna</w:t>
            </w:r>
          </w:p>
          <w:p w:rsidR="006974DE" w:rsidRDefault="006974DE" w:rsidP="006974DE">
            <w:pPr>
              <w:pStyle w:val="Akapitzlist"/>
              <w:ind w:left="214"/>
            </w:pPr>
          </w:p>
          <w:p w:rsidR="006974DE" w:rsidRPr="006974DE" w:rsidRDefault="006974DE" w:rsidP="00234BBD">
            <w:pPr>
              <w:pStyle w:val="Akapitzlist"/>
              <w:numPr>
                <w:ilvl w:val="0"/>
                <w:numId w:val="59"/>
              </w:numPr>
              <w:ind w:left="214" w:hanging="284"/>
            </w:pPr>
            <w:r>
              <w:t>baza własna</w:t>
            </w:r>
          </w:p>
        </w:tc>
      </w:tr>
      <w:tr w:rsidR="006974DE" w:rsidRPr="003005F7" w:rsidTr="006974DE">
        <w:trPr>
          <w:trHeight w:val="1228"/>
        </w:trPr>
        <w:tc>
          <w:tcPr>
            <w:tcW w:w="1951" w:type="dxa"/>
            <w:vMerge/>
            <w:shd w:val="clear" w:color="auto" w:fill="FBD4B4" w:themeFill="accent6" w:themeFillTint="66"/>
          </w:tcPr>
          <w:p w:rsidR="006974DE" w:rsidRDefault="006974DE" w:rsidP="006974DE"/>
        </w:tc>
        <w:tc>
          <w:tcPr>
            <w:tcW w:w="2410" w:type="dxa"/>
            <w:shd w:val="clear" w:color="auto" w:fill="FBD4B4" w:themeFill="accent6" w:themeFillTint="66"/>
          </w:tcPr>
          <w:p w:rsidR="006974DE" w:rsidRDefault="006974DE" w:rsidP="00B55477">
            <w:r>
              <w:t>Odnowa i dbałość o środowisko naturalne</w:t>
            </w:r>
          </w:p>
        </w:tc>
        <w:tc>
          <w:tcPr>
            <w:tcW w:w="3080" w:type="dxa"/>
            <w:shd w:val="clear" w:color="auto" w:fill="FBD4B4" w:themeFill="accent6" w:themeFillTint="66"/>
          </w:tcPr>
          <w:p w:rsidR="006974DE" w:rsidRDefault="006974DE" w:rsidP="00234BBD">
            <w:pPr>
              <w:pStyle w:val="Akapitzlist"/>
              <w:numPr>
                <w:ilvl w:val="0"/>
                <w:numId w:val="59"/>
              </w:numPr>
              <w:ind w:left="175" w:hanging="283"/>
            </w:pPr>
            <w:r>
              <w:t>Liczba i wartość inwestycji w ochronę powietrza, gleb i wód</w:t>
            </w:r>
          </w:p>
        </w:tc>
        <w:tc>
          <w:tcPr>
            <w:tcW w:w="1847" w:type="dxa"/>
            <w:shd w:val="clear" w:color="auto" w:fill="FBD4B4" w:themeFill="accent6" w:themeFillTint="66"/>
          </w:tcPr>
          <w:p w:rsidR="006974DE" w:rsidRDefault="006974DE" w:rsidP="00234BBD">
            <w:pPr>
              <w:pStyle w:val="Akapitzlist"/>
              <w:numPr>
                <w:ilvl w:val="0"/>
                <w:numId w:val="59"/>
              </w:numPr>
              <w:ind w:left="214" w:hanging="284"/>
            </w:pPr>
            <w:r>
              <w:t>badania własne</w:t>
            </w:r>
          </w:p>
        </w:tc>
      </w:tr>
      <w:tr w:rsidR="006974DE" w:rsidRPr="003005F7" w:rsidTr="006974DE">
        <w:trPr>
          <w:trHeight w:val="1228"/>
        </w:trPr>
        <w:tc>
          <w:tcPr>
            <w:tcW w:w="1951" w:type="dxa"/>
            <w:vMerge/>
            <w:shd w:val="clear" w:color="auto" w:fill="FBD4B4" w:themeFill="accent6" w:themeFillTint="66"/>
          </w:tcPr>
          <w:p w:rsidR="006974DE" w:rsidRDefault="006974DE" w:rsidP="006974DE"/>
        </w:tc>
        <w:tc>
          <w:tcPr>
            <w:tcW w:w="2410" w:type="dxa"/>
            <w:shd w:val="clear" w:color="auto" w:fill="FBD4B4" w:themeFill="accent6" w:themeFillTint="66"/>
          </w:tcPr>
          <w:p w:rsidR="006974DE" w:rsidRDefault="006974DE" w:rsidP="00B55477">
            <w:r>
              <w:t>Harmonia i ład przestrzenny</w:t>
            </w:r>
          </w:p>
        </w:tc>
        <w:tc>
          <w:tcPr>
            <w:tcW w:w="3080" w:type="dxa"/>
            <w:shd w:val="clear" w:color="auto" w:fill="FBD4B4" w:themeFill="accent6" w:themeFillTint="66"/>
          </w:tcPr>
          <w:p w:rsidR="006974DE" w:rsidRDefault="006974DE" w:rsidP="00234BBD">
            <w:pPr>
              <w:pStyle w:val="Akapitzlist"/>
              <w:numPr>
                <w:ilvl w:val="0"/>
                <w:numId w:val="59"/>
              </w:numPr>
              <w:ind w:left="175" w:hanging="283"/>
            </w:pPr>
            <w:r>
              <w:t>Długość zmodernizowanych chodników</w:t>
            </w:r>
          </w:p>
          <w:p w:rsidR="006974DE" w:rsidRDefault="006974DE" w:rsidP="00234BBD">
            <w:pPr>
              <w:pStyle w:val="Akapitzlist"/>
              <w:numPr>
                <w:ilvl w:val="0"/>
                <w:numId w:val="59"/>
              </w:numPr>
              <w:ind w:left="175" w:hanging="283"/>
            </w:pPr>
            <w:r>
              <w:t>Liczba wybudowanych chodników</w:t>
            </w:r>
          </w:p>
          <w:p w:rsidR="006974DE" w:rsidRDefault="006974DE" w:rsidP="00234BBD">
            <w:pPr>
              <w:pStyle w:val="Akapitzlist"/>
              <w:numPr>
                <w:ilvl w:val="0"/>
                <w:numId w:val="59"/>
              </w:numPr>
              <w:ind w:left="175" w:hanging="283"/>
            </w:pPr>
            <w:r>
              <w:t>Powierzchnia scalonych gruntów</w:t>
            </w:r>
          </w:p>
          <w:p w:rsidR="006974DE" w:rsidRDefault="006974DE" w:rsidP="00234BBD">
            <w:pPr>
              <w:pStyle w:val="Akapitzlist"/>
              <w:numPr>
                <w:ilvl w:val="0"/>
                <w:numId w:val="59"/>
              </w:numPr>
              <w:ind w:left="175" w:hanging="283"/>
            </w:pPr>
            <w:r>
              <w:t>Powierzchni zrewitalizowanych terenów</w:t>
            </w:r>
          </w:p>
        </w:tc>
        <w:tc>
          <w:tcPr>
            <w:tcW w:w="1847" w:type="dxa"/>
            <w:shd w:val="clear" w:color="auto" w:fill="FBD4B4" w:themeFill="accent6" w:themeFillTint="66"/>
          </w:tcPr>
          <w:p w:rsidR="006974DE" w:rsidRDefault="006974DE" w:rsidP="00234BBD">
            <w:pPr>
              <w:pStyle w:val="Akapitzlist"/>
              <w:numPr>
                <w:ilvl w:val="0"/>
                <w:numId w:val="59"/>
              </w:numPr>
              <w:ind w:left="214" w:hanging="284"/>
            </w:pPr>
            <w:r>
              <w:t>badania własne</w:t>
            </w:r>
          </w:p>
          <w:p w:rsidR="006974DE" w:rsidRDefault="006974DE" w:rsidP="006974DE">
            <w:pPr>
              <w:pStyle w:val="Akapitzlist"/>
              <w:ind w:left="214"/>
            </w:pPr>
          </w:p>
          <w:p w:rsidR="006974DE" w:rsidRDefault="006974DE" w:rsidP="00234BBD">
            <w:pPr>
              <w:pStyle w:val="Akapitzlist"/>
              <w:numPr>
                <w:ilvl w:val="0"/>
                <w:numId w:val="59"/>
              </w:numPr>
              <w:ind w:left="214" w:hanging="284"/>
            </w:pPr>
            <w:r>
              <w:t>badania własne</w:t>
            </w:r>
          </w:p>
          <w:p w:rsidR="006974DE" w:rsidRPr="006974DE" w:rsidRDefault="006974DE" w:rsidP="006974DE"/>
          <w:p w:rsidR="006974DE" w:rsidRDefault="006974DE" w:rsidP="00234BBD">
            <w:pPr>
              <w:pStyle w:val="Akapitzlist"/>
              <w:numPr>
                <w:ilvl w:val="0"/>
                <w:numId w:val="59"/>
              </w:numPr>
              <w:ind w:left="214" w:hanging="284"/>
            </w:pPr>
            <w:r>
              <w:t>baza własna</w:t>
            </w:r>
          </w:p>
          <w:p w:rsidR="006974DE" w:rsidRPr="006974DE" w:rsidRDefault="006974DE" w:rsidP="006974DE"/>
          <w:p w:rsidR="006974DE" w:rsidRDefault="006974DE" w:rsidP="00234BBD">
            <w:pPr>
              <w:pStyle w:val="Akapitzlist"/>
              <w:numPr>
                <w:ilvl w:val="0"/>
                <w:numId w:val="59"/>
              </w:numPr>
              <w:ind w:left="214" w:hanging="284"/>
            </w:pPr>
            <w:r>
              <w:t>baza własna</w:t>
            </w:r>
          </w:p>
        </w:tc>
      </w:tr>
    </w:tbl>
    <w:p w:rsidR="003005F7" w:rsidRPr="003005F7" w:rsidRDefault="006974DE" w:rsidP="003005F7">
      <w:pPr>
        <w:ind w:firstLine="1134"/>
        <w:jc w:val="both"/>
      </w:pPr>
      <w:r>
        <w:t>Źródło: Strategia Rozwoju Gminy Mirzec na lata 2013-2020</w:t>
      </w:r>
    </w:p>
    <w:p w:rsidR="003005F7" w:rsidRPr="003005F7" w:rsidRDefault="003005F7" w:rsidP="003005F7">
      <w:pPr>
        <w:jc w:val="center"/>
        <w:rPr>
          <w:rFonts w:ascii="Calibri" w:eastAsia="Times New Roman" w:hAnsi="Calibri" w:cs="Times New Roman"/>
          <w:b/>
          <w:i/>
          <w:u w:val="single"/>
          <w:lang w:eastAsia="pl-PL"/>
        </w:rPr>
      </w:pPr>
      <w:r w:rsidRPr="003005F7">
        <w:rPr>
          <w:rFonts w:ascii="Calibri" w:eastAsia="Times New Roman" w:hAnsi="Calibri" w:cs="Times New Roman"/>
          <w:b/>
          <w:i/>
          <w:u w:val="single"/>
          <w:lang w:eastAsia="pl-PL"/>
        </w:rPr>
        <w:t>Studium Uwarunkowań i Kierunków Zagospodarowania Gminy</w:t>
      </w:r>
    </w:p>
    <w:p w:rsidR="003005F7" w:rsidRPr="003005F7" w:rsidRDefault="003005F7" w:rsidP="00B46559">
      <w:pPr>
        <w:jc w:val="both"/>
      </w:pPr>
      <w:r w:rsidRPr="003005F7">
        <w:t xml:space="preserve">W ramach przyjętej Strategii Rozwoju Gminy należy uwzględnić zagadnienia związane </w:t>
      </w:r>
      <w:r w:rsidRPr="003005F7">
        <w:br/>
        <w:t>z rewitalizacją. Zadania rewitalizacyjne mające odniesienia przestrzenne powinny mieć odbicie również w Studium Uwarunkowań i Kierunków Zagospodarowania Przestrzennego, które powinno być przestrzennym odzwierciedleniem zamierzeń rozwojowych gminy.</w:t>
      </w:r>
    </w:p>
    <w:p w:rsidR="003005F7" w:rsidRPr="003005F7" w:rsidRDefault="003005F7" w:rsidP="00B46559">
      <w:pPr>
        <w:jc w:val="both"/>
        <w:rPr>
          <w:rFonts w:ascii="Calibri" w:eastAsia="Times New Roman" w:hAnsi="Calibri" w:cs="Times New Roman"/>
          <w:lang w:eastAsia="pl-PL"/>
        </w:rPr>
      </w:pPr>
      <w:r w:rsidRPr="003005F7">
        <w:rPr>
          <w:rFonts w:ascii="Calibri" w:eastAsia="Times New Roman" w:hAnsi="Calibri" w:cs="Times New Roman"/>
          <w:lang w:eastAsia="pl-PL"/>
        </w:rPr>
        <w:t>Studium Uwarunkowań i Kierunków Zagospodarowania Przestrzennego Gminy nie może być wprowadzane etapowo ani wybiórczo tylko na niektórych obszarach gminy.</w:t>
      </w:r>
    </w:p>
    <w:p w:rsidR="003005F7" w:rsidRPr="003005F7" w:rsidRDefault="003005F7" w:rsidP="00B46559">
      <w:pPr>
        <w:jc w:val="both"/>
        <w:rPr>
          <w:rFonts w:ascii="Calibri" w:eastAsia="Times New Roman" w:hAnsi="Calibri" w:cs="Times New Roman"/>
          <w:lang w:eastAsia="pl-PL"/>
        </w:rPr>
      </w:pPr>
      <w:r w:rsidRPr="003005F7">
        <w:rPr>
          <w:rFonts w:ascii="Calibri" w:eastAsia="Times New Roman" w:hAnsi="Calibri" w:cs="Times New Roman"/>
          <w:lang w:eastAsia="pl-PL"/>
        </w:rPr>
        <w:t>Studium jest aktem planistycznym o charakterze kompleksowym i musi odnosić się do całego obszaru gminy. Zgodnie z art. 9.</w:t>
      </w:r>
      <w:r w:rsidR="00D06C52">
        <w:rPr>
          <w:rFonts w:ascii="Calibri" w:eastAsia="Times New Roman" w:hAnsi="Calibri" w:cs="Times New Roman"/>
          <w:lang w:eastAsia="pl-PL"/>
        </w:rPr>
        <w:t xml:space="preserve"> ust. 1. ustawy o planowaniu </w:t>
      </w:r>
      <w:r w:rsidR="00D06C52" w:rsidRPr="00D06C52">
        <w:rPr>
          <w:rFonts w:ascii="Calibri" w:eastAsia="Times New Roman" w:hAnsi="Calibri" w:cs="Times New Roman"/>
          <w:lang w:eastAsia="pl-PL"/>
        </w:rPr>
        <w:t>i zagospodarowaniu przestrzennym</w:t>
      </w:r>
      <w:r w:rsidR="00D06C52">
        <w:rPr>
          <w:rFonts w:ascii="Calibri" w:eastAsia="Times New Roman" w:hAnsi="Calibri" w:cs="Times New Roman"/>
          <w:lang w:eastAsia="pl-PL"/>
        </w:rPr>
        <w:t>:</w:t>
      </w:r>
    </w:p>
    <w:p w:rsidR="003005F7" w:rsidRPr="003005F7" w:rsidRDefault="003005F7" w:rsidP="00B46559">
      <w:pPr>
        <w:numPr>
          <w:ilvl w:val="1"/>
          <w:numId w:val="0"/>
        </w:numPr>
        <w:jc w:val="both"/>
        <w:rPr>
          <w:rFonts w:ascii="Calibri" w:eastAsia="Times New Roman" w:hAnsi="Calibri" w:cs="Times New Roman"/>
          <w:lang w:eastAsia="pl-PL"/>
        </w:rPr>
      </w:pPr>
      <w:r w:rsidRPr="003005F7">
        <w:rPr>
          <w:rFonts w:ascii="Calibri" w:eastAsia="Times New Roman" w:hAnsi="Calibri" w:cs="Times New Roman"/>
          <w:lang w:eastAsia="pl-PL"/>
        </w:rPr>
        <w:t xml:space="preserve">W celu określenia polityki przestrzennej gminy, w tym lokalnych zasad zagospodarowania przestrzennego, Rada Gminy podejmuje uchwałę o przystąpieniu do sporządzania Studium Uwarunkowań i Kierunków Zagospodarowania Przestrzennego Gminy, zwanego dalej „Studium”. </w:t>
      </w:r>
    </w:p>
    <w:p w:rsidR="003005F7" w:rsidRPr="003005F7" w:rsidRDefault="003005F7" w:rsidP="00B46559">
      <w:pPr>
        <w:numPr>
          <w:ilvl w:val="1"/>
          <w:numId w:val="0"/>
        </w:numPr>
        <w:jc w:val="both"/>
        <w:rPr>
          <w:rFonts w:ascii="Calibri" w:eastAsia="Times New Roman" w:hAnsi="Calibri" w:cs="Times New Roman"/>
          <w:lang w:eastAsia="pl-PL"/>
        </w:rPr>
      </w:pPr>
      <w:r w:rsidRPr="003005F7">
        <w:rPr>
          <w:rFonts w:ascii="Calibri" w:eastAsia="Times New Roman" w:hAnsi="Calibri" w:cs="Times New Roman"/>
          <w:lang w:eastAsia="pl-PL"/>
        </w:rPr>
        <w:t xml:space="preserve">Wójt, Burmistrz albo Prezydent Miasta sporządza Studium zawierające część tekstową </w:t>
      </w:r>
      <w:r w:rsidRPr="003005F7">
        <w:rPr>
          <w:rFonts w:ascii="Calibri" w:eastAsia="Times New Roman" w:hAnsi="Calibri" w:cs="Times New Roman"/>
          <w:lang w:eastAsia="pl-PL"/>
        </w:rPr>
        <w:br/>
        <w:t xml:space="preserve">i graficzną, uwzględniając zasady określone w Koncepcji Przestrzennego Zagospodarowania Kraju, ustalenia Strategii Rozwoju i Planu Zagospodarowania Przestrzennego Województwa oraz Strategii Rozwoju Gminy, o ile gmina dysponuje takim opracowaniem. </w:t>
      </w:r>
    </w:p>
    <w:p w:rsidR="003005F7" w:rsidRPr="003005F7" w:rsidRDefault="003005F7" w:rsidP="00B46559">
      <w:pPr>
        <w:jc w:val="both"/>
        <w:rPr>
          <w:rFonts w:ascii="Calibri" w:eastAsia="Times New Roman" w:hAnsi="Calibri" w:cs="Times New Roman"/>
          <w:lang w:eastAsia="pl-PL"/>
        </w:rPr>
      </w:pPr>
      <w:r w:rsidRPr="003005F7">
        <w:rPr>
          <w:rFonts w:ascii="Calibri" w:eastAsia="Times New Roman" w:hAnsi="Calibri" w:cs="Times New Roman"/>
          <w:lang w:eastAsia="pl-PL"/>
        </w:rPr>
        <w:t xml:space="preserve">Nawet, jeżeli gmina nie posiada Strategii Rozwoju Gminy, to z zapisów art. 10 wynika, </w:t>
      </w:r>
      <w:r w:rsidRPr="003005F7">
        <w:rPr>
          <w:rFonts w:ascii="Calibri" w:eastAsia="Times New Roman" w:hAnsi="Calibri" w:cs="Times New Roman"/>
          <w:lang w:eastAsia="pl-PL"/>
        </w:rPr>
        <w:br/>
        <w:t xml:space="preserve">że sporządzenie Studium poprzedza przygotowanie (i zamieszczenie w części tekstowej studium) względnie szerokiej analizy stanu obecnego w gminie w m.in. następującym zakresie: </w:t>
      </w:r>
    </w:p>
    <w:p w:rsidR="003005F7" w:rsidRPr="003005F7" w:rsidRDefault="003005F7" w:rsidP="003005F7">
      <w:pPr>
        <w:tabs>
          <w:tab w:val="num" w:pos="720"/>
        </w:tabs>
        <w:jc w:val="both"/>
        <w:rPr>
          <w:rFonts w:ascii="Calibri" w:eastAsia="Times New Roman" w:hAnsi="Calibri" w:cs="Times New Roman"/>
          <w:lang w:eastAsia="pl-PL"/>
        </w:rPr>
      </w:pPr>
      <w:r w:rsidRPr="003005F7">
        <w:rPr>
          <w:rFonts w:ascii="Calibri" w:eastAsia="Times New Roman" w:hAnsi="Calibri" w:cs="Times New Roman"/>
          <w:lang w:eastAsia="pl-PL"/>
        </w:rPr>
        <w:t xml:space="preserve">dotychczasowego przeznaczenia, zagospodarowania i uzbrojenia terenu; </w:t>
      </w:r>
    </w:p>
    <w:p w:rsidR="004140DA" w:rsidRDefault="004140DA" w:rsidP="004140DA">
      <w:pPr>
        <w:tabs>
          <w:tab w:val="num" w:pos="720"/>
        </w:tabs>
        <w:jc w:val="both"/>
        <w:rPr>
          <w:rFonts w:ascii="Calibri" w:eastAsia="Times New Roman" w:hAnsi="Calibri" w:cs="Times New Roman"/>
          <w:lang w:eastAsia="pl-PL"/>
        </w:rPr>
      </w:pPr>
      <w:r w:rsidRPr="004140DA">
        <w:rPr>
          <w:rFonts w:ascii="Calibri" w:eastAsia="Times New Roman" w:hAnsi="Calibri" w:cs="Times New Roman"/>
          <w:lang w:eastAsia="pl-PL"/>
        </w:rPr>
        <w:t>stanu ładu przestr</w:t>
      </w:r>
      <w:r>
        <w:rPr>
          <w:rFonts w:ascii="Calibri" w:eastAsia="Times New Roman" w:hAnsi="Calibri" w:cs="Times New Roman"/>
          <w:lang w:eastAsia="pl-PL"/>
        </w:rPr>
        <w:t>zennego i wymogów jego ochrony;</w:t>
      </w:r>
    </w:p>
    <w:p w:rsidR="004140DA" w:rsidRDefault="004140DA" w:rsidP="004140DA">
      <w:pPr>
        <w:tabs>
          <w:tab w:val="num" w:pos="720"/>
        </w:tabs>
        <w:jc w:val="both"/>
        <w:rPr>
          <w:rFonts w:ascii="Calibri" w:eastAsia="Times New Roman" w:hAnsi="Calibri" w:cs="Times New Roman"/>
          <w:lang w:eastAsia="pl-PL"/>
        </w:rPr>
      </w:pPr>
      <w:r w:rsidRPr="004140DA">
        <w:rPr>
          <w:rFonts w:ascii="Calibri" w:eastAsia="Times New Roman" w:hAnsi="Calibri" w:cs="Times New Roman"/>
          <w:lang w:eastAsia="pl-PL"/>
        </w:rPr>
        <w:t xml:space="preserve">stanu środowiska, w tym stanu rolniczej i </w:t>
      </w:r>
      <w:r>
        <w:rPr>
          <w:rFonts w:ascii="Calibri" w:eastAsia="Times New Roman" w:hAnsi="Calibri" w:cs="Times New Roman"/>
          <w:lang w:eastAsia="pl-PL"/>
        </w:rPr>
        <w:t xml:space="preserve">leśnej przestrzeni produkcyjnej, </w:t>
      </w:r>
      <w:r w:rsidRPr="004140DA">
        <w:rPr>
          <w:rFonts w:ascii="Calibri" w:eastAsia="Times New Roman" w:hAnsi="Calibri" w:cs="Times New Roman"/>
          <w:lang w:eastAsia="pl-PL"/>
        </w:rPr>
        <w:t xml:space="preserve">wielkości i jakości zasobów wodnych </w:t>
      </w:r>
      <w:r>
        <w:rPr>
          <w:rFonts w:ascii="Calibri" w:eastAsia="Times New Roman" w:hAnsi="Calibri" w:cs="Times New Roman"/>
          <w:lang w:eastAsia="pl-PL"/>
        </w:rPr>
        <w:t xml:space="preserve">oraz wymogów ochrony środowiska, </w:t>
      </w:r>
      <w:r w:rsidRPr="004140DA">
        <w:rPr>
          <w:rFonts w:ascii="Calibri" w:eastAsia="Times New Roman" w:hAnsi="Calibri" w:cs="Times New Roman"/>
          <w:lang w:eastAsia="pl-PL"/>
        </w:rPr>
        <w:t>przyrody i krajobrazu, w tym krajobrazu kulturowego</w:t>
      </w:r>
      <w:r>
        <w:rPr>
          <w:rFonts w:ascii="Calibri" w:eastAsia="Times New Roman" w:hAnsi="Calibri" w:cs="Times New Roman"/>
          <w:lang w:eastAsia="pl-PL"/>
        </w:rPr>
        <w:t>;</w:t>
      </w:r>
    </w:p>
    <w:p w:rsidR="003005F7" w:rsidRPr="003005F7" w:rsidRDefault="003005F7" w:rsidP="003005F7">
      <w:pPr>
        <w:tabs>
          <w:tab w:val="num" w:pos="720"/>
        </w:tabs>
        <w:jc w:val="both"/>
        <w:rPr>
          <w:rFonts w:ascii="Calibri" w:eastAsia="Times New Roman" w:hAnsi="Calibri" w:cs="Times New Roman"/>
          <w:lang w:eastAsia="pl-PL"/>
        </w:rPr>
      </w:pPr>
      <w:r w:rsidRPr="003005F7">
        <w:rPr>
          <w:rFonts w:ascii="Calibri" w:eastAsia="Times New Roman" w:hAnsi="Calibri" w:cs="Times New Roman"/>
          <w:lang w:eastAsia="pl-PL"/>
        </w:rPr>
        <w:t xml:space="preserve">stanu dziedzictwa kulturowego i zabytków oraz dóbr kultury współczesnej; </w:t>
      </w:r>
    </w:p>
    <w:p w:rsidR="003005F7" w:rsidRPr="003005F7" w:rsidRDefault="003005F7" w:rsidP="003005F7">
      <w:pPr>
        <w:tabs>
          <w:tab w:val="num" w:pos="720"/>
        </w:tabs>
        <w:jc w:val="both"/>
        <w:rPr>
          <w:rFonts w:ascii="Calibri" w:eastAsia="Times New Roman" w:hAnsi="Calibri" w:cs="Times New Roman"/>
          <w:lang w:eastAsia="pl-PL"/>
        </w:rPr>
      </w:pPr>
      <w:r w:rsidRPr="003005F7">
        <w:rPr>
          <w:rFonts w:ascii="Calibri" w:eastAsia="Times New Roman" w:hAnsi="Calibri" w:cs="Times New Roman"/>
          <w:lang w:eastAsia="pl-PL"/>
        </w:rPr>
        <w:lastRenderedPageBreak/>
        <w:t xml:space="preserve">warunków i jakości życia mieszkańców, w tym ochrony ich zdrowia; </w:t>
      </w:r>
    </w:p>
    <w:p w:rsidR="003005F7" w:rsidRPr="003005F7" w:rsidRDefault="003005F7" w:rsidP="003005F7">
      <w:pPr>
        <w:tabs>
          <w:tab w:val="num" w:pos="720"/>
        </w:tabs>
        <w:jc w:val="both"/>
        <w:rPr>
          <w:rFonts w:ascii="Calibri" w:eastAsia="Times New Roman" w:hAnsi="Calibri" w:cs="Times New Roman"/>
          <w:lang w:eastAsia="pl-PL"/>
        </w:rPr>
      </w:pPr>
      <w:r w:rsidRPr="003005F7">
        <w:rPr>
          <w:rFonts w:ascii="Calibri" w:eastAsia="Times New Roman" w:hAnsi="Calibri" w:cs="Times New Roman"/>
          <w:lang w:eastAsia="pl-PL"/>
        </w:rPr>
        <w:t xml:space="preserve">zagrożenia bezpieczeństwa ludności i jej mienia; </w:t>
      </w:r>
    </w:p>
    <w:p w:rsidR="003005F7" w:rsidRPr="003005F7" w:rsidRDefault="003005F7" w:rsidP="003005F7">
      <w:pPr>
        <w:tabs>
          <w:tab w:val="num" w:pos="720"/>
        </w:tabs>
        <w:jc w:val="both"/>
        <w:rPr>
          <w:rFonts w:ascii="Calibri" w:eastAsia="Times New Roman" w:hAnsi="Calibri" w:cs="Times New Roman"/>
          <w:lang w:eastAsia="pl-PL"/>
        </w:rPr>
      </w:pPr>
      <w:r w:rsidRPr="003005F7">
        <w:rPr>
          <w:rFonts w:ascii="Calibri" w:eastAsia="Times New Roman" w:hAnsi="Calibri" w:cs="Times New Roman"/>
          <w:lang w:eastAsia="pl-PL"/>
        </w:rPr>
        <w:t xml:space="preserve">potrzeb i możliwości rozwoju gminy; </w:t>
      </w:r>
    </w:p>
    <w:p w:rsidR="003005F7" w:rsidRPr="003005F7" w:rsidRDefault="003005F7" w:rsidP="003005F7">
      <w:pPr>
        <w:tabs>
          <w:tab w:val="num" w:pos="720"/>
        </w:tabs>
        <w:jc w:val="both"/>
        <w:rPr>
          <w:rFonts w:ascii="Calibri" w:eastAsia="Times New Roman" w:hAnsi="Calibri" w:cs="Times New Roman"/>
          <w:lang w:eastAsia="pl-PL"/>
        </w:rPr>
      </w:pPr>
      <w:r w:rsidRPr="003005F7">
        <w:rPr>
          <w:rFonts w:ascii="Calibri" w:eastAsia="Times New Roman" w:hAnsi="Calibri" w:cs="Times New Roman"/>
          <w:lang w:eastAsia="pl-PL"/>
        </w:rPr>
        <w:t xml:space="preserve">stanu prawnego gruntów; </w:t>
      </w:r>
    </w:p>
    <w:p w:rsidR="003005F7" w:rsidRPr="003005F7" w:rsidRDefault="003005F7" w:rsidP="003005F7">
      <w:pPr>
        <w:tabs>
          <w:tab w:val="num" w:pos="720"/>
        </w:tabs>
        <w:jc w:val="both"/>
        <w:rPr>
          <w:rFonts w:ascii="Calibri" w:eastAsia="Times New Roman" w:hAnsi="Calibri" w:cs="Times New Roman"/>
          <w:lang w:eastAsia="pl-PL"/>
        </w:rPr>
      </w:pPr>
      <w:r w:rsidRPr="003005F7">
        <w:rPr>
          <w:rFonts w:ascii="Calibri" w:eastAsia="Times New Roman" w:hAnsi="Calibri" w:cs="Times New Roman"/>
          <w:lang w:eastAsia="pl-PL"/>
        </w:rPr>
        <w:t xml:space="preserve">występowania obiektów i terenów chronionych na podstawie przepisów odrębnych; </w:t>
      </w:r>
    </w:p>
    <w:p w:rsidR="004140DA" w:rsidRPr="004140DA" w:rsidRDefault="004140DA" w:rsidP="004140DA">
      <w:pPr>
        <w:jc w:val="both"/>
        <w:rPr>
          <w:rFonts w:ascii="Calibri" w:eastAsia="Times New Roman" w:hAnsi="Calibri" w:cs="Times New Roman"/>
          <w:lang w:eastAsia="pl-PL"/>
        </w:rPr>
      </w:pPr>
      <w:r w:rsidRPr="004140DA">
        <w:rPr>
          <w:rFonts w:ascii="Calibri" w:eastAsia="Times New Roman" w:hAnsi="Calibri" w:cs="Times New Roman"/>
          <w:lang w:eastAsia="pl-PL"/>
        </w:rPr>
        <w:t>występowania obszarów naturalnych zagrożeń geologicznych;</w:t>
      </w:r>
    </w:p>
    <w:p w:rsidR="004140DA" w:rsidRPr="004140DA" w:rsidRDefault="004140DA" w:rsidP="004140DA">
      <w:pPr>
        <w:jc w:val="both"/>
        <w:rPr>
          <w:rFonts w:ascii="Calibri" w:eastAsia="Times New Roman" w:hAnsi="Calibri" w:cs="Times New Roman"/>
          <w:lang w:eastAsia="pl-PL"/>
        </w:rPr>
      </w:pPr>
      <w:r w:rsidRPr="004140DA">
        <w:rPr>
          <w:rFonts w:ascii="Calibri" w:eastAsia="Times New Roman" w:hAnsi="Calibri" w:cs="Times New Roman"/>
          <w:lang w:eastAsia="pl-PL"/>
        </w:rPr>
        <w:t>występowania udokumentowanych złóż k</w:t>
      </w:r>
      <w:r>
        <w:rPr>
          <w:rFonts w:ascii="Calibri" w:eastAsia="Times New Roman" w:hAnsi="Calibri" w:cs="Times New Roman"/>
          <w:lang w:eastAsia="pl-PL"/>
        </w:rPr>
        <w:t xml:space="preserve">opalin, zasobów wód podziemnych </w:t>
      </w:r>
      <w:r w:rsidRPr="004140DA">
        <w:rPr>
          <w:rFonts w:ascii="Calibri" w:eastAsia="Times New Roman" w:hAnsi="Calibri" w:cs="Times New Roman"/>
          <w:lang w:eastAsia="pl-PL"/>
        </w:rPr>
        <w:t>oraz udokumentowanych kompleksów po</w:t>
      </w:r>
      <w:r>
        <w:rPr>
          <w:rFonts w:ascii="Calibri" w:eastAsia="Times New Roman" w:hAnsi="Calibri" w:cs="Times New Roman"/>
          <w:lang w:eastAsia="pl-PL"/>
        </w:rPr>
        <w:t xml:space="preserve">dziemnego składowania dwutlenku </w:t>
      </w:r>
      <w:r w:rsidRPr="004140DA">
        <w:rPr>
          <w:rFonts w:ascii="Calibri" w:eastAsia="Times New Roman" w:hAnsi="Calibri" w:cs="Times New Roman"/>
          <w:lang w:eastAsia="pl-PL"/>
        </w:rPr>
        <w:t>węgla;</w:t>
      </w:r>
    </w:p>
    <w:p w:rsidR="004140DA" w:rsidRDefault="004140DA" w:rsidP="004140DA">
      <w:pPr>
        <w:jc w:val="both"/>
        <w:rPr>
          <w:rFonts w:ascii="Calibri" w:eastAsia="Times New Roman" w:hAnsi="Calibri" w:cs="Times New Roman"/>
          <w:lang w:eastAsia="pl-PL"/>
        </w:rPr>
      </w:pPr>
      <w:r w:rsidRPr="004140DA">
        <w:rPr>
          <w:rFonts w:ascii="Calibri" w:eastAsia="Times New Roman" w:hAnsi="Calibri" w:cs="Times New Roman"/>
          <w:lang w:eastAsia="pl-PL"/>
        </w:rPr>
        <w:t>występowania terenów górniczych wyzn</w:t>
      </w:r>
      <w:r>
        <w:rPr>
          <w:rFonts w:ascii="Calibri" w:eastAsia="Times New Roman" w:hAnsi="Calibri" w:cs="Times New Roman"/>
          <w:lang w:eastAsia="pl-PL"/>
        </w:rPr>
        <w:t xml:space="preserve">aczonych na podstawie przepisów </w:t>
      </w:r>
      <w:r w:rsidRPr="004140DA">
        <w:rPr>
          <w:rFonts w:ascii="Calibri" w:eastAsia="Times New Roman" w:hAnsi="Calibri" w:cs="Times New Roman"/>
          <w:lang w:eastAsia="pl-PL"/>
        </w:rPr>
        <w:t>odrębnych;</w:t>
      </w:r>
    </w:p>
    <w:p w:rsidR="003005F7" w:rsidRPr="003005F7" w:rsidRDefault="003005F7" w:rsidP="003005F7">
      <w:pPr>
        <w:jc w:val="both"/>
        <w:rPr>
          <w:rFonts w:ascii="Calibri" w:eastAsia="Times New Roman" w:hAnsi="Calibri" w:cs="Times New Roman"/>
          <w:lang w:eastAsia="pl-PL"/>
        </w:rPr>
      </w:pPr>
      <w:r w:rsidRPr="003005F7">
        <w:rPr>
          <w:rFonts w:ascii="Calibri" w:eastAsia="Times New Roman" w:hAnsi="Calibri" w:cs="Times New Roman"/>
          <w:lang w:eastAsia="pl-PL"/>
        </w:rPr>
        <w:t xml:space="preserve">stanu systemów komunikacji i infrastruktury technicznej. </w:t>
      </w:r>
    </w:p>
    <w:p w:rsidR="003005F7" w:rsidRPr="003005F7" w:rsidRDefault="003005F7" w:rsidP="00B46559">
      <w:pPr>
        <w:jc w:val="both"/>
        <w:rPr>
          <w:rFonts w:ascii="Calibri" w:eastAsia="Times New Roman" w:hAnsi="Calibri" w:cs="Times New Roman"/>
          <w:lang w:eastAsia="pl-PL"/>
        </w:rPr>
      </w:pPr>
      <w:r w:rsidRPr="003005F7">
        <w:rPr>
          <w:rFonts w:ascii="Calibri" w:eastAsia="Times New Roman" w:hAnsi="Calibri" w:cs="Times New Roman"/>
          <w:lang w:eastAsia="pl-PL"/>
        </w:rPr>
        <w:t xml:space="preserve">Jest to zatem szeroki zakres pozwalający nawet przy koniecznej ogólności ustaleń Studium, zgromadzić stosunkowo znaczny zasób informacji o terenach wymagających specjalnych działań (rewitalizacji, rewaloryzacji, rehabilitacji itp.). W Studium określa się ponadto, </w:t>
      </w:r>
      <w:r w:rsidRPr="003005F7">
        <w:rPr>
          <w:rFonts w:ascii="Calibri" w:eastAsia="Times New Roman" w:hAnsi="Calibri" w:cs="Times New Roman"/>
          <w:lang w:eastAsia="pl-PL"/>
        </w:rPr>
        <w:br/>
        <w:t>w szczególności: obszary zabudowane ze wskazaniem obszarów wymagających przekształceń lub rehabilitacji (art.10, ust. 2 pkt. 14 ustawy). Ustalenia te umieszczane są następnie w miejscowym Planie Zagospodarowania Przestrzennego.</w:t>
      </w:r>
    </w:p>
    <w:p w:rsidR="003005F7" w:rsidRPr="003005F7" w:rsidRDefault="003005F7" w:rsidP="00B46559">
      <w:pPr>
        <w:jc w:val="both"/>
        <w:rPr>
          <w:rFonts w:ascii="Calibri" w:eastAsia="Times New Roman" w:hAnsi="Calibri" w:cs="Times New Roman"/>
          <w:lang w:eastAsia="pl-PL"/>
        </w:rPr>
      </w:pPr>
      <w:r w:rsidRPr="003005F7">
        <w:rPr>
          <w:rFonts w:ascii="Calibri" w:eastAsia="Times New Roman" w:hAnsi="Calibri" w:cs="Times New Roman"/>
          <w:lang w:eastAsia="pl-PL"/>
        </w:rPr>
        <w:t>W pozostałej części zadań rewitalizacyjnych (zagadnienia społeczne, finansowe, organizacyjne itp.) ich instytucjonalizacja powinna być przeprowadzona w drodze odpowiednich uchwał Rady Gminy (np. uchwałą o przyjęciu planu rewitalizacji). Następnie na podstawie tych uchwał podejmowane są decyzje organów wykonawczych gminy (realizacja).</w:t>
      </w:r>
    </w:p>
    <w:p w:rsidR="003005F7" w:rsidRPr="003005F7" w:rsidRDefault="003005F7" w:rsidP="00B46559">
      <w:pPr>
        <w:jc w:val="both"/>
        <w:rPr>
          <w:rFonts w:ascii="Calibri" w:eastAsia="Times New Roman" w:hAnsi="Calibri" w:cs="Times New Roman"/>
          <w:lang w:eastAsia="pl-PL"/>
        </w:rPr>
      </w:pPr>
      <w:r w:rsidRPr="003005F7">
        <w:rPr>
          <w:rFonts w:ascii="Calibri" w:eastAsia="Times New Roman" w:hAnsi="Calibri" w:cs="Times New Roman"/>
          <w:lang w:eastAsia="pl-PL"/>
        </w:rPr>
        <w:t>Taki zakres działań nie jest jednak wystarczający. W zakres kompleksowo przygotowywanego programu rewitalizacji</w:t>
      </w:r>
      <w:r w:rsidRPr="003005F7">
        <w:rPr>
          <w:rFonts w:ascii="Calibri" w:eastAsia="Times New Roman" w:hAnsi="Calibri" w:cs="Times New Roman"/>
          <w:vertAlign w:val="superscript"/>
          <w:lang w:eastAsia="pl-PL"/>
        </w:rPr>
        <w:footnoteReference w:id="16"/>
      </w:r>
      <w:r w:rsidRPr="003005F7">
        <w:rPr>
          <w:rFonts w:ascii="Calibri" w:eastAsia="Times New Roman" w:hAnsi="Calibri" w:cs="Times New Roman"/>
          <w:lang w:eastAsia="pl-PL"/>
        </w:rPr>
        <w:t xml:space="preserve"> wchodzą zagadnienia wykraczające poza kompetencje przyznane ustawowo gminie. Dotyczy to szczególnie zagadnień związanych z rozwojem gospodarczym, sprawami socjalnymi (np. przeciwdziałanie wykluczeniu społecznemu) i rynkiem pracy. W tych obszarach konieczne będzie współdziałanie z innymi jednostkami samorządu terytorialnego, tj. szczebla powiatu i województwa, a także z innymi instytucjami zajmującymi się sprawami społecznymi bądź gospodarczymi.</w:t>
      </w:r>
    </w:p>
    <w:p w:rsidR="003005F7" w:rsidRPr="003005F7" w:rsidRDefault="003005F7" w:rsidP="00B46559">
      <w:pPr>
        <w:jc w:val="both"/>
        <w:rPr>
          <w:rFonts w:ascii="Calibri" w:eastAsia="Times New Roman" w:hAnsi="Calibri" w:cs="Times New Roman"/>
          <w:lang w:eastAsia="pl-PL"/>
        </w:rPr>
      </w:pPr>
      <w:r w:rsidRPr="003005F7">
        <w:rPr>
          <w:rFonts w:ascii="Calibri" w:eastAsia="Times New Roman" w:hAnsi="Calibri" w:cs="Times New Roman"/>
          <w:lang w:eastAsia="pl-PL"/>
        </w:rPr>
        <w:t>Zwraca uwagę brak koniecznych regulacji ustalających zasady wspólnego planowania</w:t>
      </w:r>
      <w:r w:rsidRPr="003005F7">
        <w:rPr>
          <w:rFonts w:ascii="Calibri" w:eastAsia="Times New Roman" w:hAnsi="Calibri" w:cs="Times New Roman"/>
          <w:vertAlign w:val="superscript"/>
          <w:lang w:eastAsia="pl-PL"/>
        </w:rPr>
        <w:footnoteReference w:id="17"/>
      </w:r>
      <w:r w:rsidRPr="003005F7">
        <w:rPr>
          <w:rFonts w:ascii="Calibri" w:eastAsia="Times New Roman" w:hAnsi="Calibri" w:cs="Times New Roman"/>
          <w:lang w:eastAsia="pl-PL"/>
        </w:rPr>
        <w:t xml:space="preserve">. </w:t>
      </w:r>
      <w:r w:rsidRPr="003005F7">
        <w:rPr>
          <w:rFonts w:ascii="Calibri" w:eastAsia="Times New Roman" w:hAnsi="Calibri" w:cs="Times New Roman"/>
          <w:lang w:eastAsia="pl-PL"/>
        </w:rPr>
        <w:br/>
        <w:t>W zakresie Strategii Rozwojowych obowiązek ich sporządzenia spoczywa tylko na władzach województwa samorządowego zgodnie z art. 11 ust. 1 ustawy o samorządzie województwa</w:t>
      </w:r>
      <w:r w:rsidRPr="003005F7">
        <w:rPr>
          <w:rFonts w:ascii="Calibri" w:eastAsia="Times New Roman" w:hAnsi="Calibri" w:cs="Times New Roman"/>
          <w:vertAlign w:val="superscript"/>
          <w:lang w:eastAsia="pl-PL"/>
        </w:rPr>
        <w:footnoteReference w:id="18"/>
      </w:r>
      <w:r w:rsidRPr="003005F7">
        <w:rPr>
          <w:rFonts w:ascii="Calibri" w:eastAsia="Times New Roman" w:hAnsi="Calibri" w:cs="Times New Roman"/>
          <w:lang w:eastAsia="pl-PL"/>
        </w:rPr>
        <w:t>. Pewną możliwość współpracy pomiędzy jednostkami samorządu terytorialnego w tym zakresie daje ustawa o samorządzie gminnym</w:t>
      </w:r>
      <w:r w:rsidRPr="003005F7">
        <w:rPr>
          <w:rFonts w:ascii="Calibri" w:eastAsia="Times New Roman" w:hAnsi="Calibri" w:cs="Times New Roman"/>
          <w:vertAlign w:val="superscript"/>
          <w:lang w:eastAsia="pl-PL"/>
        </w:rPr>
        <w:footnoteReference w:id="19"/>
      </w:r>
      <w:r w:rsidRPr="003005F7">
        <w:rPr>
          <w:rFonts w:ascii="Calibri" w:eastAsia="Times New Roman" w:hAnsi="Calibri" w:cs="Times New Roman"/>
          <w:lang w:eastAsia="pl-PL"/>
        </w:rPr>
        <w:t xml:space="preserve"> zgodnie, z którą:</w:t>
      </w:r>
    </w:p>
    <w:p w:rsidR="003005F7" w:rsidRPr="003005F7" w:rsidRDefault="003005F7" w:rsidP="003005F7">
      <w:pPr>
        <w:jc w:val="both"/>
        <w:rPr>
          <w:rFonts w:ascii="Calibri" w:eastAsia="Times New Roman" w:hAnsi="Calibri" w:cs="Times New Roman"/>
          <w:lang w:eastAsia="pl-PL"/>
        </w:rPr>
      </w:pPr>
      <w:r w:rsidRPr="003005F7">
        <w:rPr>
          <w:rFonts w:ascii="Calibri" w:eastAsia="Times New Roman" w:hAnsi="Calibri" w:cs="Times New Roman"/>
          <w:lang w:eastAsia="pl-PL"/>
        </w:rPr>
        <w:lastRenderedPageBreak/>
        <w:t>Gmina może wykonywać zadania z zakresu właściwości powiatu oraz zadania z zakresu właściwości województwa na podstawie porozumień z tymi jednostkami samorządu terytorialnego (Art. 8). Wykonywanie zadań publicznych może być realizowane w drodze współdziałania między jednostkami samorządu terytorialnego (Art. 10). W celu wspólnego wykonywania zadań publicznych gminy mogą tworzyć związki międzygminne (Art. 64).</w:t>
      </w:r>
    </w:p>
    <w:p w:rsidR="003005F7" w:rsidRPr="003005F7" w:rsidRDefault="003005F7" w:rsidP="00B46559">
      <w:pPr>
        <w:jc w:val="both"/>
        <w:rPr>
          <w:rFonts w:ascii="Calibri" w:eastAsia="Times New Roman" w:hAnsi="Calibri" w:cs="Times New Roman"/>
          <w:lang w:eastAsia="pl-PL"/>
        </w:rPr>
      </w:pPr>
      <w:r w:rsidRPr="003005F7">
        <w:rPr>
          <w:rFonts w:ascii="Calibri" w:eastAsia="Times New Roman" w:hAnsi="Calibri" w:cs="Times New Roman"/>
          <w:lang w:eastAsia="pl-PL"/>
        </w:rPr>
        <w:t>Jednakże dla potrzeb tworzenia specyficznych i jednak cząstkowych, w stosunku do Strategii Rozwoju, Planów Rewitalizacji, są to regulacje zbyt ogólne, a przed wszystkim dotyczące tylko zadań publicznych i ich wykonywania. W oparciu o takie rozwiązania chyba nie sposób zapewnić spójności planowania i odpowiedniego stopnia stałości przyjętych do realizacji zadań (w tym finansowania) w dłuższym czasie i tylko na ograniczonym obszarze – terenie rewitalizacji.</w:t>
      </w:r>
    </w:p>
    <w:p w:rsidR="003005F7" w:rsidRPr="003005F7" w:rsidRDefault="003005F7" w:rsidP="003005F7">
      <w:pPr>
        <w:jc w:val="both"/>
        <w:rPr>
          <w:rFonts w:ascii="Calibri" w:eastAsia="Times New Roman" w:hAnsi="Calibri" w:cs="Times New Roman"/>
          <w:b/>
          <w:u w:val="single"/>
          <w:lang w:eastAsia="pl-PL"/>
        </w:rPr>
      </w:pPr>
    </w:p>
    <w:p w:rsidR="003005F7" w:rsidRPr="003005F7" w:rsidRDefault="003005F7" w:rsidP="003005F7">
      <w:pPr>
        <w:jc w:val="center"/>
        <w:rPr>
          <w:rFonts w:ascii="Calibri" w:eastAsia="Times New Roman" w:hAnsi="Calibri" w:cs="Times New Roman"/>
          <w:b/>
          <w:i/>
          <w:u w:val="single"/>
          <w:lang w:eastAsia="pl-PL"/>
        </w:rPr>
      </w:pPr>
      <w:r w:rsidRPr="003005F7">
        <w:rPr>
          <w:rFonts w:ascii="Calibri" w:eastAsia="Times New Roman" w:hAnsi="Calibri" w:cs="Times New Roman"/>
          <w:b/>
          <w:i/>
          <w:u w:val="single"/>
          <w:lang w:eastAsia="pl-PL"/>
        </w:rPr>
        <w:t>Strategia Rozwiązywania Problemów Społecznych</w:t>
      </w:r>
    </w:p>
    <w:p w:rsidR="003005F7" w:rsidRPr="003005F7" w:rsidRDefault="003005F7" w:rsidP="00B46559">
      <w:pPr>
        <w:jc w:val="both"/>
        <w:rPr>
          <w:rFonts w:ascii="Calibri" w:eastAsia="Times New Roman" w:hAnsi="Calibri" w:cs="Arial"/>
          <w:lang w:eastAsia="pl-PL"/>
        </w:rPr>
      </w:pPr>
      <w:r w:rsidRPr="003005F7">
        <w:rPr>
          <w:rFonts w:ascii="Calibri" w:eastAsia="Times New Roman" w:hAnsi="Calibri" w:cs="Arial"/>
          <w:lang w:eastAsia="pl-PL"/>
        </w:rPr>
        <w:t>Strategia Rozwiązywania Problemów Społecznych stanowi podstawę do realizacji stosunkowo trwałych wzorów interwencji społecznych, które mają przyczynić się do poprawy warunków życia mieszkańców, w szczególności tych, któr</w:t>
      </w:r>
      <w:r w:rsidR="00B46559">
        <w:rPr>
          <w:rFonts w:ascii="Calibri" w:eastAsia="Times New Roman" w:hAnsi="Calibri" w:cs="Arial"/>
          <w:lang w:eastAsia="pl-PL"/>
        </w:rPr>
        <w:t xml:space="preserve">zy są zagrożeni marginalizacją </w:t>
      </w:r>
      <w:r w:rsidRPr="003005F7">
        <w:rPr>
          <w:rFonts w:ascii="Calibri" w:eastAsia="Times New Roman" w:hAnsi="Calibri" w:cs="Arial"/>
          <w:lang w:eastAsia="pl-PL"/>
        </w:rPr>
        <w:t>i wykluczeniem społecznym, aby w konsekwencji doprowadzić do integracji społecznej.</w:t>
      </w:r>
    </w:p>
    <w:p w:rsidR="003005F7" w:rsidRPr="003005F7" w:rsidRDefault="003005F7" w:rsidP="00B46559">
      <w:pPr>
        <w:widowControl w:val="0"/>
        <w:suppressAutoHyphens/>
        <w:spacing w:after="0"/>
        <w:jc w:val="both"/>
        <w:rPr>
          <w:rFonts w:ascii="Calibri" w:eastAsia="Lucida Sans Unicode" w:hAnsi="Calibri" w:cs="Arial"/>
          <w:lang w:eastAsia="ar-SA"/>
        </w:rPr>
      </w:pPr>
      <w:r w:rsidRPr="003005F7">
        <w:rPr>
          <w:rFonts w:ascii="Calibri" w:eastAsia="Lucida Sans Unicode" w:hAnsi="Calibri" w:cs="Arial"/>
          <w:lang w:eastAsia="ar-SA"/>
        </w:rPr>
        <w:t>Strategia Rozwiązywania Problemów Społecznych jest</w:t>
      </w:r>
      <w:r w:rsidR="000D717F">
        <w:rPr>
          <w:rFonts w:ascii="Calibri" w:eastAsia="Lucida Sans Unicode" w:hAnsi="Calibri" w:cs="Arial"/>
          <w:lang w:eastAsia="ar-SA"/>
        </w:rPr>
        <w:t xml:space="preserve"> dokumentem zgodnym </w:t>
      </w:r>
      <w:r w:rsidRPr="003005F7">
        <w:rPr>
          <w:rFonts w:ascii="Calibri" w:eastAsia="Lucida Sans Unicode" w:hAnsi="Calibri" w:cs="Arial"/>
          <w:lang w:eastAsia="ar-SA"/>
        </w:rPr>
        <w:t>z dokumentami strategicznymi i programowymi, które funkcjonują na poziomie europejskim, ogólnopolskim, wojewódzkim i gminnym. Dokumenty te tworzą warunki do podejmowania działań opartych na zasadzie pomocniczości państwa przy wykorzystaniu zasobów tkwiących w środowiskach lokalnych i aktywności środowisk zagrożonych marginalizacją i wykluczeniem społecznym.</w:t>
      </w:r>
    </w:p>
    <w:p w:rsidR="00B46559" w:rsidRDefault="00B46559" w:rsidP="00B46559">
      <w:pPr>
        <w:widowControl w:val="0"/>
        <w:suppressAutoHyphens/>
        <w:spacing w:after="0"/>
        <w:jc w:val="both"/>
        <w:rPr>
          <w:rFonts w:ascii="Calibri" w:eastAsia="Lucida Sans Unicode" w:hAnsi="Calibri" w:cs="Times New Roman"/>
          <w:lang w:eastAsia="ar-SA"/>
        </w:rPr>
      </w:pPr>
    </w:p>
    <w:p w:rsidR="003005F7" w:rsidRPr="003005F7" w:rsidRDefault="003005F7" w:rsidP="00B46559">
      <w:pPr>
        <w:widowControl w:val="0"/>
        <w:suppressAutoHyphens/>
        <w:spacing w:after="0"/>
        <w:jc w:val="both"/>
        <w:rPr>
          <w:rFonts w:ascii="Calibri" w:eastAsia="Lucida Sans Unicode" w:hAnsi="Calibri" w:cs="Arial"/>
          <w:lang w:eastAsia="ar-SA"/>
        </w:rPr>
      </w:pPr>
      <w:r w:rsidRPr="003005F7">
        <w:rPr>
          <w:rFonts w:ascii="Calibri" w:eastAsia="Lucida Sans Unicode" w:hAnsi="Calibri" w:cs="Times New Roman"/>
          <w:lang w:eastAsia="ar-SA"/>
        </w:rPr>
        <w:t>Jednym z głównych problemów Strategii jest udzielanie organizowanie pomocy społecznej. Zgodnie z ustawą pomoc społeczną organizują o</w:t>
      </w:r>
      <w:r w:rsidR="00B46559">
        <w:rPr>
          <w:rFonts w:ascii="Calibri" w:eastAsia="Lucida Sans Unicode" w:hAnsi="Calibri" w:cs="Times New Roman"/>
          <w:lang w:eastAsia="ar-SA"/>
        </w:rPr>
        <w:t xml:space="preserve">rgany administracji państwowej </w:t>
      </w:r>
      <w:r w:rsidRPr="003005F7">
        <w:rPr>
          <w:rFonts w:ascii="Calibri" w:eastAsia="Lucida Sans Unicode" w:hAnsi="Calibri" w:cs="Times New Roman"/>
          <w:lang w:eastAsia="ar-SA"/>
        </w:rPr>
        <w:t>i samorządowej, współpracując w tym zakresie z organizacjami społecznymi, jak Polski Czerwony Krzyż, związki wyznaniowe, stowarzyszenia charytatywne, fundacje itp.</w:t>
      </w:r>
    </w:p>
    <w:p w:rsidR="00B46559" w:rsidRDefault="00B46559" w:rsidP="00B46559">
      <w:pPr>
        <w:jc w:val="both"/>
        <w:rPr>
          <w:rFonts w:ascii="Calibri" w:eastAsia="Times New Roman" w:hAnsi="Calibri" w:cs="Times New Roman"/>
          <w:lang w:eastAsia="pl-PL"/>
        </w:rPr>
      </w:pPr>
    </w:p>
    <w:p w:rsidR="003005F7" w:rsidRPr="003005F7" w:rsidRDefault="003005F7" w:rsidP="00B46559">
      <w:pPr>
        <w:jc w:val="both"/>
        <w:rPr>
          <w:rFonts w:ascii="Calibri" w:eastAsia="Times New Roman" w:hAnsi="Calibri" w:cs="Times New Roman"/>
          <w:lang w:eastAsia="pl-PL"/>
        </w:rPr>
      </w:pPr>
      <w:r w:rsidRPr="003005F7">
        <w:rPr>
          <w:rFonts w:ascii="Calibri" w:eastAsia="Times New Roman" w:hAnsi="Calibri" w:cs="Times New Roman"/>
          <w:lang w:eastAsia="pl-PL"/>
        </w:rPr>
        <w:t xml:space="preserve">Ciężar obowiązków związanych z pomocą społeczną został przeniesiony z administracji rządowej na gminy. Wyodrębniono zadania własne (finansowane z funduszy gminnych) i zlecone (opłacane przez państwo). Należy stwierdzić, że zasadnicza część tych instrumentów jakimi dysponują gminy, jest nakierowana na łagodzenie istniejącej sytuacji, na ogół finansowej i mieszkaniowej, </w:t>
      </w:r>
      <w:r w:rsidRPr="003005F7">
        <w:rPr>
          <w:rFonts w:ascii="Calibri" w:eastAsia="Times New Roman" w:hAnsi="Calibri" w:cs="Times New Roman"/>
          <w:lang w:eastAsia="pl-PL"/>
        </w:rPr>
        <w:br/>
        <w:t>z zasady całych rodzin. Bardzo niewiele jest instrumentów nakierowanych na uzyskanie trwałej zmiany niekorzystnych społecznie postaw niektórych grup społeczeństwa miejscowego.</w:t>
      </w:r>
    </w:p>
    <w:p w:rsidR="003005F7" w:rsidRPr="003005F7" w:rsidRDefault="003005F7" w:rsidP="00B46559">
      <w:pPr>
        <w:jc w:val="both"/>
        <w:rPr>
          <w:rFonts w:ascii="Calibri" w:eastAsia="Times New Roman" w:hAnsi="Calibri" w:cs="Times New Roman"/>
          <w:lang w:eastAsia="pl-PL"/>
        </w:rPr>
      </w:pPr>
      <w:r w:rsidRPr="003005F7">
        <w:rPr>
          <w:rFonts w:ascii="Calibri" w:eastAsia="Times New Roman" w:hAnsi="Calibri" w:cs="Times New Roman"/>
          <w:lang w:eastAsia="pl-PL"/>
        </w:rPr>
        <w:t>Zagadnienia pomocy w zatrudnieniu i instytucje rynku pracy znajdują się w gestii j.s.t. stopnia ponadgminnego. Nie wyklucza to oczywiście wykorzystania takich instrumentów przez jednostkę prowadzącą przedsięwzięcia rewitalizacyjne, tzn. gminy na drodze bądź porozumień pomiędzy jednostkami samorządu względnie delegacji uprawnień – choć brak jest ustawowych procedur uzgadniania programów i ich wspólnej realizacji.</w:t>
      </w:r>
    </w:p>
    <w:p w:rsidR="003005F7" w:rsidRPr="003005F7" w:rsidRDefault="003005F7" w:rsidP="00B46559">
      <w:pPr>
        <w:jc w:val="both"/>
        <w:rPr>
          <w:rFonts w:ascii="Calibri" w:eastAsia="Times New Roman" w:hAnsi="Calibri" w:cs="Times New Roman"/>
          <w:lang w:eastAsia="pl-PL"/>
        </w:rPr>
      </w:pPr>
      <w:r w:rsidRPr="003005F7">
        <w:rPr>
          <w:rFonts w:ascii="Calibri" w:eastAsia="Times New Roman" w:hAnsi="Calibri" w:cs="Times New Roman"/>
          <w:lang w:eastAsia="pl-PL"/>
        </w:rPr>
        <w:t>Zasadnicze znaczenie w tym zakresie mają dwie ustawy, a mianowicie:</w:t>
      </w:r>
    </w:p>
    <w:p w:rsidR="003005F7" w:rsidRPr="003005F7" w:rsidRDefault="003005F7" w:rsidP="00DC61B1">
      <w:pPr>
        <w:numPr>
          <w:ilvl w:val="0"/>
          <w:numId w:val="10"/>
        </w:numPr>
        <w:tabs>
          <w:tab w:val="num" w:pos="720"/>
        </w:tabs>
        <w:contextualSpacing/>
        <w:jc w:val="both"/>
        <w:rPr>
          <w:rFonts w:ascii="Calibri" w:eastAsia="Times New Roman" w:hAnsi="Calibri" w:cs="Times New Roman"/>
          <w:lang w:eastAsia="pl-PL"/>
        </w:rPr>
      </w:pPr>
      <w:r w:rsidRPr="003005F7">
        <w:rPr>
          <w:rFonts w:ascii="Calibri" w:eastAsia="Times New Roman" w:hAnsi="Calibri" w:cs="Times New Roman"/>
          <w:lang w:eastAsia="pl-PL"/>
        </w:rPr>
        <w:lastRenderedPageBreak/>
        <w:t>Ustawa o pomocy społecznej</w:t>
      </w:r>
      <w:r w:rsidRPr="003005F7">
        <w:rPr>
          <w:rFonts w:ascii="Calibri" w:eastAsia="Times New Roman" w:hAnsi="Calibri" w:cs="Times New Roman"/>
          <w:vertAlign w:val="superscript"/>
          <w:lang w:eastAsia="pl-PL"/>
        </w:rPr>
        <w:footnoteReference w:id="20"/>
      </w:r>
      <w:r w:rsidRPr="003005F7">
        <w:rPr>
          <w:rFonts w:ascii="Calibri" w:eastAsia="Times New Roman" w:hAnsi="Calibri" w:cs="Times New Roman"/>
          <w:lang w:eastAsia="pl-PL"/>
        </w:rPr>
        <w:t xml:space="preserve">, </w:t>
      </w:r>
    </w:p>
    <w:p w:rsidR="003005F7" w:rsidRPr="003005F7" w:rsidRDefault="003005F7" w:rsidP="00DC61B1">
      <w:pPr>
        <w:numPr>
          <w:ilvl w:val="0"/>
          <w:numId w:val="10"/>
        </w:numPr>
        <w:tabs>
          <w:tab w:val="num" w:pos="720"/>
        </w:tabs>
        <w:contextualSpacing/>
        <w:jc w:val="both"/>
        <w:rPr>
          <w:rFonts w:ascii="Calibri" w:eastAsia="Times New Roman" w:hAnsi="Calibri" w:cs="Times New Roman"/>
          <w:lang w:eastAsia="pl-PL"/>
        </w:rPr>
      </w:pPr>
      <w:r w:rsidRPr="003005F7">
        <w:rPr>
          <w:rFonts w:ascii="Calibri" w:eastAsia="Times New Roman" w:hAnsi="Calibri" w:cs="Times New Roman"/>
          <w:lang w:eastAsia="pl-PL"/>
        </w:rPr>
        <w:t>Ustawa o promocji zatrudnienia i instytucjach rynku pracy</w:t>
      </w:r>
      <w:r w:rsidRPr="003005F7">
        <w:rPr>
          <w:rFonts w:ascii="Calibri" w:eastAsia="Times New Roman" w:hAnsi="Calibri" w:cs="Times New Roman"/>
          <w:vertAlign w:val="superscript"/>
          <w:lang w:eastAsia="pl-PL"/>
        </w:rPr>
        <w:footnoteReference w:id="21"/>
      </w:r>
      <w:r w:rsidRPr="003005F7">
        <w:rPr>
          <w:rFonts w:ascii="Calibri" w:eastAsia="Times New Roman" w:hAnsi="Calibri" w:cs="Times New Roman"/>
          <w:lang w:eastAsia="pl-PL"/>
        </w:rPr>
        <w:t xml:space="preserve">. </w:t>
      </w:r>
    </w:p>
    <w:p w:rsidR="003005F7" w:rsidRPr="003005F7" w:rsidRDefault="003005F7" w:rsidP="00B46559">
      <w:pPr>
        <w:jc w:val="both"/>
        <w:rPr>
          <w:rFonts w:ascii="Calibri" w:eastAsia="Times New Roman" w:hAnsi="Calibri" w:cs="Times New Roman"/>
          <w:lang w:eastAsia="pl-PL"/>
        </w:rPr>
      </w:pPr>
      <w:r w:rsidRPr="003005F7">
        <w:rPr>
          <w:rFonts w:ascii="Calibri" w:eastAsia="Times New Roman" w:hAnsi="Calibri" w:cs="Times New Roman"/>
          <w:lang w:eastAsia="pl-PL"/>
        </w:rPr>
        <w:t xml:space="preserve">Zgodnie z art. 3. ustawy o pomocy społecznej, zadania realizowane w ramach pomocy społecznej mają za zadanie umożliwienie osobom i rodzinom przezwyciężanie trudnych sytuacji życiowych, których nie są one w stanie pokonać, wykorzystując własne uprawnienia, zasoby </w:t>
      </w:r>
      <w:r w:rsidRPr="003005F7">
        <w:rPr>
          <w:rFonts w:ascii="Calibri" w:eastAsia="Times New Roman" w:hAnsi="Calibri" w:cs="Times New Roman"/>
          <w:lang w:eastAsia="pl-PL"/>
        </w:rPr>
        <w:br/>
        <w:t>i możliwości. Obejmują również działalność prewencyjną w tym zakresie, polegającą na podejmowaniu działań zmierzających do życiowego usamodzielnienia osób i rodzin oraz ich integracji ze środowiskiem.</w:t>
      </w:r>
    </w:p>
    <w:p w:rsidR="003005F7" w:rsidRPr="003005F7" w:rsidRDefault="003005F7" w:rsidP="00B46559">
      <w:pPr>
        <w:jc w:val="both"/>
        <w:rPr>
          <w:rFonts w:ascii="Calibri" w:eastAsia="Times New Roman" w:hAnsi="Calibri" w:cs="Times New Roman"/>
          <w:lang w:eastAsia="pl-PL"/>
        </w:rPr>
      </w:pPr>
      <w:r w:rsidRPr="003005F7">
        <w:rPr>
          <w:rFonts w:ascii="Calibri" w:eastAsia="Times New Roman" w:hAnsi="Calibri" w:cs="Times New Roman"/>
          <w:lang w:eastAsia="pl-PL"/>
        </w:rPr>
        <w:t>Art.15. Pomoc społeczna polega w szczególności na:</w:t>
      </w:r>
    </w:p>
    <w:p w:rsidR="003005F7" w:rsidRPr="003005F7" w:rsidRDefault="003005F7" w:rsidP="003005F7">
      <w:pPr>
        <w:tabs>
          <w:tab w:val="num" w:pos="720"/>
        </w:tabs>
        <w:jc w:val="both"/>
        <w:rPr>
          <w:rFonts w:ascii="Calibri" w:eastAsia="Times New Roman" w:hAnsi="Calibri" w:cs="Times New Roman"/>
          <w:lang w:eastAsia="pl-PL"/>
        </w:rPr>
      </w:pPr>
      <w:r w:rsidRPr="003005F7">
        <w:rPr>
          <w:rFonts w:ascii="Calibri" w:eastAsia="Times New Roman" w:hAnsi="Calibri" w:cs="Times New Roman"/>
          <w:lang w:eastAsia="pl-PL"/>
        </w:rPr>
        <w:t xml:space="preserve">- przyznawaniu i wypłacaniu przewidzianych ustawą świadczeń; </w:t>
      </w:r>
    </w:p>
    <w:p w:rsidR="003005F7" w:rsidRPr="003005F7" w:rsidRDefault="003005F7" w:rsidP="003005F7">
      <w:pPr>
        <w:tabs>
          <w:tab w:val="num" w:pos="720"/>
        </w:tabs>
        <w:jc w:val="both"/>
        <w:rPr>
          <w:rFonts w:ascii="Calibri" w:eastAsia="Times New Roman" w:hAnsi="Calibri" w:cs="Times New Roman"/>
          <w:lang w:eastAsia="pl-PL"/>
        </w:rPr>
      </w:pPr>
      <w:r w:rsidRPr="003005F7">
        <w:rPr>
          <w:rFonts w:ascii="Calibri" w:eastAsia="Times New Roman" w:hAnsi="Calibri" w:cs="Times New Roman"/>
          <w:lang w:eastAsia="pl-PL"/>
        </w:rPr>
        <w:t xml:space="preserve">- pracy socjalnej; </w:t>
      </w:r>
    </w:p>
    <w:p w:rsidR="003005F7" w:rsidRPr="003005F7" w:rsidRDefault="003005F7" w:rsidP="003005F7">
      <w:pPr>
        <w:tabs>
          <w:tab w:val="num" w:pos="720"/>
        </w:tabs>
        <w:jc w:val="both"/>
        <w:rPr>
          <w:rFonts w:ascii="Calibri" w:eastAsia="Times New Roman" w:hAnsi="Calibri" w:cs="Times New Roman"/>
          <w:lang w:eastAsia="pl-PL"/>
        </w:rPr>
      </w:pPr>
      <w:r w:rsidRPr="003005F7">
        <w:rPr>
          <w:rFonts w:ascii="Calibri" w:eastAsia="Times New Roman" w:hAnsi="Calibri" w:cs="Times New Roman"/>
          <w:lang w:eastAsia="pl-PL"/>
        </w:rPr>
        <w:t xml:space="preserve">- prowadzeniu i rozwoju niezbędnej infrastruktury socjalnej; </w:t>
      </w:r>
    </w:p>
    <w:p w:rsidR="003005F7" w:rsidRPr="003005F7" w:rsidRDefault="003005F7" w:rsidP="003005F7">
      <w:pPr>
        <w:tabs>
          <w:tab w:val="num" w:pos="720"/>
        </w:tabs>
        <w:jc w:val="both"/>
        <w:rPr>
          <w:rFonts w:ascii="Calibri" w:eastAsia="Times New Roman" w:hAnsi="Calibri" w:cs="Times New Roman"/>
          <w:lang w:eastAsia="pl-PL"/>
        </w:rPr>
      </w:pPr>
      <w:r w:rsidRPr="003005F7">
        <w:rPr>
          <w:rFonts w:ascii="Calibri" w:eastAsia="Times New Roman" w:hAnsi="Calibri" w:cs="Times New Roman"/>
          <w:lang w:eastAsia="pl-PL"/>
        </w:rPr>
        <w:t xml:space="preserve">- analizie i ocenie zjawisk rodzących zapotrzebowanie na świadczenia z pomocy społecznej; </w:t>
      </w:r>
    </w:p>
    <w:p w:rsidR="003005F7" w:rsidRPr="003005F7" w:rsidRDefault="003005F7" w:rsidP="003005F7">
      <w:pPr>
        <w:tabs>
          <w:tab w:val="num" w:pos="720"/>
        </w:tabs>
        <w:jc w:val="both"/>
        <w:rPr>
          <w:rFonts w:ascii="Calibri" w:eastAsia="Times New Roman" w:hAnsi="Calibri" w:cs="Times New Roman"/>
          <w:lang w:eastAsia="pl-PL"/>
        </w:rPr>
      </w:pPr>
      <w:r w:rsidRPr="003005F7">
        <w:rPr>
          <w:rFonts w:ascii="Calibri" w:eastAsia="Times New Roman" w:hAnsi="Calibri" w:cs="Times New Roman"/>
          <w:lang w:eastAsia="pl-PL"/>
        </w:rPr>
        <w:t xml:space="preserve">- realizacji zadań wynikających z rozeznanych potrzeb społecznych; </w:t>
      </w:r>
    </w:p>
    <w:p w:rsidR="003005F7" w:rsidRPr="003005F7" w:rsidRDefault="003005F7" w:rsidP="003005F7">
      <w:pPr>
        <w:tabs>
          <w:tab w:val="num" w:pos="720"/>
        </w:tabs>
        <w:jc w:val="both"/>
        <w:rPr>
          <w:rFonts w:ascii="Calibri" w:eastAsia="Times New Roman" w:hAnsi="Calibri" w:cs="Times New Roman"/>
          <w:lang w:eastAsia="pl-PL"/>
        </w:rPr>
      </w:pPr>
      <w:r w:rsidRPr="003005F7">
        <w:rPr>
          <w:rFonts w:ascii="Calibri" w:eastAsia="Times New Roman" w:hAnsi="Calibri" w:cs="Times New Roman"/>
          <w:lang w:eastAsia="pl-PL"/>
        </w:rPr>
        <w:t xml:space="preserve">- rozwijaniu nowych form pomocy społecznej i samopomocy w ramach zidentyfikowanych potrzeb. </w:t>
      </w:r>
    </w:p>
    <w:p w:rsidR="003005F7" w:rsidRPr="003005F7" w:rsidRDefault="003005F7" w:rsidP="00B46559">
      <w:pPr>
        <w:jc w:val="both"/>
        <w:rPr>
          <w:rFonts w:ascii="Calibri" w:eastAsia="Times New Roman" w:hAnsi="Calibri" w:cs="Times New Roman"/>
          <w:lang w:eastAsia="pl-PL"/>
        </w:rPr>
      </w:pPr>
      <w:r w:rsidRPr="003005F7">
        <w:rPr>
          <w:rFonts w:ascii="Calibri" w:eastAsia="Times New Roman" w:hAnsi="Calibri" w:cs="Times New Roman"/>
          <w:lang w:eastAsia="pl-PL"/>
        </w:rPr>
        <w:t xml:space="preserve">Do zadań gminy w tym zakresie należą wszystkie sprawy z zakresu bieżącej pomocy, </w:t>
      </w:r>
      <w:r w:rsidRPr="003005F7">
        <w:rPr>
          <w:rFonts w:ascii="Calibri" w:eastAsia="Times New Roman" w:hAnsi="Calibri" w:cs="Times New Roman"/>
          <w:lang w:eastAsia="pl-PL"/>
        </w:rPr>
        <w:br/>
        <w:t xml:space="preserve">tzn. wypłata zasiłków, praca socjalna, placówki i usługi opiekuńcze oraz zadania wynikające </w:t>
      </w:r>
      <w:r w:rsidRPr="003005F7">
        <w:rPr>
          <w:rFonts w:ascii="Calibri" w:eastAsia="Times New Roman" w:hAnsi="Calibri" w:cs="Times New Roman"/>
          <w:lang w:eastAsia="pl-PL"/>
        </w:rPr>
        <w:br/>
        <w:t xml:space="preserve">z rządowych programów pomocy społecznej mających na celu ochronę poziomu życia osób, rodzin </w:t>
      </w:r>
      <w:r w:rsidRPr="003005F7">
        <w:rPr>
          <w:rFonts w:ascii="Calibri" w:eastAsia="Times New Roman" w:hAnsi="Calibri" w:cs="Times New Roman"/>
          <w:lang w:eastAsia="pl-PL"/>
        </w:rPr>
        <w:br/>
        <w:t>i grup społecznych oraz rozwój specjalistycznego wsparcia itp.</w:t>
      </w:r>
    </w:p>
    <w:p w:rsidR="003005F7" w:rsidRPr="003005F7" w:rsidRDefault="003005F7" w:rsidP="00B46559">
      <w:pPr>
        <w:jc w:val="both"/>
        <w:rPr>
          <w:rFonts w:ascii="Calibri" w:eastAsia="Times New Roman" w:hAnsi="Calibri" w:cs="Times New Roman"/>
          <w:lang w:eastAsia="pl-PL"/>
        </w:rPr>
      </w:pPr>
      <w:r w:rsidRPr="003005F7">
        <w:rPr>
          <w:rFonts w:ascii="Calibri" w:eastAsia="Times New Roman" w:hAnsi="Calibri" w:cs="Times New Roman"/>
          <w:lang w:eastAsia="pl-PL"/>
        </w:rPr>
        <w:t xml:space="preserve">Powiat przygotowuje tzw. Powiatową Strategię Rozwiązywania Problemów Społecznych, gdzie powinno znaleźć się miejsce dla tego typu problemów zidentyfikowanych na terenach poddanych procesom rewitalizacji. Ponadto zdania powiatu (własne oraz zlecone rządowe) obejmują na ogół zadania dotyczące młodzieży i dzieci (opieka, wychowanie, szkolnictwo, pomoc finansowa </w:t>
      </w:r>
      <w:r w:rsidRPr="003005F7">
        <w:rPr>
          <w:rFonts w:ascii="Calibri" w:eastAsia="Times New Roman" w:hAnsi="Calibri" w:cs="Times New Roman"/>
          <w:lang w:eastAsia="pl-PL"/>
        </w:rPr>
        <w:br/>
        <w:t>i mieszkaniowa itp.).Zadania samorządu wojewódzkiego ograniczają się do zagadnień strategicznych, w tym m.in.: rozpoznawanie przyczyn ubóstwa oraz opracowywanie regionalnych programów pomocy społecznej wspierających samorządy lokalne w działaniach na rzecz ograniczania tego zjawiska.</w:t>
      </w:r>
    </w:p>
    <w:p w:rsidR="003005F7" w:rsidRPr="003005F7" w:rsidRDefault="003005F7" w:rsidP="00B46559">
      <w:pPr>
        <w:jc w:val="both"/>
        <w:rPr>
          <w:rFonts w:ascii="Calibri" w:eastAsia="Times New Roman" w:hAnsi="Calibri" w:cs="Times New Roman"/>
          <w:lang w:eastAsia="pl-PL"/>
        </w:rPr>
      </w:pPr>
      <w:r w:rsidRPr="003005F7">
        <w:rPr>
          <w:rFonts w:ascii="Calibri" w:eastAsia="Times New Roman" w:hAnsi="Calibri" w:cs="Times New Roman"/>
          <w:lang w:eastAsia="pl-PL"/>
        </w:rPr>
        <w:t>Znacznie szersze zastosowanie w Programach Rewitalizacji znajdą instrumenty społeczne oraz również po części gospodarcze, stworzone przez wzmiankowaną ustawę o promocji zatrudnienia i instytucjach rynku pracy. W przeciwieństwie do poprzedniej, która na ogół łagodzi tylko skutki sytuacji życiowej jednostek, zwraca się tutaj uwagę na aktywne kształtowanie postaw prospołecznych. Ustawowe cele tej regulacji określone są następująco:</w:t>
      </w:r>
    </w:p>
    <w:p w:rsidR="003005F7" w:rsidRPr="003005F7" w:rsidRDefault="003005F7" w:rsidP="003005F7">
      <w:pPr>
        <w:tabs>
          <w:tab w:val="num" w:pos="720"/>
        </w:tabs>
        <w:jc w:val="both"/>
        <w:rPr>
          <w:rFonts w:ascii="Calibri" w:eastAsia="Times New Roman" w:hAnsi="Calibri" w:cs="Times New Roman"/>
          <w:lang w:eastAsia="pl-PL"/>
        </w:rPr>
      </w:pPr>
      <w:r w:rsidRPr="003005F7">
        <w:rPr>
          <w:rFonts w:ascii="Calibri" w:eastAsia="Times New Roman" w:hAnsi="Calibri" w:cs="Times New Roman"/>
          <w:lang w:eastAsia="pl-PL"/>
        </w:rPr>
        <w:t xml:space="preserve">- promocja zatrudnienia, </w:t>
      </w:r>
    </w:p>
    <w:p w:rsidR="003005F7" w:rsidRPr="003005F7" w:rsidRDefault="003005F7" w:rsidP="003005F7">
      <w:pPr>
        <w:tabs>
          <w:tab w:val="num" w:pos="720"/>
        </w:tabs>
        <w:jc w:val="both"/>
        <w:rPr>
          <w:rFonts w:ascii="Calibri" w:eastAsia="Times New Roman" w:hAnsi="Calibri" w:cs="Times New Roman"/>
          <w:lang w:eastAsia="pl-PL"/>
        </w:rPr>
      </w:pPr>
      <w:r w:rsidRPr="003005F7">
        <w:rPr>
          <w:rFonts w:ascii="Calibri" w:eastAsia="Times New Roman" w:hAnsi="Calibri" w:cs="Times New Roman"/>
          <w:lang w:eastAsia="pl-PL"/>
        </w:rPr>
        <w:lastRenderedPageBreak/>
        <w:t xml:space="preserve">- łagodzenie skutków bezrobocia, oraz aktywizacja zawodowa. </w:t>
      </w:r>
    </w:p>
    <w:p w:rsidR="003005F7" w:rsidRPr="003005F7" w:rsidRDefault="003005F7" w:rsidP="00B46559">
      <w:pPr>
        <w:jc w:val="both"/>
        <w:rPr>
          <w:rFonts w:ascii="Calibri" w:eastAsia="Times New Roman" w:hAnsi="Calibri" w:cs="Times New Roman"/>
          <w:lang w:eastAsia="pl-PL"/>
        </w:rPr>
      </w:pPr>
      <w:r w:rsidRPr="003005F7">
        <w:rPr>
          <w:rFonts w:ascii="Calibri" w:eastAsia="Times New Roman" w:hAnsi="Calibri" w:cs="Times New Roman"/>
          <w:lang w:eastAsia="pl-PL"/>
        </w:rPr>
        <w:t>Zadania państwa w tym zakresie realizowane są przez instytucje rynku pracy działające w celu (art. 1 ust. 2):</w:t>
      </w:r>
    </w:p>
    <w:p w:rsidR="003005F7" w:rsidRPr="003005F7" w:rsidRDefault="003005F7" w:rsidP="003005F7">
      <w:pPr>
        <w:tabs>
          <w:tab w:val="num" w:pos="720"/>
        </w:tabs>
        <w:jc w:val="both"/>
        <w:rPr>
          <w:rFonts w:ascii="Calibri" w:eastAsia="Times New Roman" w:hAnsi="Calibri" w:cs="Times New Roman"/>
          <w:lang w:eastAsia="pl-PL"/>
        </w:rPr>
      </w:pPr>
      <w:r w:rsidRPr="003005F7">
        <w:rPr>
          <w:rFonts w:ascii="Calibri" w:eastAsia="Times New Roman" w:hAnsi="Calibri" w:cs="Times New Roman"/>
          <w:lang w:eastAsia="pl-PL"/>
        </w:rPr>
        <w:t xml:space="preserve">- pełnego i produktywnego zatrudnienia; </w:t>
      </w:r>
    </w:p>
    <w:p w:rsidR="003005F7" w:rsidRPr="003005F7" w:rsidRDefault="003005F7" w:rsidP="003005F7">
      <w:pPr>
        <w:tabs>
          <w:tab w:val="num" w:pos="720"/>
        </w:tabs>
        <w:jc w:val="both"/>
        <w:rPr>
          <w:rFonts w:ascii="Calibri" w:eastAsia="Times New Roman" w:hAnsi="Calibri" w:cs="Times New Roman"/>
          <w:lang w:eastAsia="pl-PL"/>
        </w:rPr>
      </w:pPr>
      <w:r w:rsidRPr="003005F7">
        <w:rPr>
          <w:rFonts w:ascii="Calibri" w:eastAsia="Times New Roman" w:hAnsi="Calibri" w:cs="Times New Roman"/>
          <w:lang w:eastAsia="pl-PL"/>
        </w:rPr>
        <w:t xml:space="preserve">- rozwoju zasobów ludzkich; </w:t>
      </w:r>
    </w:p>
    <w:p w:rsidR="003005F7" w:rsidRPr="003005F7" w:rsidRDefault="003005F7" w:rsidP="003005F7">
      <w:pPr>
        <w:tabs>
          <w:tab w:val="num" w:pos="720"/>
        </w:tabs>
        <w:jc w:val="both"/>
        <w:rPr>
          <w:rFonts w:ascii="Calibri" w:eastAsia="Times New Roman" w:hAnsi="Calibri" w:cs="Times New Roman"/>
          <w:lang w:eastAsia="pl-PL"/>
        </w:rPr>
      </w:pPr>
      <w:r w:rsidRPr="003005F7">
        <w:rPr>
          <w:rFonts w:ascii="Calibri" w:eastAsia="Times New Roman" w:hAnsi="Calibri" w:cs="Times New Roman"/>
          <w:lang w:eastAsia="pl-PL"/>
        </w:rPr>
        <w:t xml:space="preserve">- osiągnięcia wysokiej jakości pracy; </w:t>
      </w:r>
    </w:p>
    <w:p w:rsidR="003005F7" w:rsidRPr="003005F7" w:rsidRDefault="003005F7" w:rsidP="003005F7">
      <w:pPr>
        <w:tabs>
          <w:tab w:val="num" w:pos="720"/>
        </w:tabs>
        <w:jc w:val="both"/>
        <w:rPr>
          <w:rFonts w:ascii="Calibri" w:eastAsia="Times New Roman" w:hAnsi="Calibri" w:cs="Times New Roman"/>
          <w:lang w:eastAsia="pl-PL"/>
        </w:rPr>
      </w:pPr>
      <w:r w:rsidRPr="003005F7">
        <w:rPr>
          <w:rFonts w:ascii="Calibri" w:eastAsia="Times New Roman" w:hAnsi="Calibri" w:cs="Times New Roman"/>
          <w:lang w:eastAsia="pl-PL"/>
        </w:rPr>
        <w:t>- wzmacniania integracji oraz solidarności społecznej,</w:t>
      </w:r>
    </w:p>
    <w:p w:rsidR="003005F7" w:rsidRPr="003005F7" w:rsidRDefault="003005F7" w:rsidP="003005F7">
      <w:pPr>
        <w:tabs>
          <w:tab w:val="num" w:pos="720"/>
        </w:tabs>
        <w:jc w:val="both"/>
        <w:rPr>
          <w:rFonts w:ascii="Calibri" w:eastAsia="Times New Roman" w:hAnsi="Calibri" w:cs="Times New Roman"/>
          <w:lang w:eastAsia="pl-PL"/>
        </w:rPr>
      </w:pPr>
      <w:r w:rsidRPr="003005F7">
        <w:rPr>
          <w:rFonts w:ascii="Calibri" w:eastAsia="Times New Roman" w:hAnsi="Calibri" w:cs="Times New Roman"/>
          <w:lang w:eastAsia="pl-PL"/>
        </w:rPr>
        <w:t xml:space="preserve">- zwiększanie mobilności na rynku pracy. </w:t>
      </w:r>
    </w:p>
    <w:p w:rsidR="003005F7" w:rsidRPr="003005F7" w:rsidRDefault="003005F7" w:rsidP="00B46559">
      <w:pPr>
        <w:jc w:val="both"/>
        <w:rPr>
          <w:rFonts w:ascii="Calibri" w:eastAsia="Times New Roman" w:hAnsi="Calibri" w:cs="Times New Roman"/>
          <w:lang w:eastAsia="pl-PL"/>
        </w:rPr>
      </w:pPr>
      <w:r w:rsidRPr="003005F7">
        <w:rPr>
          <w:rFonts w:ascii="Calibri" w:eastAsia="Times New Roman" w:hAnsi="Calibri" w:cs="Times New Roman"/>
          <w:lang w:eastAsia="pl-PL"/>
        </w:rPr>
        <w:t xml:space="preserve">Natomiast instytucjami rynku pracy są (art. 6 ust. 1): </w:t>
      </w:r>
    </w:p>
    <w:p w:rsidR="003005F7" w:rsidRPr="003005F7" w:rsidRDefault="003005F7" w:rsidP="003005F7">
      <w:pPr>
        <w:tabs>
          <w:tab w:val="num" w:pos="720"/>
        </w:tabs>
        <w:jc w:val="both"/>
        <w:rPr>
          <w:rFonts w:ascii="Calibri" w:eastAsia="Times New Roman" w:hAnsi="Calibri" w:cs="Times New Roman"/>
          <w:lang w:eastAsia="pl-PL"/>
        </w:rPr>
      </w:pPr>
      <w:r w:rsidRPr="003005F7">
        <w:rPr>
          <w:rFonts w:ascii="Calibri" w:eastAsia="Times New Roman" w:hAnsi="Calibri" w:cs="Times New Roman"/>
          <w:lang w:eastAsia="pl-PL"/>
        </w:rPr>
        <w:t xml:space="preserve">- publiczne służby zatrudnienia (tylko na szczeblu powiatu i województwa), </w:t>
      </w:r>
    </w:p>
    <w:p w:rsidR="003005F7" w:rsidRPr="003005F7" w:rsidRDefault="003005F7" w:rsidP="003005F7">
      <w:pPr>
        <w:tabs>
          <w:tab w:val="num" w:pos="720"/>
        </w:tabs>
        <w:jc w:val="both"/>
        <w:rPr>
          <w:rFonts w:ascii="Calibri" w:eastAsia="Times New Roman" w:hAnsi="Calibri" w:cs="Times New Roman"/>
          <w:lang w:eastAsia="pl-PL"/>
        </w:rPr>
      </w:pPr>
      <w:r w:rsidRPr="003005F7">
        <w:rPr>
          <w:rFonts w:ascii="Calibri" w:eastAsia="Times New Roman" w:hAnsi="Calibri" w:cs="Times New Roman"/>
          <w:lang w:eastAsia="pl-PL"/>
        </w:rPr>
        <w:t xml:space="preserve">- ochotnicze hufce pracy (jednostki państwowe), </w:t>
      </w:r>
    </w:p>
    <w:p w:rsidR="003005F7" w:rsidRPr="003005F7" w:rsidRDefault="003005F7" w:rsidP="003005F7">
      <w:pPr>
        <w:jc w:val="both"/>
        <w:rPr>
          <w:rFonts w:ascii="Calibri" w:eastAsia="Times New Roman" w:hAnsi="Calibri" w:cs="Times New Roman"/>
          <w:lang w:eastAsia="pl-PL"/>
        </w:rPr>
      </w:pPr>
      <w:r w:rsidRPr="003005F7">
        <w:rPr>
          <w:rFonts w:ascii="Calibri" w:eastAsia="Times New Roman" w:hAnsi="Calibri" w:cs="Times New Roman"/>
          <w:lang w:eastAsia="pl-PL"/>
        </w:rPr>
        <w:t xml:space="preserve">- agencje zatrudnienia (niepubliczne jednostki organizacyjne świadczące usługi w zakresie pośrednictwa pracy, poradnictwa, doradztwa personalnego), </w:t>
      </w:r>
    </w:p>
    <w:p w:rsidR="003005F7" w:rsidRPr="003005F7" w:rsidRDefault="003005F7" w:rsidP="003005F7">
      <w:pPr>
        <w:tabs>
          <w:tab w:val="num" w:pos="720"/>
        </w:tabs>
        <w:jc w:val="both"/>
        <w:rPr>
          <w:rFonts w:ascii="Calibri" w:eastAsia="Times New Roman" w:hAnsi="Calibri" w:cs="Times New Roman"/>
          <w:lang w:eastAsia="pl-PL"/>
        </w:rPr>
      </w:pPr>
      <w:r w:rsidRPr="003005F7">
        <w:rPr>
          <w:rFonts w:ascii="Calibri" w:eastAsia="Times New Roman" w:hAnsi="Calibri" w:cs="Times New Roman"/>
          <w:lang w:eastAsia="pl-PL"/>
        </w:rPr>
        <w:t xml:space="preserve">- instytucje szkoleniowe (publiczne i niepubliczne podmioty prowadzące edukację pozaszkolną), </w:t>
      </w:r>
    </w:p>
    <w:p w:rsidR="003005F7" w:rsidRPr="003005F7" w:rsidRDefault="003005F7" w:rsidP="003005F7">
      <w:pPr>
        <w:tabs>
          <w:tab w:val="num" w:pos="720"/>
        </w:tabs>
        <w:jc w:val="both"/>
        <w:rPr>
          <w:rFonts w:ascii="Calibri" w:eastAsia="Times New Roman" w:hAnsi="Calibri" w:cs="Times New Roman"/>
          <w:lang w:eastAsia="pl-PL"/>
        </w:rPr>
      </w:pPr>
      <w:r w:rsidRPr="003005F7">
        <w:rPr>
          <w:rFonts w:ascii="Calibri" w:eastAsia="Times New Roman" w:hAnsi="Calibri" w:cs="Times New Roman"/>
          <w:lang w:eastAsia="pl-PL"/>
        </w:rPr>
        <w:t xml:space="preserve">- instytucje dialogu społecznego (związki zawodowe, organizacje pracodawców, organizacje bezrobotnych, organizacje pozarządowe), </w:t>
      </w:r>
    </w:p>
    <w:p w:rsidR="003005F7" w:rsidRPr="003005F7" w:rsidRDefault="003005F7" w:rsidP="003005F7">
      <w:pPr>
        <w:jc w:val="both"/>
        <w:rPr>
          <w:rFonts w:ascii="Calibri" w:eastAsia="Times New Roman" w:hAnsi="Calibri" w:cs="Times New Roman"/>
          <w:lang w:eastAsia="pl-PL"/>
        </w:rPr>
      </w:pPr>
      <w:r w:rsidRPr="003005F7">
        <w:rPr>
          <w:rFonts w:ascii="Calibri" w:eastAsia="Times New Roman" w:hAnsi="Calibri" w:cs="Times New Roman"/>
          <w:lang w:eastAsia="pl-PL"/>
        </w:rPr>
        <w:t xml:space="preserve">- instytucje partnerstwa lokalnego (instytucje realizujące na podstawie umowy przedsięwzięcia </w:t>
      </w:r>
      <w:r w:rsidRPr="003005F7">
        <w:rPr>
          <w:rFonts w:ascii="Calibri" w:eastAsia="Times New Roman" w:hAnsi="Calibri" w:cs="Times New Roman"/>
          <w:lang w:eastAsia="pl-PL"/>
        </w:rPr>
        <w:br/>
        <w:t xml:space="preserve">i projekty na rzecz rynku pracy). </w:t>
      </w:r>
    </w:p>
    <w:p w:rsidR="00B46559" w:rsidRDefault="003005F7" w:rsidP="00B46559">
      <w:pPr>
        <w:jc w:val="both"/>
        <w:rPr>
          <w:rFonts w:ascii="Calibri" w:eastAsia="Times New Roman" w:hAnsi="Calibri" w:cs="Times New Roman"/>
          <w:lang w:eastAsia="pl-PL"/>
        </w:rPr>
      </w:pPr>
      <w:r w:rsidRPr="003005F7">
        <w:rPr>
          <w:rFonts w:ascii="Calibri" w:eastAsia="Times New Roman" w:hAnsi="Calibri" w:cs="Times New Roman"/>
          <w:lang w:eastAsia="pl-PL"/>
        </w:rPr>
        <w:t>Zdecydowana część tych instrumentów znajduje się w rękach powiatowych władz samorządowych względnie wojewódzkich oraz rządowych. Zat</w:t>
      </w:r>
      <w:r w:rsidR="00B46559">
        <w:rPr>
          <w:rFonts w:ascii="Calibri" w:eastAsia="Times New Roman" w:hAnsi="Calibri" w:cs="Times New Roman"/>
          <w:lang w:eastAsia="pl-PL"/>
        </w:rPr>
        <w:t xml:space="preserve">em możliwość ich wykorzystania </w:t>
      </w:r>
      <w:r w:rsidRPr="003005F7">
        <w:rPr>
          <w:rFonts w:ascii="Calibri" w:eastAsia="Times New Roman" w:hAnsi="Calibri" w:cs="Times New Roman"/>
          <w:lang w:eastAsia="pl-PL"/>
        </w:rPr>
        <w:t xml:space="preserve">w Programach Rewitalizacji będzie wymagała stosownych porozumień pomiędzy j.s.t. oraz pozostałymi publicznymi </w:t>
      </w:r>
      <w:r w:rsidR="00B46559" w:rsidRPr="003005F7">
        <w:rPr>
          <w:rFonts w:ascii="Calibri" w:eastAsia="Times New Roman" w:hAnsi="Calibri" w:cs="Times New Roman"/>
          <w:lang w:eastAsia="pl-PL"/>
        </w:rPr>
        <w:t>i niepublicznymi podmiotami rynku pracy. Wszystkie te podmioty działają na obszarze całych miast lub powiatów i nie ma właściwie możliwości obejmowania szczególną interwencją wybranych dzielnic, np. tych wskazanych do rewitalizacji. Rekomenduje się przyjęcie regulacji, które umożliwiłyby na obszarach obejmowanych Programami Rewitalizacji realizację projektów wspierających aktywizację mieszkańców, szczególnie w zakresie rynku pracy.</w:t>
      </w:r>
      <w:r w:rsidR="00B46559" w:rsidRPr="003005F7">
        <w:rPr>
          <w:rFonts w:ascii="Calibri" w:eastAsia="Times New Roman" w:hAnsi="Calibri" w:cs="Times New Roman"/>
          <w:vertAlign w:val="superscript"/>
          <w:lang w:eastAsia="pl-PL"/>
        </w:rPr>
        <w:footnoteReference w:id="22"/>
      </w:r>
    </w:p>
    <w:p w:rsidR="003005F7" w:rsidRPr="00B46559" w:rsidRDefault="00B46559" w:rsidP="00B46559">
      <w:pPr>
        <w:rPr>
          <w:lang w:eastAsia="pl-PL"/>
        </w:rPr>
      </w:pPr>
      <w:r>
        <w:rPr>
          <w:lang w:eastAsia="pl-PL"/>
        </w:rPr>
        <w:br w:type="page"/>
      </w:r>
    </w:p>
    <w:p w:rsidR="003005F7" w:rsidRPr="003005F7" w:rsidRDefault="003005F7" w:rsidP="003005F7">
      <w:pPr>
        <w:ind w:firstLine="1134"/>
        <w:jc w:val="both"/>
        <w:rPr>
          <w:rFonts w:ascii="Calibri" w:eastAsia="Times New Roman" w:hAnsi="Calibri" w:cs="Times New Roman"/>
          <w:lang w:eastAsia="pl-PL"/>
        </w:rPr>
      </w:pPr>
    </w:p>
    <w:p w:rsidR="00EE0C8C" w:rsidRPr="005226AA" w:rsidRDefault="00EE0C8C" w:rsidP="008903A4">
      <w:pPr>
        <w:pStyle w:val="Nagwek2"/>
        <w:rPr>
          <w:sz w:val="56"/>
          <w:u w:val="single"/>
        </w:rPr>
      </w:pPr>
      <w:bookmarkStart w:id="18" w:name="_Toc449963529"/>
      <w:bookmarkStart w:id="19" w:name="_Toc432515197"/>
      <w:bookmarkStart w:id="20" w:name="_Toc439077749"/>
      <w:bookmarkStart w:id="21" w:name="_Toc450562471"/>
      <w:r w:rsidRPr="005226AA">
        <w:rPr>
          <w:sz w:val="56"/>
          <w:u w:val="single"/>
        </w:rPr>
        <w:t>ROZDZIAŁ II</w:t>
      </w:r>
      <w:bookmarkEnd w:id="18"/>
      <w:bookmarkEnd w:id="21"/>
    </w:p>
    <w:p w:rsidR="00EE0C8C" w:rsidRDefault="00EE0C8C" w:rsidP="008903A4">
      <w:pPr>
        <w:pStyle w:val="Nagwek2"/>
        <w:rPr>
          <w:lang w:eastAsia="pl-PL"/>
        </w:rPr>
      </w:pPr>
      <w:bookmarkStart w:id="22" w:name="_Toc449963530"/>
      <w:bookmarkStart w:id="23" w:name="_Toc450562472"/>
      <w:r w:rsidRPr="00EE0C8C">
        <w:rPr>
          <w:lang w:eastAsia="pl-PL"/>
        </w:rPr>
        <w:t>DIAGNOZA GMINY MIRZEC POTWIERDZAJĄCA SPEŁNIENIE PRZEZ OBSZAR ZDEGRADOWANY I OBSZAR REWITALIZACJI PRZESŁANKI ICH WYZNACZENIA.</w:t>
      </w:r>
      <w:bookmarkEnd w:id="22"/>
      <w:bookmarkEnd w:id="23"/>
    </w:p>
    <w:p w:rsidR="00A76BDB" w:rsidRPr="00A76BDB" w:rsidRDefault="00A76BDB" w:rsidP="00A76BDB">
      <w:pPr>
        <w:rPr>
          <w:lang w:eastAsia="pl-PL"/>
        </w:rPr>
      </w:pPr>
    </w:p>
    <w:p w:rsidR="00EE0C8C" w:rsidRPr="00EE0C8C" w:rsidRDefault="00EE0C8C" w:rsidP="00EE0C8C">
      <w:pPr>
        <w:rPr>
          <w:rFonts w:ascii="Calibri" w:eastAsia="Times New Roman" w:hAnsi="Calibri" w:cs="Times New Roman"/>
          <w:b/>
          <w:sz w:val="24"/>
          <w:szCs w:val="24"/>
          <w:u w:val="single"/>
          <w:lang w:eastAsia="pl-PL"/>
        </w:rPr>
      </w:pPr>
      <w:r w:rsidRPr="00EE0C8C">
        <w:rPr>
          <w:rFonts w:ascii="Calibri" w:eastAsia="Times New Roman" w:hAnsi="Calibri" w:cs="Times New Roman"/>
          <w:b/>
          <w:sz w:val="24"/>
          <w:szCs w:val="24"/>
          <w:u w:val="single"/>
          <w:lang w:eastAsia="pl-PL"/>
        </w:rPr>
        <w:t>Uzasadnienie:</w:t>
      </w:r>
    </w:p>
    <w:p w:rsidR="00EE0C8C" w:rsidRPr="00EE0C8C" w:rsidRDefault="00EE0C8C" w:rsidP="00EE0C8C">
      <w:pPr>
        <w:jc w:val="both"/>
        <w:rPr>
          <w:rFonts w:ascii="Calibri" w:eastAsia="Times New Roman" w:hAnsi="Calibri" w:cs="Times New Roman"/>
          <w:lang w:eastAsia="pl-PL"/>
        </w:rPr>
      </w:pPr>
      <w:r w:rsidRPr="00EE0C8C">
        <w:rPr>
          <w:rFonts w:ascii="Calibri" w:eastAsia="Times New Roman" w:hAnsi="Calibri" w:cs="Times New Roman"/>
          <w:lang w:eastAsia="pl-PL"/>
        </w:rPr>
        <w:t>W związku z wejściem w życie ustawy z dnia 9 października 2015 r. o rewitalizacji, która określa zasady oraz tryb przygotowania, prowadzenia i oceny rewitalizacji, przygotowanie, koordynowanie      i tworzenie warunków do prowadzenia rewitalizacji, a także jej prowadzenie w zakresie właściwości gminy, zostało uznane za zadanie własne. W przypadku, gdy gmina zamierza realizować ww. zadania własne, niezbędne jest wyznaczenie w drodze uchwały Rady Gminy w Mircu obszaru zdegradowanego i obszaru rewitalizacji.</w:t>
      </w:r>
    </w:p>
    <w:p w:rsidR="00EE0C8C" w:rsidRPr="00EE0C8C" w:rsidRDefault="00EE0C8C" w:rsidP="00EE0C8C">
      <w:pPr>
        <w:jc w:val="both"/>
        <w:rPr>
          <w:rFonts w:ascii="Calibri" w:eastAsia="Times New Roman" w:hAnsi="Calibri" w:cs="Times New Roman"/>
          <w:lang w:eastAsia="pl-PL"/>
        </w:rPr>
      </w:pPr>
      <w:r w:rsidRPr="00EE0C8C">
        <w:rPr>
          <w:rFonts w:ascii="Calibri" w:eastAsia="Times New Roman" w:hAnsi="Calibri" w:cs="Times New Roman"/>
          <w:lang w:eastAsia="pl-PL"/>
        </w:rPr>
        <w:t xml:space="preserve">Zgodnie z art. 4 ust 1 pkt. 1 oraz art. 11 ust 1 oraz ust 2 ustawy z dnia 9 października 2015r.  </w:t>
      </w:r>
      <w:r w:rsidRPr="00EE0C8C">
        <w:rPr>
          <w:rFonts w:ascii="Calibri" w:eastAsia="Times New Roman" w:hAnsi="Calibri" w:cs="Times New Roman"/>
          <w:lang w:eastAsia="pl-PL"/>
        </w:rPr>
        <w:br/>
        <w:t>o rewitalizacji przed wyznaczeniem obszaru zdegradowanego i obszaru rewitalizacji sporządza się diagnozę , która jest rozpoznaniem stanu rzeczy i tendencji rozwojowych danej gminy.</w:t>
      </w:r>
    </w:p>
    <w:p w:rsidR="00EE0C8C" w:rsidRPr="00EE0C8C" w:rsidRDefault="00EE0C8C" w:rsidP="00EE0C8C">
      <w:pPr>
        <w:jc w:val="both"/>
        <w:rPr>
          <w:rFonts w:ascii="Calibri" w:eastAsia="Times New Roman" w:hAnsi="Calibri" w:cs="Times New Roman"/>
          <w:lang w:eastAsia="pl-PL"/>
        </w:rPr>
      </w:pPr>
      <w:r w:rsidRPr="00EE0C8C">
        <w:rPr>
          <w:rFonts w:ascii="Calibri" w:eastAsia="Times New Roman" w:hAnsi="Calibri" w:cs="Times New Roman"/>
          <w:lang w:eastAsia="pl-PL"/>
        </w:rPr>
        <w:t xml:space="preserve">W świetle art. 9 ust.1 ustawy o rewitalizacji za obszar zdegradowany można uznać Gminę Mirzec         z powodu koncentracji negatywnych zjawisk społecznych, a także występowania na nim ponadto, co najmniej jednego z następujących negatywnych zjawisk: gospodarczych, środowiskowych, przestrzenno-funkcjonalnych, bądź technicznych. </w:t>
      </w:r>
    </w:p>
    <w:p w:rsidR="00EE0C8C" w:rsidRPr="00EE0C8C" w:rsidRDefault="00EE0C8C" w:rsidP="009635CF">
      <w:pPr>
        <w:spacing w:after="0"/>
        <w:jc w:val="both"/>
        <w:rPr>
          <w:rFonts w:ascii="Calibri" w:eastAsia="Times New Roman" w:hAnsi="Calibri" w:cs="Times New Roman"/>
          <w:lang w:eastAsia="pl-PL"/>
        </w:rPr>
      </w:pPr>
      <w:r w:rsidRPr="00EE0C8C">
        <w:rPr>
          <w:rFonts w:ascii="Calibri" w:eastAsia="Times New Roman" w:hAnsi="Calibri" w:cs="Times New Roman"/>
          <w:lang w:eastAsia="pl-PL"/>
        </w:rPr>
        <w:t xml:space="preserve">Ponadto w świetle art. 10 ust. 1 ustawy o rewitalizacji, ze względu na istotne znaczenie dla rozwoju lokalnego oraz planowane przez gminę prowadzenie kompleksowych działań rewitalizacyjnych wyznaczono w drodze konsultacji społecznych obszar rewitalizacji cechujący się szczególną koncentracją negatywnych zjawisk, obejmujących sołectwo Mirzec I i Mirzec II. </w:t>
      </w:r>
    </w:p>
    <w:p w:rsidR="009635CF" w:rsidRDefault="009635CF" w:rsidP="009635CF">
      <w:pPr>
        <w:spacing w:after="0"/>
        <w:jc w:val="both"/>
        <w:rPr>
          <w:rFonts w:ascii="Calibri" w:eastAsia="Times New Roman" w:hAnsi="Calibri" w:cs="Times New Roman"/>
          <w:lang w:eastAsia="pl-PL"/>
        </w:rPr>
      </w:pPr>
    </w:p>
    <w:p w:rsidR="00EE0C8C" w:rsidRPr="00EE0C8C" w:rsidRDefault="00EE0C8C" w:rsidP="009635CF">
      <w:pPr>
        <w:spacing w:after="0"/>
        <w:jc w:val="both"/>
        <w:rPr>
          <w:rFonts w:ascii="Calibri" w:eastAsia="Times New Roman" w:hAnsi="Calibri" w:cs="Times New Roman"/>
          <w:lang w:eastAsia="pl-PL"/>
        </w:rPr>
      </w:pPr>
      <w:r w:rsidRPr="00EE0C8C">
        <w:rPr>
          <w:rFonts w:ascii="Calibri" w:eastAsia="Times New Roman" w:hAnsi="Calibri" w:cs="Times New Roman"/>
          <w:lang w:eastAsia="pl-PL"/>
        </w:rPr>
        <w:t xml:space="preserve">Według Planu Zagospodarowania Przestrzennego Województwa  Świętokrzyskiego ( Uchwałą Nr XLVII/833/14 Sejmiku województwa Świętokrzyskiego z dnia 22 września 2014r.) gminę Mirzec zaliczono do obszarów o najgorszym dostępie do usług. Ponadto gmina Mirzec zlokalizowana jest </w:t>
      </w:r>
      <w:r w:rsidRPr="00EE0C8C">
        <w:rPr>
          <w:rFonts w:ascii="Calibri" w:eastAsia="Times New Roman" w:hAnsi="Calibri" w:cs="Times New Roman"/>
          <w:lang w:eastAsia="pl-PL"/>
        </w:rPr>
        <w:br/>
        <w:t>w północnej części województwa świętokrzyskiego przy zwartym obszarze miast byłego Centralnego Okręgu Przemysłowego  tj. Starachowic, Skarżyska i Ostrowca. Tereny te charakteryzuje recesja przestarzałej bazy przemysłowej wymagającej wielokierunkowej aktywizacji społeczno- gospodarczej. Gmina Mirzec znajduje się w obrębie w/w  miast tracących dynamikę zrównoważonego rozwoju. Gmina Mirzec zaliczona do OSI posiada szereg problemów do których można zaliczyć:</w:t>
      </w:r>
    </w:p>
    <w:p w:rsidR="00EE0C8C" w:rsidRPr="00EE0C8C" w:rsidRDefault="00EE0C8C" w:rsidP="00EE0C8C">
      <w:pPr>
        <w:spacing w:after="0"/>
        <w:ind w:left="708"/>
        <w:jc w:val="both"/>
        <w:rPr>
          <w:rFonts w:ascii="Calibri" w:eastAsia="Times New Roman" w:hAnsi="Calibri" w:cs="Times New Roman"/>
          <w:lang w:eastAsia="pl-PL"/>
        </w:rPr>
      </w:pPr>
      <w:r w:rsidRPr="00EE0C8C">
        <w:rPr>
          <w:rFonts w:ascii="Calibri" w:eastAsia="Times New Roman" w:hAnsi="Calibri" w:cs="Times New Roman"/>
          <w:lang w:eastAsia="pl-PL"/>
        </w:rPr>
        <w:t>- niedostateczną ofertę rynku pracy,</w:t>
      </w:r>
    </w:p>
    <w:p w:rsidR="00EE0C8C" w:rsidRPr="00EE0C8C" w:rsidRDefault="00EE0C8C" w:rsidP="00EE0C8C">
      <w:pPr>
        <w:spacing w:after="0"/>
        <w:ind w:left="708"/>
        <w:jc w:val="both"/>
        <w:rPr>
          <w:rFonts w:ascii="Calibri" w:eastAsia="Times New Roman" w:hAnsi="Calibri" w:cs="Times New Roman"/>
          <w:lang w:eastAsia="pl-PL"/>
        </w:rPr>
      </w:pPr>
      <w:r w:rsidRPr="00EE0C8C">
        <w:rPr>
          <w:rFonts w:ascii="Calibri" w:eastAsia="Times New Roman" w:hAnsi="Calibri" w:cs="Times New Roman"/>
          <w:lang w:eastAsia="pl-PL"/>
        </w:rPr>
        <w:t>- małe znaczenie dla obsługi rolnictwa,</w:t>
      </w:r>
    </w:p>
    <w:p w:rsidR="00EE0C8C" w:rsidRPr="00EE0C8C" w:rsidRDefault="00EE0C8C" w:rsidP="00EE0C8C">
      <w:pPr>
        <w:spacing w:after="0"/>
        <w:ind w:left="708"/>
        <w:jc w:val="both"/>
        <w:rPr>
          <w:rFonts w:ascii="Calibri" w:eastAsia="Times New Roman" w:hAnsi="Calibri" w:cs="Times New Roman"/>
          <w:lang w:eastAsia="pl-PL"/>
        </w:rPr>
      </w:pPr>
      <w:r w:rsidRPr="00EE0C8C">
        <w:rPr>
          <w:rFonts w:ascii="Calibri" w:eastAsia="Times New Roman" w:hAnsi="Calibri" w:cs="Times New Roman"/>
          <w:lang w:eastAsia="pl-PL"/>
        </w:rPr>
        <w:t xml:space="preserve"> -niską przedsiębiorczość,</w:t>
      </w:r>
    </w:p>
    <w:p w:rsidR="00EE0C8C" w:rsidRPr="00EE0C8C" w:rsidRDefault="00EE0C8C" w:rsidP="00EE0C8C">
      <w:pPr>
        <w:spacing w:after="0"/>
        <w:ind w:left="708"/>
        <w:jc w:val="both"/>
        <w:rPr>
          <w:rFonts w:ascii="Calibri" w:eastAsia="Times New Roman" w:hAnsi="Calibri" w:cs="Times New Roman"/>
          <w:lang w:eastAsia="pl-PL"/>
        </w:rPr>
      </w:pPr>
      <w:r w:rsidRPr="00EE0C8C">
        <w:rPr>
          <w:rFonts w:ascii="Calibri" w:eastAsia="Times New Roman" w:hAnsi="Calibri" w:cs="Times New Roman"/>
          <w:lang w:eastAsia="pl-PL"/>
        </w:rPr>
        <w:t xml:space="preserve">-ubytek ludności i peryferyzacja obszarów , </w:t>
      </w:r>
    </w:p>
    <w:p w:rsidR="00EE0C8C" w:rsidRPr="00EE0C8C" w:rsidRDefault="00EE0C8C" w:rsidP="00EE0C8C">
      <w:pPr>
        <w:spacing w:after="0"/>
        <w:ind w:left="708"/>
        <w:jc w:val="both"/>
        <w:rPr>
          <w:rFonts w:ascii="Calibri" w:eastAsia="Times New Roman" w:hAnsi="Calibri" w:cs="Times New Roman"/>
          <w:lang w:eastAsia="pl-PL"/>
        </w:rPr>
      </w:pPr>
      <w:r w:rsidRPr="00EE0C8C">
        <w:rPr>
          <w:rFonts w:ascii="Calibri" w:eastAsia="Times New Roman" w:hAnsi="Calibri" w:cs="Times New Roman"/>
          <w:lang w:eastAsia="pl-PL"/>
        </w:rPr>
        <w:t>- słaby dostęp do usług publicznych.</w:t>
      </w:r>
    </w:p>
    <w:p w:rsidR="00EE0C8C" w:rsidRPr="00EE0C8C" w:rsidRDefault="00EE0C8C" w:rsidP="00EE0C8C">
      <w:pPr>
        <w:spacing w:after="0"/>
        <w:ind w:left="708"/>
        <w:jc w:val="both"/>
        <w:rPr>
          <w:rFonts w:ascii="Calibri" w:eastAsia="Times New Roman" w:hAnsi="Calibri" w:cs="Times New Roman"/>
          <w:lang w:eastAsia="pl-PL"/>
        </w:rPr>
      </w:pPr>
    </w:p>
    <w:p w:rsidR="00EE0C8C" w:rsidRPr="00EE0C8C" w:rsidRDefault="00EE0C8C" w:rsidP="00EE0C8C">
      <w:pPr>
        <w:spacing w:after="0"/>
        <w:ind w:left="142"/>
        <w:jc w:val="center"/>
        <w:rPr>
          <w:rFonts w:ascii="Calibri" w:eastAsia="Times New Roman" w:hAnsi="Calibri" w:cs="Times New Roman"/>
          <w:lang w:eastAsia="pl-PL"/>
        </w:rPr>
      </w:pPr>
      <w:r w:rsidRPr="00EE0C8C">
        <w:rPr>
          <w:rFonts w:ascii="Calibri" w:eastAsia="Times New Roman" w:hAnsi="Calibri" w:cs="Times New Roman"/>
          <w:noProof/>
          <w:lang w:eastAsia="pl-PL"/>
        </w:rPr>
        <w:drawing>
          <wp:anchor distT="0" distB="0" distL="114300" distR="114300" simplePos="0" relativeHeight="251659264" behindDoc="0" locked="0" layoutInCell="1" allowOverlap="1" wp14:anchorId="1C7E50DD" wp14:editId="34F0ECC7">
            <wp:simplePos x="1009015" y="723900"/>
            <wp:positionH relativeFrom="margin">
              <wp:align>center</wp:align>
            </wp:positionH>
            <wp:positionV relativeFrom="margin">
              <wp:align>center</wp:align>
            </wp:positionV>
            <wp:extent cx="6201410" cy="8141970"/>
            <wp:effectExtent l="0" t="0" r="0" b="0"/>
            <wp:wrapSquare wrapText="bothSides"/>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01410" cy="8141970"/>
                    </a:xfrm>
                    <a:prstGeom prst="rect">
                      <a:avLst/>
                    </a:prstGeom>
                    <a:noFill/>
                    <a:ln w="9525">
                      <a:noFill/>
                      <a:miter lim="800000"/>
                      <a:headEnd/>
                      <a:tailEnd/>
                    </a:ln>
                  </pic:spPr>
                </pic:pic>
              </a:graphicData>
            </a:graphic>
          </wp:anchor>
        </w:drawing>
      </w:r>
    </w:p>
    <w:p w:rsidR="009635CF" w:rsidRDefault="00EE0C8C" w:rsidP="009635CF">
      <w:pPr>
        <w:jc w:val="center"/>
        <w:rPr>
          <w:rFonts w:ascii="Calibri" w:eastAsia="Times New Roman" w:hAnsi="Calibri" w:cs="Times New Roman"/>
          <w:lang w:eastAsia="pl-PL"/>
        </w:rPr>
      </w:pPr>
      <w:r w:rsidRPr="00EE0C8C">
        <w:rPr>
          <w:rFonts w:ascii="Calibri" w:eastAsia="Times New Roman" w:hAnsi="Calibri" w:cs="Times New Roman"/>
          <w:lang w:eastAsia="pl-PL"/>
        </w:rPr>
        <w:lastRenderedPageBreak/>
        <w:t>(źródło: Plan zagospodarowania przestrzenneg</w:t>
      </w:r>
      <w:r w:rsidR="009635CF">
        <w:rPr>
          <w:rFonts w:ascii="Calibri" w:eastAsia="Times New Roman" w:hAnsi="Calibri" w:cs="Times New Roman"/>
          <w:lang w:eastAsia="pl-PL"/>
        </w:rPr>
        <w:t>o województwa świętokrzyskiego)</w:t>
      </w:r>
    </w:p>
    <w:p w:rsidR="00EE0C8C" w:rsidRPr="00EE0C8C" w:rsidRDefault="00EE0C8C" w:rsidP="00D31D10">
      <w:pPr>
        <w:jc w:val="both"/>
        <w:rPr>
          <w:rFonts w:ascii="Calibri" w:eastAsia="Times New Roman" w:hAnsi="Calibri" w:cs="Times New Roman"/>
          <w:lang w:eastAsia="pl-PL"/>
        </w:rPr>
      </w:pPr>
      <w:r w:rsidRPr="00EE0C8C">
        <w:rPr>
          <w:rFonts w:ascii="Calibri" w:eastAsia="Times New Roman" w:hAnsi="Calibri" w:cs="Times New Roman"/>
          <w:lang w:eastAsia="pl-PL"/>
        </w:rPr>
        <w:t>Mając powyższe na względzie</w:t>
      </w:r>
      <w:r w:rsidR="00F3057B">
        <w:rPr>
          <w:rFonts w:ascii="Calibri" w:eastAsia="Times New Roman" w:hAnsi="Calibri" w:cs="Times New Roman"/>
          <w:lang w:eastAsia="pl-PL"/>
        </w:rPr>
        <w:t>,</w:t>
      </w:r>
      <w:r w:rsidRPr="00EE0C8C">
        <w:rPr>
          <w:rFonts w:ascii="Calibri" w:eastAsia="Times New Roman" w:hAnsi="Calibri" w:cs="Times New Roman"/>
          <w:lang w:eastAsia="pl-PL"/>
        </w:rPr>
        <w:t xml:space="preserve"> Rada Gminy w Mircu Uchwałą Nr XIX /128/2016 Rady Gminy </w:t>
      </w:r>
      <w:r w:rsidRPr="00EE0C8C">
        <w:rPr>
          <w:rFonts w:ascii="Calibri" w:eastAsia="Times New Roman" w:hAnsi="Calibri" w:cs="Times New Roman"/>
          <w:lang w:eastAsia="pl-PL"/>
        </w:rPr>
        <w:br/>
        <w:t>w Mircu z dnia 26 lutego 2016r. wyznaczyła obszar zdegradowany i obszar rewitalizacji gminy Mirzec</w:t>
      </w:r>
    </w:p>
    <w:p w:rsidR="00EE0C8C" w:rsidRPr="00EE0C8C" w:rsidRDefault="00EE0C8C" w:rsidP="00EE0C8C">
      <w:pPr>
        <w:jc w:val="both"/>
        <w:rPr>
          <w:rFonts w:ascii="Calibri" w:eastAsia="Times New Roman" w:hAnsi="Calibri" w:cs="Times New Roman"/>
          <w:lang w:eastAsia="pl-PL"/>
        </w:rPr>
      </w:pPr>
      <w:r w:rsidRPr="00EE0C8C">
        <w:rPr>
          <w:rFonts w:ascii="Calibri" w:eastAsia="Times New Roman" w:hAnsi="Calibri" w:cs="Times New Roman"/>
          <w:lang w:eastAsia="pl-PL"/>
        </w:rPr>
        <w:t xml:space="preserve">Obszar rewitalizacji obejmuje ok.  1487,1 ha co stanowi ok. 13,51% powierzchni całkowitej gminy Mirzec oraz zamieszkały jest przez 2162 mieszkańców, co stanowi 25,67% wszystkich mieszkańców gminy Mirzec. Niniejszy obszar wyznaczony w/w  uchwałą jest zgodny z  art. 10 ust. 2 ustawy.  Na obszarze rewitalizacji obejmującym sołectwo Mirzec I i Mirzec II, skoncentrowanych jest szereg negatywnych zjawisk społecznych, a w szczególności bezrobocie, ubóstwo, wandalizm, przestępczość. Na obszarze tym znajduje się także bardzo duża ilość beneficjentów korzystających z pomocy ze wsparcia Ośrodków Pomocy Społecznej w Mircu i rodzinnych domów opieki ( w systemie dziennym </w:t>
      </w:r>
      <w:r w:rsidRPr="00EE0C8C">
        <w:rPr>
          <w:rFonts w:ascii="Calibri" w:eastAsia="Times New Roman" w:hAnsi="Calibri" w:cs="Times New Roman"/>
          <w:lang w:eastAsia="pl-PL"/>
        </w:rPr>
        <w:br/>
        <w:t xml:space="preserve">i całodobowym ), Gminnego Ośrodka Pomocy Społecznej w Mircu, a także występuje duża koncentracja przedsiębiorców prowadzących działalność, szczególnie w obszarze usług, handlu, gastronomii, którzy borykają się z wieloma problemami ograniczającymi możliwości ich działalności </w:t>
      </w:r>
      <w:r w:rsidRPr="00EE0C8C">
        <w:rPr>
          <w:rFonts w:ascii="Calibri" w:eastAsia="Times New Roman" w:hAnsi="Calibri" w:cs="Times New Roman"/>
          <w:lang w:eastAsia="pl-PL"/>
        </w:rPr>
        <w:br/>
        <w:t xml:space="preserve">i rozwoju. Obszar ten charakteryzuje się także dużą koncentracją instytucji  i obiektów pełniących funkcje  użyteczności publicznej takich jak: Urząd Gminy w Mircu, Zespół Szkół w Mircu, Ochotnicza Straż Pożarna w Mircu, Gminny Ośrodek Pomocy Społecznej w Mircu, Publiczny Zakład Opieki Zdrowotnej w Mircu,  Przedszkole Publiczne w Mircu, Gminny Dom Kultury i Integracji w Mircu (zarządzający amfiteatrem), Gminna Biblioteka Publiczna w Mircu  Urząd Pocztowy w Mircu, zespół obiektów sportowych Orlik,  zbiornik wodny, świetlica gminna, </w:t>
      </w:r>
      <w:r w:rsidR="006B153B">
        <w:rPr>
          <w:rFonts w:ascii="Calibri" w:eastAsia="Times New Roman" w:hAnsi="Calibri" w:cs="Times New Roman"/>
          <w:lang w:eastAsia="pl-PL"/>
        </w:rPr>
        <w:t>p</w:t>
      </w:r>
      <w:r w:rsidRPr="00EE0C8C">
        <w:rPr>
          <w:rFonts w:ascii="Calibri" w:eastAsia="Times New Roman" w:hAnsi="Calibri" w:cs="Times New Roman"/>
          <w:lang w:eastAsia="pl-PL"/>
        </w:rPr>
        <w:t xml:space="preserve">olicyjny  punkt przyjęć interesantów w Mircu. Przez centrum Mirca przebiegają strategiczne dla układu komunikacyjnego gminy </w:t>
      </w:r>
      <w:r w:rsidR="006B153B">
        <w:rPr>
          <w:rFonts w:ascii="Calibri" w:eastAsia="Times New Roman" w:hAnsi="Calibri" w:cs="Times New Roman"/>
          <w:lang w:eastAsia="pl-PL"/>
        </w:rPr>
        <w:t>drogi: regionalna, subregionalne</w:t>
      </w:r>
      <w:r w:rsidRPr="00EE0C8C">
        <w:rPr>
          <w:rFonts w:ascii="Calibri" w:eastAsia="Times New Roman" w:hAnsi="Calibri" w:cs="Times New Roman"/>
          <w:lang w:eastAsia="pl-PL"/>
        </w:rPr>
        <w:t xml:space="preserve"> i lokaln</w:t>
      </w:r>
      <w:r w:rsidR="006B153B">
        <w:rPr>
          <w:rFonts w:ascii="Calibri" w:eastAsia="Times New Roman" w:hAnsi="Calibri" w:cs="Times New Roman"/>
          <w:lang w:eastAsia="pl-PL"/>
        </w:rPr>
        <w:t>e</w:t>
      </w:r>
      <w:r w:rsidRPr="00EE0C8C">
        <w:rPr>
          <w:rFonts w:ascii="Calibri" w:eastAsia="Times New Roman" w:hAnsi="Calibri" w:cs="Times New Roman"/>
          <w:lang w:eastAsia="pl-PL"/>
        </w:rPr>
        <w:t xml:space="preserve">. </w:t>
      </w:r>
    </w:p>
    <w:p w:rsidR="00EE0C8C" w:rsidRPr="00EE0C8C" w:rsidRDefault="00EE0C8C" w:rsidP="00EE0C8C">
      <w:pPr>
        <w:jc w:val="both"/>
        <w:rPr>
          <w:rFonts w:ascii="Calibri" w:eastAsia="Times New Roman" w:hAnsi="Calibri" w:cs="Times New Roman"/>
          <w:lang w:eastAsia="pl-PL"/>
        </w:rPr>
      </w:pPr>
      <w:r w:rsidRPr="00EE0C8C">
        <w:rPr>
          <w:rFonts w:ascii="Calibri" w:eastAsia="Times New Roman" w:hAnsi="Calibri" w:cs="Times New Roman"/>
          <w:lang w:eastAsia="pl-PL"/>
        </w:rPr>
        <w:t>Takie zagęszczenie instytucji użyteczności publicznej wymaga zdecydowanej poprawy układu komunikacyjnego, pokonanie barier architektonicznych, uporządkowania przestrzeni publicznej, aby w sposób zasadniczy poprawić zarówno, jakość usług publicznych, jak i dostępność do nich. Takie nagromadzenie i koncentracja negatywnych zjawisk gospodarczych, środowiskowych, przestrzenno-</w:t>
      </w:r>
      <w:r w:rsidR="006B153B">
        <w:rPr>
          <w:rFonts w:ascii="Calibri" w:eastAsia="Times New Roman" w:hAnsi="Calibri" w:cs="Times New Roman"/>
          <w:lang w:eastAsia="pl-PL"/>
        </w:rPr>
        <w:t xml:space="preserve">funkcjonalnych i technicznych </w:t>
      </w:r>
      <w:r w:rsidRPr="00EE0C8C">
        <w:rPr>
          <w:rFonts w:ascii="Calibri" w:eastAsia="Times New Roman" w:hAnsi="Calibri" w:cs="Times New Roman"/>
          <w:lang w:eastAsia="pl-PL"/>
        </w:rPr>
        <w:t xml:space="preserve">w zdecydowany sposób wypełnia warunki niezbędne do  spełnienia przez obszar zdegradowany i obszar rewitalizacji, czyli sołectwa Mirzec I i Mirzec II, określone w art. 9, ust. 1 ustawy o rewitalizacji z dnia 09 października 2015r. </w:t>
      </w:r>
    </w:p>
    <w:p w:rsidR="00EE0C8C" w:rsidRPr="00EE0C8C" w:rsidRDefault="00EE0C8C" w:rsidP="00EE0C8C">
      <w:pPr>
        <w:jc w:val="both"/>
        <w:rPr>
          <w:rFonts w:ascii="Calibri" w:eastAsia="Times New Roman" w:hAnsi="Calibri" w:cs="Times New Roman"/>
          <w:lang w:eastAsia="pl-PL"/>
        </w:rPr>
      </w:pPr>
      <w:r w:rsidRPr="00EE0C8C">
        <w:rPr>
          <w:rFonts w:ascii="Calibri" w:eastAsia="Times New Roman" w:hAnsi="Calibri" w:cs="Times New Roman"/>
          <w:lang w:eastAsia="pl-PL"/>
        </w:rPr>
        <w:t>Zakres wytyczonego obszaru zdegradowanego i obszaru rewitalizacji skoncentrowany jest na dwóch sołectwach Mirzec I i Mirzec II z wyłączeniem obszarów leśnych , a także jest zgodny z założeniami Regionalnego Programu Operacyjny woj. Świętokrzyskiego na lata 2014-2020:</w:t>
      </w:r>
    </w:p>
    <w:p w:rsidR="00EE0C8C" w:rsidRPr="00EE0C8C" w:rsidRDefault="00EE0C8C" w:rsidP="00EE0C8C">
      <w:pPr>
        <w:jc w:val="both"/>
        <w:rPr>
          <w:rFonts w:ascii="Calibri" w:eastAsia="Times New Roman" w:hAnsi="Calibri" w:cs="Times New Roman"/>
          <w:lang w:eastAsia="pl-PL"/>
        </w:rPr>
      </w:pPr>
      <w:r w:rsidRPr="00EE0C8C">
        <w:rPr>
          <w:rFonts w:ascii="Calibri" w:eastAsia="Times New Roman" w:hAnsi="Calibri" w:cs="Times New Roman"/>
          <w:lang w:eastAsia="pl-PL"/>
        </w:rPr>
        <w:t xml:space="preserve">Oś priorytetowa 6. Rozwój miast. </w:t>
      </w:r>
    </w:p>
    <w:p w:rsidR="00EE0C8C" w:rsidRPr="00EE0C8C" w:rsidRDefault="00EE0C8C" w:rsidP="00EE0C8C">
      <w:pPr>
        <w:jc w:val="both"/>
        <w:rPr>
          <w:rFonts w:ascii="Calibri" w:eastAsia="Times New Roman" w:hAnsi="Calibri" w:cs="Times New Roman"/>
          <w:lang w:eastAsia="pl-PL"/>
        </w:rPr>
      </w:pPr>
      <w:r w:rsidRPr="00EE0C8C">
        <w:rPr>
          <w:rFonts w:ascii="Calibri" w:eastAsia="Times New Roman" w:hAnsi="Calibri" w:cs="Times New Roman"/>
          <w:lang w:eastAsia="pl-PL"/>
        </w:rPr>
        <w:t>Cele szczegółowe: wzmocniony rozwój społeczno-gospodarczy, fizyczny i przestrzenny obszarów miejskich, poprzemysłowych.</w:t>
      </w:r>
    </w:p>
    <w:p w:rsidR="00EE0C8C" w:rsidRPr="00EE0C8C" w:rsidRDefault="00EE0C8C" w:rsidP="00EE0C8C">
      <w:pPr>
        <w:jc w:val="both"/>
        <w:rPr>
          <w:rFonts w:ascii="Calibri" w:eastAsia="Times New Roman" w:hAnsi="Calibri" w:cs="Times New Roman"/>
          <w:lang w:eastAsia="pl-PL"/>
        </w:rPr>
      </w:pPr>
      <w:r w:rsidRPr="00EE0C8C">
        <w:rPr>
          <w:rFonts w:ascii="Calibri" w:eastAsia="Times New Roman" w:hAnsi="Calibri" w:cs="Times New Roman"/>
          <w:lang w:eastAsia="pl-PL"/>
        </w:rPr>
        <w:t>Działanie 6.5. Rewitalizacja obszarów miejskich i wiejskich.</w:t>
      </w:r>
    </w:p>
    <w:p w:rsidR="00EE0C8C" w:rsidRDefault="00EE0C8C" w:rsidP="00EE0C8C">
      <w:pPr>
        <w:jc w:val="both"/>
        <w:rPr>
          <w:rFonts w:ascii="Calibri" w:eastAsia="Times New Roman" w:hAnsi="Calibri" w:cs="Times New Roman"/>
          <w:lang w:eastAsia="pl-PL"/>
        </w:rPr>
      </w:pPr>
      <w:r w:rsidRPr="00EE0C8C">
        <w:rPr>
          <w:rFonts w:ascii="Calibri" w:eastAsia="Times New Roman" w:hAnsi="Calibri" w:cs="Times New Roman"/>
          <w:lang w:eastAsia="pl-PL"/>
        </w:rPr>
        <w:t xml:space="preserve">W ramach działania wsparcie znajdują przedsięwzięcia z zakresu: przebudowy, adaptacji zdegradowanych budynków, obiektów, terenów i przestrzeni w celu przywrócenia lub nadania im nowych funkcji społecznych, gospodarczych, edukacyjnych, kulturalnych lub rekreacyjnych. Przedkładane projekty muszą wynikać z Gminnych Programów </w:t>
      </w:r>
      <w:r w:rsidR="000D717F">
        <w:rPr>
          <w:rFonts w:ascii="Calibri" w:eastAsia="Times New Roman" w:hAnsi="Calibri" w:cs="Times New Roman"/>
          <w:lang w:eastAsia="pl-PL"/>
        </w:rPr>
        <w:t>r</w:t>
      </w:r>
      <w:r w:rsidRPr="00EE0C8C">
        <w:rPr>
          <w:rFonts w:ascii="Calibri" w:eastAsia="Times New Roman" w:hAnsi="Calibri" w:cs="Times New Roman"/>
          <w:lang w:eastAsia="pl-PL"/>
        </w:rPr>
        <w:t xml:space="preserve">ewitalizacji oraz winny mieć </w:t>
      </w:r>
      <w:r w:rsidRPr="00EE0C8C">
        <w:rPr>
          <w:rFonts w:ascii="Calibri" w:eastAsia="Times New Roman" w:hAnsi="Calibri" w:cs="Times New Roman"/>
          <w:lang w:eastAsia="pl-PL"/>
        </w:rPr>
        <w:lastRenderedPageBreak/>
        <w:t xml:space="preserve">charakter kompleksowy i zintegrowany. Ponadto powinny wykazywać wyraźną komplementarność </w:t>
      </w:r>
      <w:r w:rsidRPr="00EE0C8C">
        <w:rPr>
          <w:rFonts w:ascii="Calibri" w:eastAsia="Times New Roman" w:hAnsi="Calibri" w:cs="Times New Roman"/>
          <w:lang w:eastAsia="pl-PL"/>
        </w:rPr>
        <w:br/>
        <w:t xml:space="preserve">z inwestycjami w ramach EFS, wspierać integrację społeczną, przyczyniać się do zmniejszenia ubóstwa oraz prowadzić do zwiększenia szans zatrudnienia. </w:t>
      </w:r>
      <w:r w:rsidRPr="00EE0C8C">
        <w:rPr>
          <w:rFonts w:ascii="Calibri" w:eastAsia="Times New Roman" w:hAnsi="Calibri" w:cs="Times New Roman"/>
          <w:b/>
          <w:lang w:eastAsia="pl-PL"/>
        </w:rPr>
        <w:t xml:space="preserve">W ramach działania wsparcie znajdą przedsięwzięcia dot. </w:t>
      </w:r>
      <w:r w:rsidR="006B153B">
        <w:rPr>
          <w:rFonts w:ascii="Calibri" w:eastAsia="Times New Roman" w:hAnsi="Calibri" w:cs="Times New Roman"/>
          <w:b/>
          <w:lang w:eastAsia="pl-PL"/>
        </w:rPr>
        <w:t>r</w:t>
      </w:r>
      <w:r w:rsidRPr="00EE0C8C">
        <w:rPr>
          <w:rFonts w:ascii="Calibri" w:eastAsia="Times New Roman" w:hAnsi="Calibri" w:cs="Times New Roman"/>
          <w:b/>
          <w:lang w:eastAsia="pl-PL"/>
        </w:rPr>
        <w:t xml:space="preserve">ewitalizacji zmarginalizowanych obszarów miast, miejscowości lub części miejscowości będących centrami gmin. </w:t>
      </w:r>
      <w:r w:rsidRPr="00EE0C8C">
        <w:rPr>
          <w:rFonts w:ascii="Calibri" w:eastAsia="Times New Roman" w:hAnsi="Calibri" w:cs="Times New Roman"/>
          <w:lang w:eastAsia="pl-PL"/>
        </w:rPr>
        <w:t>Wsparcie będzie udzielane projektom przyczyniającym się do wzrostu estetyki przestrzeni publicznej w zakresie m.in.: infrastruktury wodno-kanalizacyjnej, drogowej, kulturalnej, edukacyjnej, turystycznej, rekreacyjnej, zaopatrzenia w energię elektryczną oraz systemów monitorowania bezpieczeństwa w miejscach publicznych. Priorytet inwestycyjny 9b. Wspieranie rewitalizacji fizycznej, gospodarczej i społecznej ubogich społeczności na obszarach miejskich i wiejskich. Oś priorytetowa 7. Sprawne usługi publiczne. Działanie 7.2. Rozwój potencjału endogenicznego jako element strategii terytor</w:t>
      </w:r>
      <w:r w:rsidR="00D31D10">
        <w:rPr>
          <w:rFonts w:ascii="Calibri" w:eastAsia="Times New Roman" w:hAnsi="Calibri" w:cs="Times New Roman"/>
          <w:lang w:eastAsia="pl-PL"/>
        </w:rPr>
        <w:t xml:space="preserve">ialnej dla określonych obszarów oraz działanie 7.4. Rozwój infrastruktury edukacyjnej i szkoleniowej.  </w:t>
      </w:r>
    </w:p>
    <w:p w:rsidR="00B05FB3" w:rsidRPr="00EE0C8C" w:rsidRDefault="00B05FB3" w:rsidP="00EE0C8C">
      <w:pPr>
        <w:jc w:val="both"/>
        <w:rPr>
          <w:rFonts w:ascii="Calibri" w:eastAsia="Times New Roman" w:hAnsi="Calibri" w:cs="Times New Roman"/>
          <w:lang w:eastAsia="pl-PL"/>
        </w:rPr>
      </w:pPr>
      <w:r>
        <w:rPr>
          <w:rFonts w:ascii="Calibri" w:eastAsia="Times New Roman" w:hAnsi="Calibri" w:cs="Times New Roman"/>
          <w:lang w:eastAsia="pl-PL"/>
        </w:rPr>
        <w:t xml:space="preserve">Również z osi priorytetowej 3 ,,Efektywna i zielona energia”. Działanie 3.3. Poprawa efektywności energetycznej z wykorzystaniem odnawialnych źródeł energii w sektorze publicznym </w:t>
      </w:r>
      <w:r>
        <w:rPr>
          <w:rFonts w:ascii="Calibri" w:eastAsia="Times New Roman" w:hAnsi="Calibri" w:cs="Times New Roman"/>
          <w:lang w:eastAsia="pl-PL"/>
        </w:rPr>
        <w:br/>
        <w:t>i mieszkaniowym.</w:t>
      </w:r>
    </w:p>
    <w:p w:rsidR="00EE0C8C" w:rsidRPr="00EE0C8C" w:rsidRDefault="00EE0C8C" w:rsidP="00EE0C8C">
      <w:pPr>
        <w:jc w:val="both"/>
        <w:rPr>
          <w:rFonts w:ascii="Calibri" w:eastAsia="Times New Roman" w:hAnsi="Calibri" w:cs="Times New Roman"/>
          <w:lang w:eastAsia="pl-PL"/>
        </w:rPr>
      </w:pPr>
      <w:r w:rsidRPr="00EE0C8C">
        <w:rPr>
          <w:rFonts w:ascii="Calibri" w:eastAsia="Times New Roman" w:hAnsi="Calibri" w:cs="Times New Roman"/>
          <w:lang w:eastAsia="pl-PL"/>
        </w:rPr>
        <w:t xml:space="preserve">Priorytet inwestycyjny 8b. Wspieranie wzrostu gospodarczego sprzyjającego zatrudnieniu poprzez rozwój potencjału endogenicznego jako elementu strategii terytorialnej dla określonych obszarów, </w:t>
      </w:r>
      <w:r w:rsidR="006B153B">
        <w:rPr>
          <w:rFonts w:ascii="Calibri" w:eastAsia="Times New Roman" w:hAnsi="Calibri" w:cs="Times New Roman"/>
          <w:lang w:eastAsia="pl-PL"/>
        </w:rPr>
        <w:br/>
      </w:r>
      <w:r w:rsidRPr="00EE0C8C">
        <w:rPr>
          <w:rFonts w:ascii="Calibri" w:eastAsia="Times New Roman" w:hAnsi="Calibri" w:cs="Times New Roman"/>
          <w:lang w:eastAsia="pl-PL"/>
        </w:rPr>
        <w:t>w tym poprzez przekształcanie upadających regionów przemysłowych i zwiększenie dostępu do określonych zasobów naturalnych i kulturalnych oraz ich rozwój.</w:t>
      </w:r>
    </w:p>
    <w:p w:rsidR="00EE0C8C" w:rsidRPr="00EE0C8C" w:rsidRDefault="00EE0C8C" w:rsidP="00EE0C8C">
      <w:pPr>
        <w:spacing w:line="240" w:lineRule="auto"/>
        <w:rPr>
          <w:rFonts w:ascii="Calibri" w:eastAsia="Calibri" w:hAnsi="Calibri" w:cs="Times New Roman"/>
          <w:u w:val="single"/>
          <w:lang w:eastAsia="pl-PL"/>
        </w:rPr>
      </w:pPr>
      <w:r w:rsidRPr="00EE0C8C">
        <w:rPr>
          <w:rFonts w:ascii="Calibri" w:eastAsia="Times New Roman" w:hAnsi="Calibri" w:cs="Times New Roman"/>
          <w:lang w:eastAsia="pl-PL"/>
        </w:rPr>
        <w:t>Działanie 7.3 Infrastruktura zdrowotna i społeczna</w:t>
      </w:r>
    </w:p>
    <w:p w:rsidR="00EE0C8C" w:rsidRPr="00EE0C8C" w:rsidRDefault="00EE0C8C" w:rsidP="00EE0C8C">
      <w:pPr>
        <w:spacing w:line="240" w:lineRule="auto"/>
        <w:jc w:val="both"/>
        <w:rPr>
          <w:rFonts w:ascii="Calibri" w:eastAsia="Times New Roman" w:hAnsi="Calibri" w:cs="Times New Roman"/>
          <w:color w:val="1F497D"/>
          <w:lang w:eastAsia="pl-PL"/>
        </w:rPr>
      </w:pPr>
      <w:r w:rsidRPr="00EE0C8C">
        <w:rPr>
          <w:rFonts w:ascii="Calibri" w:eastAsia="Calibri" w:hAnsi="Calibri" w:cs="Times New Roman"/>
          <w:lang w:eastAsia="pl-PL"/>
        </w:rPr>
        <w:t xml:space="preserve">Priorytet inwestycyjny </w:t>
      </w:r>
      <w:r w:rsidRPr="00EE0C8C">
        <w:rPr>
          <w:rFonts w:ascii="Calibri" w:eastAsia="Times New Roman" w:hAnsi="Calibri" w:cs="Times New Roman"/>
          <w:lang w:eastAsia="pl-PL"/>
        </w:rPr>
        <w:t>9a</w:t>
      </w:r>
      <w:r w:rsidR="006B153B">
        <w:rPr>
          <w:rFonts w:ascii="Calibri" w:eastAsia="Times New Roman" w:hAnsi="Calibri" w:cs="Times New Roman"/>
          <w:lang w:eastAsia="pl-PL"/>
        </w:rPr>
        <w:t>.</w:t>
      </w:r>
      <w:r w:rsidRPr="00EE0C8C">
        <w:rPr>
          <w:rFonts w:ascii="Calibri" w:eastAsia="Times New Roman" w:hAnsi="Calibri" w:cs="Times New Roman"/>
          <w:lang w:eastAsia="pl-PL"/>
        </w:rPr>
        <w:t xml:space="preserve"> inwestycje w infrastrukturę zdrowotną i społeczną, które przyczyniają się do rozwoju krajowego, regionalnego i lokalnego, zmniejszania nierówności w zakresie stanu zdrowia, promowanie włączenia społecznego poprzez lepszy dostęp do usług społecznych, kulturalnych </w:t>
      </w:r>
      <w:r w:rsidRPr="00EE0C8C">
        <w:rPr>
          <w:rFonts w:ascii="Calibri" w:eastAsia="Times New Roman" w:hAnsi="Calibri" w:cs="Times New Roman"/>
          <w:lang w:eastAsia="pl-PL"/>
        </w:rPr>
        <w:br/>
        <w:t>i rekreacyjnych, oraz przejścia z usług instytucjonalnych na usługi na poziomie społeczności lokalnych.</w:t>
      </w:r>
    </w:p>
    <w:p w:rsidR="00EE0C8C" w:rsidRPr="00EE0C8C" w:rsidRDefault="00EE0C8C" w:rsidP="00EE0C8C">
      <w:pPr>
        <w:jc w:val="both"/>
        <w:rPr>
          <w:rFonts w:ascii="Calibri" w:eastAsia="Times New Roman" w:hAnsi="Calibri" w:cs="Times New Roman"/>
          <w:lang w:eastAsia="pl-PL"/>
        </w:rPr>
      </w:pPr>
      <w:r w:rsidRPr="00EE0C8C">
        <w:rPr>
          <w:rFonts w:ascii="Calibri" w:eastAsia="Times New Roman" w:hAnsi="Calibri" w:cs="Times New Roman"/>
          <w:noProof/>
          <w:lang w:eastAsia="pl-PL"/>
        </w:rPr>
        <w:lastRenderedPageBreak/>
        <w:drawing>
          <wp:inline distT="0" distB="0" distL="0" distR="0" wp14:anchorId="19B85481" wp14:editId="4F8E93E8">
            <wp:extent cx="5723907" cy="4984509"/>
            <wp:effectExtent l="133350" t="114300" r="124460" b="140335"/>
            <wp:docPr id="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5132" cy="4985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E0C8C" w:rsidRPr="00EE0C8C" w:rsidRDefault="00EE0C8C" w:rsidP="00EE0C8C">
      <w:pPr>
        <w:ind w:left="-284"/>
        <w:jc w:val="center"/>
        <w:rPr>
          <w:rFonts w:ascii="Calibri" w:eastAsia="Times New Roman" w:hAnsi="Calibri" w:cs="Times New Roman"/>
          <w:lang w:eastAsia="pl-PL"/>
        </w:rPr>
        <w:sectPr w:rsidR="00EE0C8C" w:rsidRPr="00EE0C8C" w:rsidSect="00A76BDB">
          <w:pgSz w:w="11906" w:h="16838"/>
          <w:pgMar w:top="1417" w:right="1417" w:bottom="1417" w:left="1417" w:header="708" w:footer="708" w:gutter="0"/>
          <w:cols w:space="708"/>
          <w:docGrid w:linePitch="360"/>
        </w:sectPr>
      </w:pPr>
    </w:p>
    <w:p w:rsidR="00EE0C8C" w:rsidRPr="00EE0C8C" w:rsidRDefault="00EE0C8C" w:rsidP="00A76BDB">
      <w:pPr>
        <w:pStyle w:val="Nagwek2"/>
      </w:pPr>
      <w:bookmarkStart w:id="24" w:name="_Toc449963531"/>
      <w:bookmarkStart w:id="25" w:name="_Toc450562473"/>
      <w:r w:rsidRPr="00EE0C8C">
        <w:lastRenderedPageBreak/>
        <w:t>2.1. DIAGNOZA obszaru zdegradowanego i obszaru rewitalizacji gminy Mirzec: sołectwa Mirzec I i Mirzec II</w:t>
      </w:r>
      <w:bookmarkEnd w:id="24"/>
      <w:bookmarkEnd w:id="25"/>
    </w:p>
    <w:p w:rsidR="00EE0C8C" w:rsidRPr="00EE0C8C" w:rsidRDefault="00EE0C8C" w:rsidP="00A76BDB">
      <w:pPr>
        <w:pStyle w:val="Nagwek2"/>
        <w:rPr>
          <w:lang w:eastAsia="pl-PL"/>
        </w:rPr>
      </w:pPr>
      <w:bookmarkStart w:id="26" w:name="_Toc449963532"/>
      <w:bookmarkStart w:id="27" w:name="_Toc450562474"/>
      <w:r w:rsidRPr="00EE0C8C">
        <w:rPr>
          <w:lang w:eastAsia="pl-PL"/>
        </w:rPr>
        <w:t>2.1. SFERA PRZESTRZENNA</w:t>
      </w:r>
      <w:bookmarkEnd w:id="19"/>
      <w:bookmarkEnd w:id="20"/>
      <w:bookmarkEnd w:id="26"/>
      <w:bookmarkEnd w:id="27"/>
    </w:p>
    <w:p w:rsidR="00EE0C8C" w:rsidRPr="00EE0C8C" w:rsidRDefault="00EE0C8C" w:rsidP="00A76BDB">
      <w:pPr>
        <w:pStyle w:val="Nagwek2"/>
        <w:rPr>
          <w:lang w:eastAsia="pl-PL"/>
        </w:rPr>
      </w:pPr>
      <w:bookmarkStart w:id="28" w:name="_Toc432515198"/>
      <w:bookmarkStart w:id="29" w:name="_Toc439077750"/>
      <w:bookmarkStart w:id="30" w:name="_Toc449963533"/>
      <w:bookmarkStart w:id="31" w:name="_Toc450562475"/>
      <w:r w:rsidRPr="00EE0C8C">
        <w:rPr>
          <w:lang w:eastAsia="pl-PL"/>
        </w:rPr>
        <w:t>2.1.1 CHARAKTERYSTYKA ZAGOSPODAROWANIA PRZESTRZENNEGO I UWARUNKOWANIA HISTORYCZNE ROZWOJU GMINY</w:t>
      </w:r>
      <w:bookmarkEnd w:id="28"/>
      <w:bookmarkEnd w:id="29"/>
      <w:bookmarkEnd w:id="30"/>
      <w:bookmarkEnd w:id="31"/>
    </w:p>
    <w:p w:rsidR="00EE0C8C" w:rsidRPr="00EE0C8C" w:rsidRDefault="00EE0C8C" w:rsidP="00EE0C8C">
      <w:pPr>
        <w:keepNext/>
        <w:keepLines/>
        <w:spacing w:before="200" w:after="0"/>
        <w:outlineLvl w:val="2"/>
        <w:rPr>
          <w:rFonts w:ascii="Cambria" w:eastAsia="Times New Roman" w:hAnsi="Cambria" w:cs="Times New Roman"/>
          <w:b/>
          <w:bCs/>
          <w:color w:val="4F81BD"/>
          <w:lang w:eastAsia="pl-PL"/>
        </w:rPr>
      </w:pPr>
    </w:p>
    <w:p w:rsidR="00EE0C8C" w:rsidRPr="00EE0C8C" w:rsidRDefault="00EE0C8C" w:rsidP="006B153B">
      <w:pPr>
        <w:spacing w:after="0"/>
        <w:jc w:val="both"/>
        <w:rPr>
          <w:rFonts w:ascii="Calibri" w:eastAsia="Times New Roman" w:hAnsi="Calibri" w:cs="Times New Roman"/>
          <w:lang w:eastAsia="pl-PL"/>
        </w:rPr>
      </w:pPr>
      <w:r w:rsidRPr="00EE0C8C">
        <w:rPr>
          <w:rFonts w:ascii="Calibri" w:eastAsia="Times New Roman" w:hAnsi="Calibri" w:cs="Times New Roman"/>
          <w:lang w:eastAsia="pl-PL"/>
        </w:rPr>
        <w:t>Podstawą przeprowadzonej diagnozy była:</w:t>
      </w:r>
    </w:p>
    <w:p w:rsidR="00EE0C8C" w:rsidRPr="00EE0C8C" w:rsidRDefault="00EE0C8C" w:rsidP="006B153B">
      <w:pPr>
        <w:spacing w:after="0"/>
        <w:jc w:val="both"/>
        <w:rPr>
          <w:rFonts w:ascii="Calibri" w:eastAsia="Times New Roman" w:hAnsi="Calibri" w:cs="Times New Roman"/>
          <w:lang w:eastAsia="pl-PL"/>
        </w:rPr>
      </w:pPr>
      <w:r w:rsidRPr="00EE0C8C">
        <w:rPr>
          <w:rFonts w:ascii="Calibri" w:eastAsia="Times New Roman" w:hAnsi="Calibri" w:cs="Times New Roman"/>
          <w:lang w:eastAsia="pl-PL"/>
        </w:rPr>
        <w:t>-</w:t>
      </w:r>
      <w:r w:rsidRPr="00EE0C8C">
        <w:rPr>
          <w:rFonts w:ascii="Calibri" w:eastAsia="Times New Roman" w:hAnsi="Calibri" w:cs="Times New Roman"/>
          <w:lang w:eastAsia="pl-PL"/>
        </w:rPr>
        <w:tab/>
        <w:t>analiza dokumentów strategicznych Gminy Mirzec,</w:t>
      </w:r>
    </w:p>
    <w:p w:rsidR="00EE0C8C" w:rsidRPr="00EE0C8C" w:rsidRDefault="00EE0C8C" w:rsidP="006B153B">
      <w:pPr>
        <w:spacing w:after="0"/>
        <w:ind w:left="705" w:hanging="705"/>
        <w:jc w:val="both"/>
        <w:rPr>
          <w:rFonts w:ascii="Calibri" w:eastAsia="Times New Roman" w:hAnsi="Calibri" w:cs="Times New Roman"/>
          <w:lang w:eastAsia="pl-PL"/>
        </w:rPr>
      </w:pPr>
      <w:r w:rsidRPr="00EE0C8C">
        <w:rPr>
          <w:rFonts w:ascii="Calibri" w:eastAsia="Times New Roman" w:hAnsi="Calibri" w:cs="Times New Roman"/>
          <w:lang w:eastAsia="pl-PL"/>
        </w:rPr>
        <w:t>-</w:t>
      </w:r>
      <w:r w:rsidRPr="00EE0C8C">
        <w:rPr>
          <w:rFonts w:ascii="Calibri" w:eastAsia="Times New Roman" w:hAnsi="Calibri" w:cs="Times New Roman"/>
          <w:lang w:eastAsia="pl-PL"/>
        </w:rPr>
        <w:tab/>
        <w:t>zebranie i analiza dokumentów informacyjnych i statystycznych dotyczących sytuacji w sferze przestrzennej, gospodarczej i społecznej,</w:t>
      </w:r>
    </w:p>
    <w:p w:rsidR="00EE0C8C" w:rsidRPr="00EE0C8C" w:rsidRDefault="00EE0C8C" w:rsidP="006B153B">
      <w:pPr>
        <w:spacing w:after="0"/>
        <w:jc w:val="both"/>
        <w:rPr>
          <w:rFonts w:ascii="Calibri" w:eastAsia="Times New Roman" w:hAnsi="Calibri" w:cs="Times New Roman"/>
          <w:lang w:eastAsia="pl-PL"/>
        </w:rPr>
      </w:pPr>
      <w:r w:rsidRPr="00EE0C8C">
        <w:rPr>
          <w:rFonts w:ascii="Calibri" w:eastAsia="Times New Roman" w:hAnsi="Calibri" w:cs="Times New Roman"/>
          <w:lang w:eastAsia="pl-PL"/>
        </w:rPr>
        <w:t>-</w:t>
      </w:r>
      <w:r w:rsidRPr="00EE0C8C">
        <w:rPr>
          <w:rFonts w:ascii="Calibri" w:eastAsia="Times New Roman" w:hAnsi="Calibri" w:cs="Times New Roman"/>
          <w:lang w:eastAsia="pl-PL"/>
        </w:rPr>
        <w:tab/>
        <w:t>badania ankietowe opinii społecznej,</w:t>
      </w:r>
    </w:p>
    <w:p w:rsidR="00EE0C8C" w:rsidRPr="00EE0C8C" w:rsidRDefault="00EE0C8C" w:rsidP="006B153B">
      <w:pPr>
        <w:spacing w:after="0"/>
        <w:ind w:left="705" w:hanging="705"/>
        <w:jc w:val="both"/>
        <w:rPr>
          <w:rFonts w:ascii="Calibri" w:eastAsia="Times New Roman" w:hAnsi="Calibri" w:cs="Times New Roman"/>
          <w:lang w:eastAsia="pl-PL"/>
        </w:rPr>
      </w:pPr>
      <w:r w:rsidRPr="00EE0C8C">
        <w:rPr>
          <w:rFonts w:ascii="Calibri" w:eastAsia="Times New Roman" w:hAnsi="Calibri" w:cs="Times New Roman"/>
          <w:lang w:eastAsia="pl-PL"/>
        </w:rPr>
        <w:t>-</w:t>
      </w:r>
      <w:r w:rsidRPr="00EE0C8C">
        <w:rPr>
          <w:rFonts w:ascii="Calibri" w:eastAsia="Times New Roman" w:hAnsi="Calibri" w:cs="Times New Roman"/>
          <w:lang w:eastAsia="pl-PL"/>
        </w:rPr>
        <w:tab/>
        <w:t xml:space="preserve">konsultacje społeczne, w których uczestniczyli liderzy opinii publicznej, interesariusze </w:t>
      </w:r>
      <w:r w:rsidR="006B153B">
        <w:rPr>
          <w:rFonts w:ascii="Calibri" w:eastAsia="Times New Roman" w:hAnsi="Calibri" w:cs="Times New Roman"/>
          <w:lang w:eastAsia="pl-PL"/>
        </w:rPr>
        <w:br/>
      </w:r>
      <w:r w:rsidRPr="00EE0C8C">
        <w:rPr>
          <w:rFonts w:ascii="Calibri" w:eastAsia="Times New Roman" w:hAnsi="Calibri" w:cs="Times New Roman"/>
          <w:lang w:eastAsia="pl-PL"/>
        </w:rPr>
        <w:t>i mieszkańcy miejscowości objętych obszarem rewitalizacji.</w:t>
      </w:r>
    </w:p>
    <w:p w:rsidR="00EE0C8C" w:rsidRPr="00EE0C8C" w:rsidRDefault="00EE0C8C" w:rsidP="00EE0C8C">
      <w:pPr>
        <w:jc w:val="both"/>
        <w:rPr>
          <w:rFonts w:ascii="Calibri" w:eastAsia="Times New Roman" w:hAnsi="Calibri" w:cs="Times New Roman"/>
          <w:b/>
          <w:lang w:eastAsia="pl-PL"/>
        </w:rPr>
      </w:pPr>
    </w:p>
    <w:p w:rsidR="00EE0C8C" w:rsidRPr="00EE0C8C" w:rsidRDefault="00EE0C8C" w:rsidP="00EE0C8C">
      <w:pPr>
        <w:jc w:val="both"/>
        <w:rPr>
          <w:rFonts w:ascii="Calibri" w:eastAsia="Times New Roman" w:hAnsi="Calibri" w:cs="Times New Roman"/>
          <w:lang w:eastAsia="pl-PL"/>
        </w:rPr>
      </w:pPr>
      <w:r w:rsidRPr="00EE0C8C">
        <w:rPr>
          <w:rFonts w:ascii="Calibri" w:eastAsia="Times New Roman" w:hAnsi="Calibri" w:cs="Times New Roman"/>
          <w:b/>
          <w:lang w:eastAsia="pl-PL"/>
        </w:rPr>
        <w:t>Gmina Mirzec</w:t>
      </w:r>
      <w:r w:rsidRPr="00EE0C8C">
        <w:rPr>
          <w:rFonts w:ascii="Calibri" w:eastAsia="Times New Roman" w:hAnsi="Calibri" w:cs="Times New Roman"/>
          <w:lang w:eastAsia="pl-PL"/>
        </w:rPr>
        <w:t xml:space="preserve"> to gmina wiejska w powiecie starachowickim, leżącym w północnej części województwa świętokrzyskiego. Od północnego – wschodu graniczy z gminami województwa mazowieckiego – gminą Mirów (powiat szydłowiecki) oraz gminami Wierzbica i Iłża (powiat radomski), od zachodu z gminą Skarżysko Kościelne, a od południa z gminą Brody oraz miastem </w:t>
      </w:r>
      <w:r w:rsidRPr="00EE0C8C">
        <w:rPr>
          <w:rFonts w:ascii="Calibri" w:eastAsia="Times New Roman" w:hAnsi="Calibri" w:cs="Times New Roman"/>
          <w:lang w:eastAsia="pl-PL"/>
        </w:rPr>
        <w:br/>
        <w:t>i gminą Wąchock, jak również z miastem Starachowice.</w:t>
      </w:r>
    </w:p>
    <w:p w:rsidR="00EE0C8C" w:rsidRPr="00EE0C8C" w:rsidRDefault="00EE0C8C" w:rsidP="00EE0C8C">
      <w:pPr>
        <w:jc w:val="both"/>
        <w:rPr>
          <w:rFonts w:ascii="Calibri" w:eastAsia="Times New Roman" w:hAnsi="Calibri" w:cs="Times New Roman"/>
          <w:lang w:eastAsia="pl-PL"/>
        </w:rPr>
      </w:pPr>
      <w:r w:rsidRPr="00EE0C8C">
        <w:rPr>
          <w:rFonts w:ascii="Calibri" w:eastAsia="Times New Roman" w:hAnsi="Calibri" w:cs="Times New Roman"/>
          <w:noProof/>
          <w:lang w:eastAsia="pl-PL"/>
        </w:rPr>
        <w:drawing>
          <wp:inline distT="0" distB="0" distL="0" distR="0" wp14:anchorId="5D8A19A1" wp14:editId="160611E1">
            <wp:extent cx="1047750" cy="1152525"/>
            <wp:effectExtent l="0" t="0" r="0" b="9525"/>
            <wp:docPr id="5" name="Obraz 5"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rb"/>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49365" cy="1154301"/>
                    </a:xfrm>
                    <a:prstGeom prst="rect">
                      <a:avLst/>
                    </a:prstGeom>
                    <a:noFill/>
                    <a:ln>
                      <a:noFill/>
                    </a:ln>
                  </pic:spPr>
                </pic:pic>
              </a:graphicData>
            </a:graphic>
          </wp:inline>
        </w:drawing>
      </w:r>
      <w:r w:rsidRPr="00EE0C8C">
        <w:rPr>
          <w:rFonts w:ascii="Calibri" w:eastAsia="Times New Roman" w:hAnsi="Calibri" w:cs="Times New Roman"/>
          <w:noProof/>
          <w:lang w:eastAsia="pl-PL"/>
        </w:rPr>
        <w:drawing>
          <wp:inline distT="0" distB="0" distL="0" distR="0" wp14:anchorId="01E896CB" wp14:editId="52EDAA1C">
            <wp:extent cx="1762125" cy="1110139"/>
            <wp:effectExtent l="0" t="0" r="0" b="0"/>
            <wp:docPr id="6" name="Obraz 6" descr="Fl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ag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62125" cy="1110139"/>
                    </a:xfrm>
                    <a:prstGeom prst="rect">
                      <a:avLst/>
                    </a:prstGeom>
                    <a:noFill/>
                    <a:ln>
                      <a:noFill/>
                    </a:ln>
                  </pic:spPr>
                </pic:pic>
              </a:graphicData>
            </a:graphic>
          </wp:inline>
        </w:drawing>
      </w:r>
    </w:p>
    <w:p w:rsidR="00EE0C8C" w:rsidRPr="00EE0C8C" w:rsidRDefault="00EE0C8C" w:rsidP="00EE0C8C">
      <w:pPr>
        <w:jc w:val="both"/>
        <w:rPr>
          <w:rFonts w:ascii="Calibri" w:eastAsia="Times New Roman" w:hAnsi="Calibri" w:cs="Times New Roman"/>
          <w:lang w:eastAsia="pl-PL"/>
        </w:rPr>
      </w:pPr>
      <w:r w:rsidRPr="00EE0C8C">
        <w:rPr>
          <w:rFonts w:ascii="Calibri" w:eastAsia="Times New Roman" w:hAnsi="Calibri" w:cs="Times New Roman"/>
          <w:lang w:eastAsia="pl-PL"/>
        </w:rPr>
        <w:t>Herb Gminy Mirzec                                                       Flaga Gminy Mirzec</w:t>
      </w:r>
    </w:p>
    <w:p w:rsidR="00EE0C8C" w:rsidRPr="00EE0C8C" w:rsidRDefault="00EE0C8C" w:rsidP="00EE0C8C">
      <w:pPr>
        <w:jc w:val="both"/>
        <w:rPr>
          <w:rFonts w:ascii="Calibri" w:eastAsia="Times New Roman" w:hAnsi="Calibri" w:cs="Times New Roman"/>
          <w:lang w:eastAsia="pl-PL"/>
        </w:rPr>
      </w:pPr>
      <w:r w:rsidRPr="00EE0C8C">
        <w:rPr>
          <w:rFonts w:ascii="Calibri" w:eastAsia="Times New Roman" w:hAnsi="Calibri" w:cs="Times New Roman"/>
          <w:lang w:eastAsia="pl-PL"/>
        </w:rPr>
        <w:t xml:space="preserve">Gmina zajmuje powierzchnię 111 km² co stanowi 21,21% obszaru całego powiatu i 0,095% powierzchni całego województwa świętokrzyskiego.  </w:t>
      </w:r>
    </w:p>
    <w:p w:rsidR="00EE0C8C" w:rsidRPr="00EE0C8C" w:rsidRDefault="00EE0C8C" w:rsidP="00EE0C8C">
      <w:pPr>
        <w:ind w:firstLine="1134"/>
        <w:jc w:val="center"/>
        <w:rPr>
          <w:rFonts w:ascii="Calibri" w:eastAsia="Times New Roman" w:hAnsi="Calibri" w:cs="Times New Roman"/>
          <w:lang w:eastAsia="pl-PL"/>
        </w:rPr>
      </w:pPr>
      <w:r w:rsidRPr="00EE0C8C">
        <w:rPr>
          <w:rFonts w:ascii="Calibri" w:eastAsia="Times New Roman" w:hAnsi="Calibri" w:cs="Times New Roman"/>
          <w:noProof/>
          <w:lang w:eastAsia="pl-PL"/>
        </w:rPr>
        <w:drawing>
          <wp:inline distT="0" distB="0" distL="0" distR="0" wp14:anchorId="02A3CF24" wp14:editId="614E4FD3">
            <wp:extent cx="2371725" cy="1762768"/>
            <wp:effectExtent l="0" t="0" r="0" b="889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71997" cy="1762970"/>
                    </a:xfrm>
                    <a:prstGeom prst="rect">
                      <a:avLst/>
                    </a:prstGeom>
                    <a:noFill/>
                    <a:ln>
                      <a:noFill/>
                    </a:ln>
                  </pic:spPr>
                </pic:pic>
              </a:graphicData>
            </a:graphic>
          </wp:inline>
        </w:drawing>
      </w:r>
    </w:p>
    <w:p w:rsidR="00EE0C8C" w:rsidRPr="00EE0C8C" w:rsidRDefault="00EE0C8C" w:rsidP="00EE0C8C">
      <w:pPr>
        <w:jc w:val="both"/>
        <w:rPr>
          <w:rFonts w:ascii="Calibri" w:eastAsia="Times New Roman" w:hAnsi="Calibri" w:cs="Times New Roman"/>
          <w:i/>
          <w:lang w:eastAsia="pl-PL"/>
        </w:rPr>
      </w:pPr>
      <w:r w:rsidRPr="00EE0C8C">
        <w:rPr>
          <w:rFonts w:ascii="Calibri" w:eastAsia="Times New Roman" w:hAnsi="Calibri" w:cs="Times New Roman"/>
          <w:i/>
          <w:lang w:eastAsia="pl-PL"/>
        </w:rPr>
        <w:lastRenderedPageBreak/>
        <w:t>Mapa 1 – Położenie Gminy Mirzec na tle województwa świętokrzyskiego (Źródło: Strategia Rozwoju Gminy Mirzec na lata 2013-2020)</w:t>
      </w:r>
    </w:p>
    <w:p w:rsidR="00EE0C8C" w:rsidRPr="00EE0C8C" w:rsidRDefault="00EE0C8C" w:rsidP="00EE0C8C">
      <w:pPr>
        <w:ind w:firstLine="1134"/>
        <w:jc w:val="center"/>
        <w:rPr>
          <w:rFonts w:ascii="Calibri" w:eastAsia="Times New Roman" w:hAnsi="Calibri" w:cs="Times New Roman"/>
          <w:lang w:eastAsia="pl-PL"/>
        </w:rPr>
      </w:pPr>
      <w:r w:rsidRPr="00EE0C8C">
        <w:rPr>
          <w:rFonts w:ascii="Calibri" w:eastAsia="Times New Roman" w:hAnsi="Calibri" w:cs="Times New Roman"/>
          <w:noProof/>
          <w:lang w:eastAsia="pl-PL"/>
        </w:rPr>
        <w:drawing>
          <wp:inline distT="0" distB="0" distL="0" distR="0" wp14:anchorId="145930E4" wp14:editId="3CB56023">
            <wp:extent cx="2417885" cy="2190750"/>
            <wp:effectExtent l="0" t="0" r="1905"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17885" cy="2190750"/>
                    </a:xfrm>
                    <a:prstGeom prst="rect">
                      <a:avLst/>
                    </a:prstGeom>
                    <a:noFill/>
                    <a:ln>
                      <a:noFill/>
                    </a:ln>
                  </pic:spPr>
                </pic:pic>
              </a:graphicData>
            </a:graphic>
          </wp:inline>
        </w:drawing>
      </w:r>
    </w:p>
    <w:p w:rsidR="00EE0C8C" w:rsidRPr="00EE0C8C" w:rsidRDefault="00EE0C8C" w:rsidP="00EE0C8C">
      <w:pPr>
        <w:jc w:val="both"/>
        <w:rPr>
          <w:rFonts w:ascii="Calibri" w:eastAsia="Times New Roman" w:hAnsi="Calibri" w:cs="Times New Roman"/>
          <w:i/>
          <w:lang w:eastAsia="pl-PL"/>
        </w:rPr>
      </w:pPr>
      <w:r w:rsidRPr="00EE0C8C">
        <w:rPr>
          <w:rFonts w:ascii="Calibri" w:eastAsia="Times New Roman" w:hAnsi="Calibri" w:cs="Times New Roman"/>
          <w:i/>
          <w:lang w:eastAsia="pl-PL"/>
        </w:rPr>
        <w:t>Mapa 2- Położenie Gminy Mirzec na tle powiatu starachowickiego(Źródło: http://kielce.stat.gov.pl)</w:t>
      </w:r>
    </w:p>
    <w:p w:rsidR="00EE0C8C" w:rsidRPr="00EE0C8C" w:rsidRDefault="00EE0C8C" w:rsidP="00EE0C8C">
      <w:pPr>
        <w:jc w:val="center"/>
        <w:rPr>
          <w:rFonts w:ascii="Calibri" w:eastAsia="Times New Roman" w:hAnsi="Calibri" w:cs="Times New Roman"/>
          <w:lang w:eastAsia="pl-PL"/>
        </w:rPr>
      </w:pPr>
      <w:r w:rsidRPr="00EE0C8C">
        <w:rPr>
          <w:rFonts w:ascii="Calibri" w:eastAsia="Times New Roman" w:hAnsi="Calibri" w:cs="Times New Roman"/>
          <w:noProof/>
          <w:lang w:eastAsia="pl-PL"/>
        </w:rPr>
        <w:drawing>
          <wp:inline distT="0" distB="0" distL="0" distR="0" wp14:anchorId="1535F93B" wp14:editId="52A71018">
            <wp:extent cx="2971800" cy="2963215"/>
            <wp:effectExtent l="0" t="0" r="0" b="8890"/>
            <wp:docPr id="9" name="Obraz 9" descr="http://mirzec.pl/uploads/Dokumenty%202014/R%C3%B3%C5%BCne/Mirzec%20dro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irzec.pl/uploads/Dokumenty%202014/R%C3%B3%C5%BCne/Mirzec%20drogi.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30248"/>
                    <a:stretch/>
                  </pic:blipFill>
                  <pic:spPr bwMode="auto">
                    <a:xfrm>
                      <a:off x="0" y="0"/>
                      <a:ext cx="2975101" cy="2966506"/>
                    </a:xfrm>
                    <a:prstGeom prst="rect">
                      <a:avLst/>
                    </a:prstGeom>
                    <a:noFill/>
                    <a:ln>
                      <a:noFill/>
                    </a:ln>
                    <a:extLst>
                      <a:ext uri="{53640926-AAD7-44D8-BBD7-CCE9431645EC}">
                        <a14:shadowObscured xmlns:a14="http://schemas.microsoft.com/office/drawing/2010/main"/>
                      </a:ext>
                    </a:extLst>
                  </pic:spPr>
                </pic:pic>
              </a:graphicData>
            </a:graphic>
          </wp:inline>
        </w:drawing>
      </w:r>
    </w:p>
    <w:p w:rsidR="00EE0C8C" w:rsidRPr="00EE0C8C" w:rsidRDefault="00EE0C8C" w:rsidP="00EE0C8C">
      <w:pPr>
        <w:rPr>
          <w:rFonts w:ascii="Calibri" w:eastAsia="Times New Roman" w:hAnsi="Calibri" w:cs="Times New Roman"/>
          <w:i/>
          <w:lang w:eastAsia="pl-PL"/>
        </w:rPr>
      </w:pPr>
      <w:r w:rsidRPr="00EE0C8C">
        <w:rPr>
          <w:rFonts w:ascii="Calibri" w:eastAsia="Times New Roman" w:hAnsi="Calibri" w:cs="Times New Roman"/>
          <w:i/>
          <w:lang w:eastAsia="pl-PL"/>
        </w:rPr>
        <w:t>Mapa  3 – Gmina Mirzec (Źródło: Urząd Gminy Mirzec)</w:t>
      </w:r>
    </w:p>
    <w:p w:rsidR="00EE0C8C" w:rsidRPr="00EE0C8C" w:rsidRDefault="00EE0C8C" w:rsidP="00EE0C8C">
      <w:pPr>
        <w:jc w:val="both"/>
        <w:rPr>
          <w:rFonts w:ascii="Calibri" w:eastAsia="Times New Roman" w:hAnsi="Calibri" w:cs="Times New Roman"/>
          <w:b/>
          <w:bCs/>
          <w:i/>
          <w:lang w:eastAsia="pl-PL"/>
        </w:rPr>
      </w:pPr>
    </w:p>
    <w:p w:rsidR="00EE0C8C" w:rsidRPr="00EE0C8C" w:rsidRDefault="00EE0C8C" w:rsidP="00EE0C8C">
      <w:pPr>
        <w:jc w:val="both"/>
        <w:rPr>
          <w:rFonts w:ascii="Calibri" w:eastAsia="Times New Roman" w:hAnsi="Calibri" w:cs="Times New Roman"/>
          <w:b/>
          <w:bCs/>
          <w:i/>
          <w:lang w:eastAsia="pl-PL"/>
        </w:rPr>
      </w:pPr>
      <w:r w:rsidRPr="00EE0C8C">
        <w:rPr>
          <w:rFonts w:ascii="Calibri" w:eastAsia="Times New Roman" w:hAnsi="Calibri" w:cs="Times New Roman"/>
          <w:b/>
          <w:bCs/>
          <w:i/>
          <w:lang w:eastAsia="pl-PL"/>
        </w:rPr>
        <w:t>Historia Gminy Mirzec</w:t>
      </w:r>
    </w:p>
    <w:p w:rsidR="00EE0C8C" w:rsidRPr="00EE0C8C" w:rsidRDefault="00EE0C8C" w:rsidP="00EE0C8C">
      <w:pPr>
        <w:jc w:val="both"/>
        <w:rPr>
          <w:rFonts w:ascii="Calibri" w:eastAsia="Times New Roman" w:hAnsi="Calibri" w:cs="Times New Roman"/>
          <w:lang w:eastAsia="pl-PL"/>
        </w:rPr>
      </w:pPr>
      <w:r w:rsidRPr="00EE0C8C">
        <w:rPr>
          <w:rFonts w:ascii="Calibri" w:eastAsia="Times New Roman" w:hAnsi="Calibri" w:cs="Times New Roman"/>
          <w:lang w:eastAsia="pl-PL"/>
        </w:rPr>
        <w:t>W okolicach wsi Mirzec Podkowalów, Osiny-Mokre Niwy, Tychów i Jagodne w czasie prac archeologicznych odkryto grupę pieców dymarskich i żużla, pozostałości po starożytnym hutnictwie</w:t>
      </w:r>
      <w:r w:rsidRPr="00EE0C8C">
        <w:rPr>
          <w:rFonts w:ascii="Calibri" w:eastAsia="Times New Roman" w:hAnsi="Calibri" w:cs="Times New Roman"/>
          <w:lang w:eastAsia="pl-PL"/>
        </w:rPr>
        <w:br/>
        <w:t xml:space="preserve"> i górnictwie. Szacuje się, że powstały na pograniczu wczesnego i późnego okresu rzymskiego, czyli od II w. p.n.e. do III w. n.e.</w:t>
      </w:r>
    </w:p>
    <w:p w:rsidR="00EE0C8C" w:rsidRPr="00EE0C8C" w:rsidRDefault="00EE0C8C" w:rsidP="00EE0C8C">
      <w:pPr>
        <w:jc w:val="both"/>
        <w:rPr>
          <w:rFonts w:ascii="Calibri" w:eastAsia="Times New Roman" w:hAnsi="Calibri" w:cs="Times New Roman"/>
          <w:lang w:eastAsia="pl-PL"/>
        </w:rPr>
      </w:pPr>
      <w:r w:rsidRPr="00EE0C8C">
        <w:rPr>
          <w:rFonts w:ascii="Calibri" w:eastAsia="Times New Roman" w:hAnsi="Calibri" w:cs="Times New Roman"/>
          <w:lang w:eastAsia="pl-PL"/>
        </w:rPr>
        <w:t xml:space="preserve">Nie tylko pradawni poszukiwacze natrafili tu na złoża bogactw naturalnych. Obszar gminy stał się miejscem poszukiwań i eksploatacji rud żelaza w okresie rewolucji przemysłowej. Najwięcej robót </w:t>
      </w:r>
      <w:r w:rsidRPr="00EE0C8C">
        <w:rPr>
          <w:rFonts w:ascii="Calibri" w:eastAsia="Times New Roman" w:hAnsi="Calibri" w:cs="Times New Roman"/>
          <w:lang w:eastAsia="pl-PL"/>
        </w:rPr>
        <w:lastRenderedPageBreak/>
        <w:t xml:space="preserve">górniczych prowadzono tu na początku drugiej dekady XIX wieku w kopalni „Elżbieta” </w:t>
      </w:r>
      <w:r w:rsidRPr="00EE0C8C">
        <w:rPr>
          <w:rFonts w:ascii="Calibri" w:eastAsia="Times New Roman" w:hAnsi="Calibri" w:cs="Times New Roman"/>
          <w:lang w:eastAsia="pl-PL"/>
        </w:rPr>
        <w:br/>
        <w:t>i „Dziewiętniki”. W innych miejscach eksploatacji rud dokonywano wyłącznie metodą odkrywkową, głównie w obrębie pasa Tychowskiego. Wydobycie trwało niemal do końca XX wieku. Po ówczesnych górnikach pozostały jedynie częściowo zarośnięte wyrobiska kopalniane, lecz pamięć o starych kopalniach zachowała się w nazwach: Czerwona, Kanał, Płusy, Irena, Dziewiętniki.</w:t>
      </w:r>
    </w:p>
    <w:p w:rsidR="00EE0C8C" w:rsidRPr="00EE0C8C" w:rsidRDefault="00EE0C8C" w:rsidP="00EE0C8C">
      <w:pPr>
        <w:jc w:val="both"/>
        <w:rPr>
          <w:rFonts w:ascii="Calibri" w:eastAsia="Times New Roman" w:hAnsi="Calibri" w:cs="Times New Roman"/>
          <w:lang w:eastAsia="pl-PL"/>
        </w:rPr>
      </w:pPr>
      <w:r w:rsidRPr="00EE0C8C">
        <w:rPr>
          <w:rFonts w:ascii="Calibri" w:eastAsia="Times New Roman" w:hAnsi="Calibri" w:cs="Times New Roman"/>
          <w:lang w:eastAsia="pl-PL"/>
        </w:rPr>
        <w:t xml:space="preserve">Pierwsze zapiski dotyczące Mirca pochodzą z 1170 r., kiedy  biskup  krakowski Gedeon poświęcił kościółek w Mircu. W 1179 roku Mirzec wszedł w skład kompleksu wsi należących do Opactwa Cystersóww  Wąchocku. W roku 1819 dobra mirzeckie stały się własnością Komisji Skarbu Królestwa Polskiego, wówczas to utworzono folwark. W 1827r. naddzierżawcą majątku w Mircu został Ludwik Prendowski. On to w latach trzydziestych XIX wieku wybudował modrzewiowy dwór. Jego synowie chlubnie zapisali się w historii regionu. Jan wziął czynny udział w Powstaniu Styczniowym jako rotmistrz kawalerii w Oddziale Dionizego Czachowskiego. Jego młodszy brat Józef - kolejny po ojcu naddzierżawca majątku Mirzec, organizował pomoc dla powstańców. Służba dworska wzięła czynny udział w powstaniu. To w Mircu nocą z 14 na 15 stycznia 1863 roku zjawił się Ignacy Maciejewski „Sewer” w towarzystwie płk. Mariana Langiewicza - Naczelnika Wojskowego Województwa Sandomierskiego. Założył kwaterę i przystąpił do przygotowań powstańczych. Żona Józefa Prendowskiego - Jadwiga została kurierem powstańczym. Dostarczała rozkazy, ulotki, medykamenty, meldunki i polecenia kursując po całej Guberni Radomskiej. </w:t>
      </w:r>
    </w:p>
    <w:p w:rsidR="00EE0C8C" w:rsidRPr="00EE0C8C" w:rsidRDefault="00EE0C8C" w:rsidP="00EE0C8C">
      <w:pPr>
        <w:jc w:val="both"/>
        <w:rPr>
          <w:rFonts w:ascii="Calibri" w:eastAsia="Times New Roman" w:hAnsi="Calibri" w:cs="Times New Roman"/>
          <w:lang w:eastAsia="pl-PL"/>
        </w:rPr>
      </w:pPr>
      <w:r w:rsidRPr="00EE0C8C">
        <w:rPr>
          <w:rFonts w:ascii="Calibri" w:eastAsia="Times New Roman" w:hAnsi="Calibri" w:cs="Times New Roman"/>
          <w:lang w:eastAsia="pl-PL"/>
        </w:rPr>
        <w:t xml:space="preserve">Po upadku dyktatury Langiewicza Józef Prendowski  został Komisarzem Rządu Narodowego na województwo sandomierskie.  Jeszcze w 1863 roku oboje zostali aresztowani. Jadwigę skazano na zesłanie do Kunguru w Guberni Permskiej a Józefa za kaucją zwolniono. Podążył jednak i on za żoną na zesłanie. Do kraju wrócili wiosną 1866r. Wyczerpany Józef zmarł w 1872 roku </w:t>
      </w:r>
      <w:r w:rsidRPr="00EE0C8C">
        <w:rPr>
          <w:rFonts w:ascii="Calibri" w:eastAsia="Times New Roman" w:hAnsi="Calibri" w:cs="Times New Roman"/>
          <w:lang w:eastAsia="pl-PL"/>
        </w:rPr>
        <w:br/>
        <w:t xml:space="preserve">i został pochowany na cmentarzu parafialnym w Mircu (grób znajduje się w południowo-wschodniej części cmentarza). Jadwiga z gromadką dzieci została zdana na własne siły. Opuściła Mirzec </w:t>
      </w:r>
      <w:r w:rsidRPr="00EE0C8C">
        <w:rPr>
          <w:rFonts w:ascii="Calibri" w:eastAsia="Times New Roman" w:hAnsi="Calibri" w:cs="Times New Roman"/>
          <w:lang w:eastAsia="pl-PL"/>
        </w:rPr>
        <w:br/>
        <w:t xml:space="preserve">i mieszkała w Ostrowcu, Sandomierzu, Radomiu i Czyżowie Szlacheckim. Zmarła w 1915 roku </w:t>
      </w:r>
      <w:r w:rsidRPr="00EE0C8C">
        <w:rPr>
          <w:rFonts w:ascii="Calibri" w:eastAsia="Times New Roman" w:hAnsi="Calibri" w:cs="Times New Roman"/>
          <w:lang w:eastAsia="pl-PL"/>
        </w:rPr>
        <w:br/>
        <w:t>w Czyżowie i tam została pochowana. Zostawiła po sobie pamiętnik z okresu powstania styczniowego pt. „Moje wspomnienia”, który został wydany drukiem w 100-lecie wydarzeń.</w:t>
      </w:r>
    </w:p>
    <w:p w:rsidR="00EE0C8C" w:rsidRPr="00EE0C8C" w:rsidRDefault="00EE0C8C" w:rsidP="00EE0C8C">
      <w:pPr>
        <w:jc w:val="both"/>
        <w:rPr>
          <w:rFonts w:ascii="Calibri" w:eastAsia="Times New Roman" w:hAnsi="Calibri" w:cs="Times New Roman"/>
          <w:lang w:eastAsia="pl-PL"/>
        </w:rPr>
      </w:pPr>
      <w:r w:rsidRPr="00EE0C8C">
        <w:rPr>
          <w:rFonts w:ascii="Calibri" w:eastAsia="Times New Roman" w:hAnsi="Calibri" w:cs="Times New Roman"/>
          <w:lang w:eastAsia="pl-PL"/>
        </w:rPr>
        <w:t>W okresie międzywojennym, dzięki aktywności władz samorządowych  oraz  wojewodzie  kieleckiemu,  doszło  do  znaczącego  rozwoju  gospodarczego  Mirca. Pierwszym wójtem po odzyskaniu niepodległości w 1918 r. został Stanisław Dygas, który wybudował w  centrum Mirca budynek administracyjny gminy.</w:t>
      </w:r>
    </w:p>
    <w:p w:rsidR="00EE0C8C" w:rsidRPr="00EE0C8C" w:rsidRDefault="00EE0C8C" w:rsidP="00EE0C8C">
      <w:pPr>
        <w:jc w:val="both"/>
        <w:rPr>
          <w:rFonts w:ascii="Calibri" w:eastAsia="Times New Roman" w:hAnsi="Calibri" w:cs="Times New Roman"/>
          <w:lang w:eastAsia="pl-PL"/>
        </w:rPr>
      </w:pPr>
      <w:r w:rsidRPr="00EE0C8C">
        <w:rPr>
          <w:rFonts w:ascii="Calibri" w:eastAsia="Times New Roman" w:hAnsi="Calibri" w:cs="Times New Roman"/>
          <w:lang w:eastAsia="pl-PL"/>
        </w:rPr>
        <w:t>Działania wojenne I, a szczególnie II wojny światowej zostawiły ślady na terenie gminy. Lasy dawały schronienie partyzantom. Dochodziło do licznych walk z okupantem oddziałów Armii Krajowej, Batalionów Chłopskich i Armii Ludowej. Największe z nich to bitwy Armii Krajowej - Oddziału „Jędrusie” pod Tychowem w dniu 17 listopada 1944 roku, również pod Tychowem - Batalionów Chłopskich w dniu   6 sierpnia 1944 roku oraz pod Gadką w dniu 3 września 1944 roku.</w:t>
      </w:r>
    </w:p>
    <w:p w:rsidR="00EE0C8C" w:rsidRPr="008903A4" w:rsidRDefault="00EE0C8C" w:rsidP="008903A4">
      <w:pPr>
        <w:jc w:val="both"/>
        <w:rPr>
          <w:rFonts w:ascii="Calibri" w:eastAsia="Times New Roman" w:hAnsi="Calibri" w:cs="Times New Roman"/>
          <w:lang w:eastAsia="pl-PL"/>
        </w:rPr>
      </w:pPr>
      <w:r w:rsidRPr="00EE0C8C">
        <w:rPr>
          <w:rFonts w:ascii="Calibri" w:eastAsia="Times New Roman" w:hAnsi="Calibri" w:cs="Times New Roman"/>
          <w:lang w:eastAsia="pl-PL"/>
        </w:rPr>
        <w:t>Od  1976  roku Gmina  Mirzec obejmowała  niemal  cały  obszar  obecnej  gminy  Skarżysko  Kościelne,  w  1995  oddzieliły  się  od  niej sołectwa:  Skarżysko  Kościelne,  Jagodne,  Lipowe  Pole  Plebańskie,  Lipowe  Pole  Skarbowe  Świerczek i Grzybowa Góra i utworzyły nową gminę Skarżysko Kościelne, a w 1997r. do gminy Mirzec powróciło sołectwo Jagodne.</w:t>
      </w:r>
    </w:p>
    <w:p w:rsidR="00EE0C8C" w:rsidRPr="00EE0C8C" w:rsidRDefault="00EE0C8C" w:rsidP="00A76BDB">
      <w:pPr>
        <w:pStyle w:val="Nagwek2"/>
        <w:rPr>
          <w:lang w:eastAsia="pl-PL"/>
        </w:rPr>
      </w:pPr>
      <w:bookmarkStart w:id="32" w:name="_Toc432515199"/>
      <w:bookmarkStart w:id="33" w:name="_Toc439077751"/>
      <w:bookmarkStart w:id="34" w:name="_Toc449963534"/>
      <w:bookmarkStart w:id="35" w:name="_Toc450562476"/>
      <w:r w:rsidRPr="00EE0C8C">
        <w:rPr>
          <w:lang w:eastAsia="pl-PL"/>
        </w:rPr>
        <w:lastRenderedPageBreak/>
        <w:t>2.1.2. PODZIAŁ ADMINISTRACYJNY GMINY</w:t>
      </w:r>
      <w:bookmarkEnd w:id="32"/>
      <w:bookmarkEnd w:id="33"/>
      <w:bookmarkEnd w:id="34"/>
      <w:bookmarkEnd w:id="35"/>
    </w:p>
    <w:p w:rsidR="00EE0C8C" w:rsidRPr="00EE0C8C" w:rsidRDefault="00EE0C8C" w:rsidP="00EE0C8C">
      <w:pPr>
        <w:jc w:val="both"/>
        <w:rPr>
          <w:rFonts w:ascii="Calibri" w:eastAsia="Times New Roman" w:hAnsi="Calibri" w:cs="Times New Roman"/>
          <w:lang w:eastAsia="pl-PL"/>
        </w:rPr>
      </w:pPr>
    </w:p>
    <w:p w:rsidR="00EE0C8C" w:rsidRPr="00EE0C8C" w:rsidRDefault="00EE0C8C" w:rsidP="00EE0C8C">
      <w:pPr>
        <w:jc w:val="both"/>
        <w:rPr>
          <w:rFonts w:ascii="Calibri" w:eastAsia="Times New Roman" w:hAnsi="Calibri" w:cs="Times New Roman"/>
          <w:lang w:eastAsia="pl-PL"/>
        </w:rPr>
      </w:pPr>
      <w:r w:rsidRPr="00EE0C8C">
        <w:rPr>
          <w:rFonts w:ascii="Calibri" w:eastAsia="Times New Roman" w:hAnsi="Calibri" w:cs="Times New Roman"/>
          <w:lang w:eastAsia="pl-PL"/>
        </w:rPr>
        <w:t>Gmina Mirzec to gmina wiejska w województwie świętokrzyskim, w powiecie starachowickim. W latach 1975-1998 gmina położona była w województwie kieleckim. Siedziba gminy to miejscowość Mirzec.</w:t>
      </w:r>
    </w:p>
    <w:p w:rsidR="00EE0C8C" w:rsidRPr="00EE0C8C" w:rsidRDefault="00EE0C8C" w:rsidP="00EE0C8C">
      <w:pPr>
        <w:jc w:val="both"/>
        <w:rPr>
          <w:rFonts w:ascii="Calibri" w:eastAsia="Times New Roman" w:hAnsi="Calibri" w:cs="Times New Roman"/>
          <w:lang w:eastAsia="pl-PL"/>
        </w:rPr>
      </w:pPr>
      <w:r w:rsidRPr="00EE0C8C">
        <w:rPr>
          <w:rFonts w:ascii="Calibri" w:eastAsia="Times New Roman" w:hAnsi="Calibri" w:cs="Times New Roman"/>
          <w:lang w:eastAsia="pl-PL"/>
        </w:rPr>
        <w:t>Gmina Mirzec obejmuje 10 sołectw: Gadka, Jagodne, Małyszyn, Mirzec I, Mirzec II, Osiny,</w:t>
      </w:r>
      <w:r w:rsidR="00B4612A">
        <w:rPr>
          <w:rFonts w:ascii="Calibri" w:eastAsia="Times New Roman" w:hAnsi="Calibri" w:cs="Times New Roman"/>
          <w:lang w:eastAsia="pl-PL"/>
        </w:rPr>
        <w:t xml:space="preserve"> Ostrożanka, Trębowiec, Tychów Nowy</w:t>
      </w:r>
      <w:r w:rsidRPr="00EE0C8C">
        <w:rPr>
          <w:rFonts w:ascii="Calibri" w:eastAsia="Times New Roman" w:hAnsi="Calibri" w:cs="Times New Roman"/>
          <w:lang w:eastAsia="pl-PL"/>
        </w:rPr>
        <w:t xml:space="preserve"> i Tychów Stary. Powierzchnia całej Gminy to 111 km</w:t>
      </w:r>
      <w:r w:rsidRPr="00EE0C8C">
        <w:rPr>
          <w:rFonts w:ascii="Calibri" w:eastAsia="Times New Roman" w:hAnsi="Calibri" w:cs="Times New Roman"/>
          <w:vertAlign w:val="superscript"/>
          <w:lang w:eastAsia="pl-PL"/>
        </w:rPr>
        <w:t>2</w:t>
      </w:r>
      <w:r w:rsidRPr="00EE0C8C">
        <w:rPr>
          <w:rFonts w:ascii="Calibri" w:eastAsia="Times New Roman" w:hAnsi="Calibri" w:cs="Times New Roman"/>
          <w:lang w:eastAsia="pl-PL"/>
        </w:rPr>
        <w:t>.</w:t>
      </w:r>
    </w:p>
    <w:tbl>
      <w:tblPr>
        <w:tblStyle w:val="Jasnecieniowanieakcent51"/>
        <w:tblW w:w="9379" w:type="dxa"/>
        <w:tblLook w:val="04A0" w:firstRow="1" w:lastRow="0" w:firstColumn="1" w:lastColumn="0" w:noHBand="0" w:noVBand="1"/>
      </w:tblPr>
      <w:tblGrid>
        <w:gridCol w:w="3284"/>
        <w:gridCol w:w="1214"/>
        <w:gridCol w:w="1143"/>
        <w:gridCol w:w="3738"/>
      </w:tblGrid>
      <w:tr w:rsidR="00EE0C8C" w:rsidRPr="00EE0C8C" w:rsidTr="00A76BDB">
        <w:trPr>
          <w:cnfStyle w:val="100000000000" w:firstRow="1" w:lastRow="0" w:firstColumn="0" w:lastColumn="0" w:oddVBand="0" w:evenVBand="0" w:oddHBand="0"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0" w:type="auto"/>
            <w:hideMark/>
          </w:tcPr>
          <w:p w:rsidR="00EE0C8C" w:rsidRPr="00EE0C8C" w:rsidRDefault="00EE0C8C" w:rsidP="00EE0C8C">
            <w:pPr>
              <w:jc w:val="center"/>
              <w:rPr>
                <w:rFonts w:ascii="Times New Roman" w:eastAsia="Times New Roman" w:hAnsi="Times New Roman" w:cs="Times New Roman"/>
                <w:sz w:val="24"/>
                <w:szCs w:val="24"/>
                <w:lang w:eastAsia="pl-PL"/>
              </w:rPr>
            </w:pPr>
            <w:r w:rsidRPr="00EE0C8C">
              <w:rPr>
                <w:rFonts w:ascii="Times New Roman" w:eastAsia="Times New Roman" w:hAnsi="Times New Roman" w:cs="Times New Roman"/>
                <w:sz w:val="24"/>
                <w:szCs w:val="24"/>
                <w:lang w:eastAsia="pl-PL"/>
              </w:rPr>
              <w:t> </w:t>
            </w:r>
          </w:p>
        </w:tc>
        <w:tc>
          <w:tcPr>
            <w:tcW w:w="0" w:type="auto"/>
            <w:hideMark/>
          </w:tcPr>
          <w:p w:rsidR="00EE0C8C" w:rsidRPr="00EE0C8C" w:rsidRDefault="00EE0C8C" w:rsidP="00EE0C8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p>
        </w:tc>
        <w:tc>
          <w:tcPr>
            <w:tcW w:w="0" w:type="auto"/>
            <w:hideMark/>
          </w:tcPr>
          <w:p w:rsidR="00EE0C8C" w:rsidRPr="00EE0C8C" w:rsidRDefault="00EE0C8C" w:rsidP="00EE0C8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EE0C8C">
              <w:rPr>
                <w:rFonts w:ascii="Times New Roman" w:eastAsia="Times New Roman" w:hAnsi="Times New Roman" w:cs="Times New Roman"/>
                <w:sz w:val="24"/>
                <w:szCs w:val="24"/>
                <w:lang w:eastAsia="pl-PL"/>
              </w:rPr>
              <w:t>Jedn. miary.</w:t>
            </w:r>
          </w:p>
        </w:tc>
        <w:tc>
          <w:tcPr>
            <w:tcW w:w="3738" w:type="dxa"/>
            <w:hideMark/>
          </w:tcPr>
          <w:p w:rsidR="00EE0C8C" w:rsidRPr="00EE0C8C" w:rsidRDefault="00EE0C8C" w:rsidP="00EE0C8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EE0C8C">
              <w:rPr>
                <w:rFonts w:ascii="Times New Roman" w:eastAsia="Times New Roman" w:hAnsi="Times New Roman" w:cs="Times New Roman"/>
                <w:sz w:val="24"/>
                <w:szCs w:val="24"/>
                <w:lang w:eastAsia="pl-PL"/>
              </w:rPr>
              <w:t>Rok 2015</w:t>
            </w:r>
          </w:p>
        </w:tc>
      </w:tr>
      <w:tr w:rsidR="00EE0C8C" w:rsidRPr="00EE0C8C" w:rsidTr="00A76BDB">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9378" w:type="dxa"/>
            <w:gridSpan w:val="4"/>
            <w:hideMark/>
          </w:tcPr>
          <w:p w:rsidR="00EE0C8C" w:rsidRPr="00EE0C8C" w:rsidRDefault="00EE0C8C" w:rsidP="00EE0C8C">
            <w:pPr>
              <w:rPr>
                <w:rFonts w:ascii="Times New Roman" w:eastAsia="Times New Roman" w:hAnsi="Times New Roman" w:cs="Times New Roman"/>
                <w:sz w:val="24"/>
                <w:szCs w:val="24"/>
                <w:lang w:eastAsia="pl-PL"/>
              </w:rPr>
            </w:pPr>
            <w:r w:rsidRPr="00EE0C8C">
              <w:rPr>
                <w:rFonts w:ascii="Times New Roman" w:eastAsia="Times New Roman" w:hAnsi="Times New Roman" w:cs="Times New Roman"/>
                <w:sz w:val="24"/>
                <w:szCs w:val="24"/>
                <w:lang w:eastAsia="pl-PL"/>
              </w:rPr>
              <w:t>PODZIAŁ TERYTORIALNY (STAN W DNIU 31 XII)</w:t>
            </w:r>
          </w:p>
        </w:tc>
      </w:tr>
      <w:tr w:rsidR="00EE0C8C" w:rsidRPr="00EE0C8C" w:rsidTr="00A76BDB">
        <w:trPr>
          <w:trHeight w:val="387"/>
        </w:trPr>
        <w:tc>
          <w:tcPr>
            <w:cnfStyle w:val="001000000000" w:firstRow="0" w:lastRow="0" w:firstColumn="1" w:lastColumn="0" w:oddVBand="0" w:evenVBand="0" w:oddHBand="0" w:evenHBand="0" w:firstRowFirstColumn="0" w:firstRowLastColumn="0" w:lastRowFirstColumn="0" w:lastRowLastColumn="0"/>
            <w:tcW w:w="0" w:type="auto"/>
            <w:hideMark/>
          </w:tcPr>
          <w:p w:rsidR="00EE0C8C" w:rsidRPr="00EE0C8C" w:rsidRDefault="00EE0C8C" w:rsidP="00EE0C8C">
            <w:pPr>
              <w:rPr>
                <w:rFonts w:ascii="Times New Roman" w:eastAsia="Times New Roman" w:hAnsi="Times New Roman" w:cs="Times New Roman"/>
                <w:sz w:val="24"/>
                <w:szCs w:val="24"/>
                <w:lang w:eastAsia="pl-PL"/>
              </w:rPr>
            </w:pPr>
            <w:r w:rsidRPr="00EE0C8C">
              <w:rPr>
                <w:rFonts w:ascii="Times New Roman" w:eastAsia="Times New Roman" w:hAnsi="Times New Roman" w:cs="Times New Roman"/>
                <w:sz w:val="24"/>
                <w:szCs w:val="24"/>
                <w:lang w:eastAsia="pl-PL"/>
              </w:rPr>
              <w:t>Miejscowości podstawowe ogółem</w:t>
            </w:r>
          </w:p>
        </w:tc>
        <w:tc>
          <w:tcPr>
            <w:tcW w:w="1214" w:type="dxa"/>
            <w:hideMark/>
          </w:tcPr>
          <w:p w:rsidR="00EE0C8C" w:rsidRPr="00EE0C8C" w:rsidRDefault="00EE0C8C" w:rsidP="00EE0C8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p>
        </w:tc>
        <w:tc>
          <w:tcPr>
            <w:tcW w:w="1143" w:type="dxa"/>
            <w:hideMark/>
          </w:tcPr>
          <w:p w:rsidR="00EE0C8C" w:rsidRPr="00EE0C8C" w:rsidRDefault="00EE0C8C" w:rsidP="00EE0C8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p>
        </w:tc>
        <w:tc>
          <w:tcPr>
            <w:tcW w:w="3738" w:type="dxa"/>
            <w:hideMark/>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pl-PL"/>
              </w:rPr>
            </w:pPr>
            <w:r w:rsidRPr="00EE0C8C">
              <w:rPr>
                <w:rFonts w:ascii="Times New Roman" w:eastAsia="Times New Roman" w:hAnsi="Times New Roman" w:cs="Times New Roman"/>
                <w:b/>
                <w:sz w:val="24"/>
                <w:szCs w:val="24"/>
                <w:lang w:eastAsia="pl-PL"/>
              </w:rPr>
              <w:t>19</w:t>
            </w:r>
          </w:p>
        </w:tc>
      </w:tr>
      <w:tr w:rsidR="00EE0C8C" w:rsidRPr="00EE0C8C" w:rsidTr="00A76BDB">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0" w:type="auto"/>
            <w:hideMark/>
          </w:tcPr>
          <w:p w:rsidR="00EE0C8C" w:rsidRPr="00EE0C8C" w:rsidRDefault="00EE0C8C" w:rsidP="00EE0C8C">
            <w:pPr>
              <w:rPr>
                <w:rFonts w:ascii="Times New Roman" w:eastAsia="Times New Roman" w:hAnsi="Times New Roman" w:cs="Times New Roman"/>
                <w:sz w:val="24"/>
                <w:szCs w:val="24"/>
                <w:lang w:eastAsia="pl-PL"/>
              </w:rPr>
            </w:pPr>
            <w:r w:rsidRPr="00EE0C8C">
              <w:rPr>
                <w:rFonts w:ascii="Times New Roman" w:eastAsia="Times New Roman" w:hAnsi="Times New Roman" w:cs="Times New Roman"/>
                <w:sz w:val="24"/>
                <w:szCs w:val="24"/>
                <w:lang w:eastAsia="pl-PL"/>
              </w:rPr>
              <w:t>Sołectwa</w:t>
            </w:r>
          </w:p>
        </w:tc>
        <w:tc>
          <w:tcPr>
            <w:tcW w:w="1214" w:type="dxa"/>
            <w:hideMark/>
          </w:tcPr>
          <w:p w:rsidR="00EE0C8C" w:rsidRPr="00EE0C8C" w:rsidRDefault="00EE0C8C" w:rsidP="00EE0C8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p>
        </w:tc>
        <w:tc>
          <w:tcPr>
            <w:tcW w:w="1143" w:type="dxa"/>
            <w:hideMark/>
          </w:tcPr>
          <w:p w:rsidR="00EE0C8C" w:rsidRPr="00EE0C8C" w:rsidRDefault="00EE0C8C" w:rsidP="00EE0C8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p>
        </w:tc>
        <w:tc>
          <w:tcPr>
            <w:tcW w:w="3738" w:type="dxa"/>
            <w:hideMark/>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pl-PL"/>
              </w:rPr>
            </w:pPr>
            <w:r w:rsidRPr="00EE0C8C">
              <w:rPr>
                <w:rFonts w:ascii="Times New Roman" w:eastAsia="Times New Roman" w:hAnsi="Times New Roman" w:cs="Times New Roman"/>
                <w:b/>
                <w:sz w:val="24"/>
                <w:szCs w:val="24"/>
                <w:lang w:eastAsia="pl-PL"/>
              </w:rPr>
              <w:t>10</w:t>
            </w:r>
          </w:p>
        </w:tc>
      </w:tr>
      <w:tr w:rsidR="00EE0C8C" w:rsidRPr="00EE0C8C" w:rsidTr="00A76BDB">
        <w:trPr>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EE0C8C" w:rsidRPr="00EE0C8C" w:rsidRDefault="00B05FB3" w:rsidP="00EE0C8C">
            <w:pPr>
              <w:rPr>
                <w:rFonts w:ascii="Times New Roman" w:eastAsia="Times New Roman" w:hAnsi="Times New Roman" w:cs="Times New Roman"/>
                <w:sz w:val="24"/>
                <w:szCs w:val="24"/>
                <w:lang w:eastAsia="pl-PL"/>
              </w:rPr>
            </w:pPr>
            <w:hyperlink r:id="rId20" w:tooltip="* Od 2006 r. dane różnią się od wykazanych wg stanu w dniu 01.01.2005 r., ponieważ ustalone zostały znacznie dokładniejszą metodą, opartą o dane komputerowej bazy Państwowego Rejestru Granic. Ponadto, w  danych o powierzchni uwzględniono nie tylko wprowadzone " w:history="1">
              <w:r w:rsidR="00EE0C8C" w:rsidRPr="00EE0C8C">
                <w:rPr>
                  <w:rFonts w:ascii="Times New Roman" w:eastAsia="Times New Roman" w:hAnsi="Times New Roman" w:cs="Times New Roman"/>
                  <w:sz w:val="24"/>
                  <w:szCs w:val="24"/>
                  <w:lang w:eastAsia="pl-PL"/>
                </w:rPr>
                <w:t>Powierzchnia*</w:t>
              </w:r>
            </w:hyperlink>
          </w:p>
        </w:tc>
        <w:tc>
          <w:tcPr>
            <w:tcW w:w="1214" w:type="dxa"/>
            <w:hideMark/>
          </w:tcPr>
          <w:p w:rsidR="00EE0C8C" w:rsidRPr="00EE0C8C" w:rsidRDefault="00EE0C8C" w:rsidP="00EE0C8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p>
        </w:tc>
        <w:tc>
          <w:tcPr>
            <w:tcW w:w="1143" w:type="dxa"/>
            <w:hideMark/>
          </w:tcPr>
          <w:p w:rsidR="00EE0C8C" w:rsidRPr="00EE0C8C" w:rsidRDefault="00EE0C8C" w:rsidP="00EE0C8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EE0C8C">
              <w:rPr>
                <w:rFonts w:ascii="Times New Roman" w:eastAsia="Times New Roman" w:hAnsi="Times New Roman" w:cs="Times New Roman"/>
                <w:sz w:val="24"/>
                <w:szCs w:val="24"/>
                <w:lang w:eastAsia="pl-PL"/>
              </w:rPr>
              <w:t>ha</w:t>
            </w:r>
          </w:p>
        </w:tc>
        <w:tc>
          <w:tcPr>
            <w:tcW w:w="3738" w:type="dxa"/>
            <w:hideMark/>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pl-PL"/>
              </w:rPr>
            </w:pPr>
            <w:r w:rsidRPr="00EE0C8C">
              <w:rPr>
                <w:rFonts w:ascii="Times New Roman" w:eastAsia="Times New Roman" w:hAnsi="Times New Roman" w:cs="Times New Roman"/>
                <w:b/>
                <w:sz w:val="24"/>
                <w:szCs w:val="24"/>
                <w:lang w:eastAsia="pl-PL"/>
              </w:rPr>
              <w:t>11111</w:t>
            </w:r>
          </w:p>
        </w:tc>
      </w:tr>
    </w:tbl>
    <w:p w:rsidR="00EE0C8C" w:rsidRPr="00EE0C8C" w:rsidRDefault="00EE0C8C" w:rsidP="00EE0C8C">
      <w:pPr>
        <w:jc w:val="center"/>
        <w:rPr>
          <w:rFonts w:ascii="Calibri" w:eastAsia="Times New Roman" w:hAnsi="Calibri" w:cs="Times New Roman"/>
          <w:i/>
          <w:lang w:eastAsia="pl-PL"/>
        </w:rPr>
      </w:pPr>
      <w:r w:rsidRPr="00EE0C8C">
        <w:rPr>
          <w:rFonts w:ascii="Calibri" w:eastAsia="Times New Roman" w:hAnsi="Calibri" w:cs="Times New Roman"/>
          <w:i/>
          <w:lang w:eastAsia="pl-PL"/>
        </w:rPr>
        <w:t>Źródło: Bank Danych Lokalnych</w:t>
      </w:r>
    </w:p>
    <w:tbl>
      <w:tblPr>
        <w:tblStyle w:val="Jasnalistaakcent51"/>
        <w:tblW w:w="9357" w:type="dxa"/>
        <w:tblLook w:val="01E0" w:firstRow="1" w:lastRow="1" w:firstColumn="1" w:lastColumn="1" w:noHBand="0" w:noVBand="0"/>
      </w:tblPr>
      <w:tblGrid>
        <w:gridCol w:w="635"/>
        <w:gridCol w:w="2778"/>
        <w:gridCol w:w="5944"/>
      </w:tblGrid>
      <w:tr w:rsidR="00EE0C8C" w:rsidRPr="00EE0C8C" w:rsidTr="00A76BDB">
        <w:trPr>
          <w:cnfStyle w:val="100000000000" w:firstRow="1" w:lastRow="0" w:firstColumn="0" w:lastColumn="0" w:oddVBand="0" w:evenVBand="0" w:oddHBand="0"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635" w:type="dxa"/>
            <w:hideMark/>
          </w:tcPr>
          <w:p w:rsidR="00EE0C8C" w:rsidRPr="00EE0C8C" w:rsidRDefault="00EE0C8C" w:rsidP="00EE0C8C">
            <w:pPr>
              <w:spacing w:line="360" w:lineRule="auto"/>
              <w:jc w:val="center"/>
              <w:rPr>
                <w:rFonts w:ascii="Arial" w:eastAsia="Times New Roman" w:hAnsi="Arial" w:cs="Arial"/>
                <w:lang w:eastAsia="pl-PL"/>
              </w:rPr>
            </w:pPr>
            <w:r w:rsidRPr="00EE0C8C">
              <w:rPr>
                <w:rFonts w:ascii="Arial" w:eastAsia="Times New Roman" w:hAnsi="Arial" w:cs="Arial"/>
                <w:color w:val="000000"/>
                <w:kern w:val="24"/>
                <w:lang w:eastAsia="pl-PL"/>
              </w:rPr>
              <w:t>Lp.</w:t>
            </w:r>
          </w:p>
        </w:tc>
        <w:tc>
          <w:tcPr>
            <w:cnfStyle w:val="000010000000" w:firstRow="0" w:lastRow="0" w:firstColumn="0" w:lastColumn="0" w:oddVBand="1" w:evenVBand="0" w:oddHBand="0" w:evenHBand="0" w:firstRowFirstColumn="0" w:firstRowLastColumn="0" w:lastRowFirstColumn="0" w:lastRowLastColumn="0"/>
            <w:tcW w:w="2778" w:type="dxa"/>
            <w:hideMark/>
          </w:tcPr>
          <w:p w:rsidR="00EE0C8C" w:rsidRPr="00EE0C8C" w:rsidRDefault="00EE0C8C" w:rsidP="00EE0C8C">
            <w:pPr>
              <w:spacing w:line="360" w:lineRule="auto"/>
              <w:jc w:val="center"/>
              <w:rPr>
                <w:rFonts w:ascii="Arial" w:eastAsia="Times New Roman" w:hAnsi="Arial" w:cs="Arial"/>
                <w:lang w:eastAsia="pl-PL"/>
              </w:rPr>
            </w:pPr>
            <w:r w:rsidRPr="00EE0C8C">
              <w:rPr>
                <w:rFonts w:ascii="Arial" w:eastAsia="Times New Roman" w:hAnsi="Arial" w:cs="Arial"/>
                <w:color w:val="000000"/>
                <w:kern w:val="24"/>
                <w:lang w:eastAsia="pl-PL"/>
              </w:rPr>
              <w:t> Sołectwo</w:t>
            </w:r>
          </w:p>
        </w:tc>
        <w:tc>
          <w:tcPr>
            <w:cnfStyle w:val="000100000000" w:firstRow="0" w:lastRow="0" w:firstColumn="0" w:lastColumn="1" w:oddVBand="0" w:evenVBand="0" w:oddHBand="0" w:evenHBand="0" w:firstRowFirstColumn="0" w:firstRowLastColumn="0" w:lastRowFirstColumn="0" w:lastRowLastColumn="0"/>
            <w:tcW w:w="5944" w:type="dxa"/>
            <w:hideMark/>
          </w:tcPr>
          <w:p w:rsidR="00EE0C8C" w:rsidRPr="00EE0C8C" w:rsidRDefault="00EE0C8C" w:rsidP="00EE0C8C">
            <w:pPr>
              <w:spacing w:line="360" w:lineRule="auto"/>
              <w:jc w:val="center"/>
              <w:rPr>
                <w:rFonts w:ascii="Arial" w:eastAsia="Times New Roman" w:hAnsi="Arial" w:cs="Arial"/>
                <w:lang w:eastAsia="pl-PL"/>
              </w:rPr>
            </w:pPr>
            <w:r w:rsidRPr="00EE0C8C">
              <w:rPr>
                <w:rFonts w:ascii="Arial" w:eastAsia="Times New Roman" w:hAnsi="Arial" w:cs="Arial"/>
                <w:color w:val="000000"/>
                <w:kern w:val="24"/>
                <w:lang w:eastAsia="pl-PL"/>
              </w:rPr>
              <w:t>Pow. ewid.w km</w:t>
            </w:r>
            <w:r w:rsidRPr="00EE0C8C">
              <w:rPr>
                <w:rFonts w:ascii="Arial" w:eastAsia="Times New Roman" w:hAnsi="Arial" w:cs="Arial"/>
                <w:color w:val="000000"/>
                <w:kern w:val="24"/>
                <w:position w:val="7"/>
                <w:vertAlign w:val="superscript"/>
                <w:lang w:eastAsia="pl-PL"/>
              </w:rPr>
              <w:t>2</w:t>
            </w:r>
          </w:p>
        </w:tc>
      </w:tr>
      <w:tr w:rsidR="00EE0C8C" w:rsidRPr="00EE0C8C" w:rsidTr="00A76BDB">
        <w:trPr>
          <w:cnfStyle w:val="000000100000" w:firstRow="0" w:lastRow="0" w:firstColumn="0" w:lastColumn="0" w:oddVBand="0" w:evenVBand="0" w:oddHBand="1" w:evenHBand="0" w:firstRowFirstColumn="0" w:firstRowLastColumn="0" w:lastRowFirstColumn="0" w:lastRowLastColumn="0"/>
          <w:trHeight w:val="2007"/>
        </w:trPr>
        <w:tc>
          <w:tcPr>
            <w:cnfStyle w:val="001000000000" w:firstRow="0" w:lastRow="0" w:firstColumn="1" w:lastColumn="0" w:oddVBand="0" w:evenVBand="0" w:oddHBand="0" w:evenHBand="0" w:firstRowFirstColumn="0" w:firstRowLastColumn="0" w:lastRowFirstColumn="0" w:lastRowLastColumn="0"/>
            <w:tcW w:w="635" w:type="dxa"/>
            <w:hideMark/>
          </w:tcPr>
          <w:p w:rsidR="00EE0C8C" w:rsidRPr="00EE0C8C" w:rsidRDefault="00EE0C8C" w:rsidP="00EE0C8C">
            <w:pPr>
              <w:shd w:val="clear" w:color="auto" w:fill="92CDDC"/>
              <w:spacing w:line="360" w:lineRule="auto"/>
              <w:jc w:val="center"/>
              <w:rPr>
                <w:rFonts w:ascii="Arial" w:eastAsia="Times New Roman" w:hAnsi="Arial" w:cs="Arial"/>
                <w:lang w:eastAsia="pl-PL"/>
              </w:rPr>
            </w:pPr>
            <w:r w:rsidRPr="00EE0C8C">
              <w:rPr>
                <w:rFonts w:ascii="Arial" w:eastAsia="Times New Roman" w:hAnsi="Arial" w:cs="Arial"/>
                <w:color w:val="000000"/>
                <w:kern w:val="24"/>
                <w:lang w:eastAsia="pl-PL"/>
              </w:rPr>
              <w:t>1.</w:t>
            </w:r>
          </w:p>
          <w:p w:rsidR="00EE0C8C" w:rsidRPr="00EE0C8C" w:rsidRDefault="00EE0C8C" w:rsidP="00EE0C8C">
            <w:pPr>
              <w:shd w:val="clear" w:color="auto" w:fill="92CDDC"/>
              <w:spacing w:line="360" w:lineRule="auto"/>
              <w:jc w:val="center"/>
              <w:rPr>
                <w:rFonts w:ascii="Arial" w:eastAsia="Times New Roman" w:hAnsi="Arial" w:cs="Arial"/>
                <w:lang w:eastAsia="pl-PL"/>
              </w:rPr>
            </w:pPr>
            <w:r w:rsidRPr="00EE0C8C">
              <w:rPr>
                <w:rFonts w:ascii="Arial" w:eastAsia="Times New Roman" w:hAnsi="Arial" w:cs="Arial"/>
                <w:color w:val="000000"/>
                <w:kern w:val="24"/>
                <w:lang w:eastAsia="pl-PL"/>
              </w:rPr>
              <w:t>2.</w:t>
            </w:r>
          </w:p>
          <w:p w:rsidR="00EE0C8C" w:rsidRPr="00EE0C8C" w:rsidRDefault="00EE0C8C" w:rsidP="00EE0C8C">
            <w:pPr>
              <w:shd w:val="clear" w:color="auto" w:fill="92CDDC"/>
              <w:spacing w:line="360" w:lineRule="auto"/>
              <w:jc w:val="center"/>
              <w:rPr>
                <w:rFonts w:ascii="Arial" w:eastAsia="Times New Roman" w:hAnsi="Arial" w:cs="Arial"/>
                <w:lang w:eastAsia="pl-PL"/>
              </w:rPr>
            </w:pPr>
            <w:r w:rsidRPr="00EE0C8C">
              <w:rPr>
                <w:rFonts w:ascii="Arial" w:eastAsia="Times New Roman" w:hAnsi="Arial" w:cs="Arial"/>
                <w:color w:val="000000"/>
                <w:kern w:val="24"/>
                <w:lang w:eastAsia="pl-PL"/>
              </w:rPr>
              <w:t>3.</w:t>
            </w:r>
          </w:p>
          <w:p w:rsidR="00EE0C8C" w:rsidRPr="00EE0C8C" w:rsidRDefault="00EE0C8C" w:rsidP="00EE0C8C">
            <w:pPr>
              <w:shd w:val="clear" w:color="auto" w:fill="92CDDC"/>
              <w:spacing w:line="360" w:lineRule="auto"/>
              <w:jc w:val="center"/>
              <w:rPr>
                <w:rFonts w:ascii="Arial" w:eastAsia="Times New Roman" w:hAnsi="Arial" w:cs="Arial"/>
                <w:lang w:eastAsia="pl-PL"/>
              </w:rPr>
            </w:pPr>
            <w:r w:rsidRPr="00EE0C8C">
              <w:rPr>
                <w:rFonts w:ascii="Arial" w:eastAsia="Times New Roman" w:hAnsi="Arial" w:cs="Arial"/>
                <w:color w:val="000000"/>
                <w:kern w:val="24"/>
                <w:lang w:eastAsia="pl-PL"/>
              </w:rPr>
              <w:t>4.</w:t>
            </w:r>
          </w:p>
          <w:p w:rsidR="00EE0C8C" w:rsidRPr="00EE0C8C" w:rsidRDefault="00EE0C8C" w:rsidP="00EE0C8C">
            <w:pPr>
              <w:shd w:val="clear" w:color="auto" w:fill="92CDDC"/>
              <w:spacing w:line="360" w:lineRule="auto"/>
              <w:jc w:val="center"/>
              <w:rPr>
                <w:rFonts w:ascii="Arial" w:eastAsia="Times New Roman" w:hAnsi="Arial" w:cs="Arial"/>
                <w:lang w:eastAsia="pl-PL"/>
              </w:rPr>
            </w:pPr>
            <w:r w:rsidRPr="00EE0C8C">
              <w:rPr>
                <w:rFonts w:ascii="Arial" w:eastAsia="Times New Roman" w:hAnsi="Arial" w:cs="Arial"/>
                <w:color w:val="000000"/>
                <w:kern w:val="24"/>
                <w:lang w:eastAsia="pl-PL"/>
              </w:rPr>
              <w:t>5.</w:t>
            </w:r>
          </w:p>
          <w:p w:rsidR="00EE0C8C" w:rsidRPr="00EE0C8C" w:rsidRDefault="00EE0C8C" w:rsidP="00EE0C8C">
            <w:pPr>
              <w:shd w:val="clear" w:color="auto" w:fill="92CDDC"/>
              <w:spacing w:line="360" w:lineRule="auto"/>
              <w:jc w:val="center"/>
              <w:rPr>
                <w:rFonts w:ascii="Arial" w:eastAsia="Times New Roman" w:hAnsi="Arial" w:cs="Arial"/>
                <w:lang w:eastAsia="pl-PL"/>
              </w:rPr>
            </w:pPr>
            <w:r w:rsidRPr="00EE0C8C">
              <w:rPr>
                <w:rFonts w:ascii="Arial" w:eastAsia="Times New Roman" w:hAnsi="Arial" w:cs="Arial"/>
                <w:color w:val="000000"/>
                <w:kern w:val="24"/>
                <w:lang w:eastAsia="pl-PL"/>
              </w:rPr>
              <w:t>6.</w:t>
            </w:r>
          </w:p>
          <w:p w:rsidR="00EE0C8C" w:rsidRPr="00EE0C8C" w:rsidRDefault="00EE0C8C" w:rsidP="00EE0C8C">
            <w:pPr>
              <w:shd w:val="clear" w:color="auto" w:fill="92CDDC"/>
              <w:spacing w:line="360" w:lineRule="auto"/>
              <w:jc w:val="center"/>
              <w:rPr>
                <w:rFonts w:ascii="Arial" w:eastAsia="Times New Roman" w:hAnsi="Arial" w:cs="Arial"/>
                <w:lang w:eastAsia="pl-PL"/>
              </w:rPr>
            </w:pPr>
            <w:r w:rsidRPr="00EE0C8C">
              <w:rPr>
                <w:rFonts w:ascii="Arial" w:eastAsia="Times New Roman" w:hAnsi="Arial" w:cs="Arial"/>
                <w:color w:val="000000"/>
                <w:kern w:val="24"/>
                <w:lang w:eastAsia="pl-PL"/>
              </w:rPr>
              <w:t>7.</w:t>
            </w:r>
          </w:p>
          <w:p w:rsidR="00EE0C8C" w:rsidRPr="00EE0C8C" w:rsidRDefault="00EE0C8C" w:rsidP="00EE0C8C">
            <w:pPr>
              <w:shd w:val="clear" w:color="auto" w:fill="92CDDC"/>
              <w:spacing w:line="360" w:lineRule="auto"/>
              <w:jc w:val="center"/>
              <w:rPr>
                <w:rFonts w:ascii="Arial" w:eastAsia="Times New Roman" w:hAnsi="Arial" w:cs="Arial"/>
                <w:lang w:eastAsia="pl-PL"/>
              </w:rPr>
            </w:pPr>
            <w:r w:rsidRPr="00EE0C8C">
              <w:rPr>
                <w:rFonts w:ascii="Arial" w:eastAsia="Times New Roman" w:hAnsi="Arial" w:cs="Arial"/>
                <w:color w:val="000000"/>
                <w:kern w:val="24"/>
                <w:lang w:eastAsia="pl-PL"/>
              </w:rPr>
              <w:t>8.</w:t>
            </w:r>
          </w:p>
          <w:p w:rsidR="00EE0C8C" w:rsidRPr="00EE0C8C" w:rsidRDefault="00EE0C8C" w:rsidP="00EE0C8C">
            <w:pPr>
              <w:shd w:val="clear" w:color="auto" w:fill="92CDDC"/>
              <w:spacing w:line="360" w:lineRule="auto"/>
              <w:jc w:val="center"/>
              <w:rPr>
                <w:rFonts w:ascii="Arial" w:eastAsia="Times New Roman" w:hAnsi="Arial" w:cs="Arial"/>
                <w:lang w:eastAsia="pl-PL"/>
              </w:rPr>
            </w:pPr>
            <w:r w:rsidRPr="00EE0C8C">
              <w:rPr>
                <w:rFonts w:ascii="Arial" w:eastAsia="Times New Roman" w:hAnsi="Arial" w:cs="Arial"/>
                <w:color w:val="000000"/>
                <w:kern w:val="24"/>
                <w:lang w:eastAsia="pl-PL"/>
              </w:rPr>
              <w:t>9.</w:t>
            </w:r>
          </w:p>
          <w:p w:rsidR="00EE0C8C" w:rsidRPr="00EE0C8C" w:rsidRDefault="00EE0C8C" w:rsidP="00EE0C8C">
            <w:pPr>
              <w:shd w:val="clear" w:color="auto" w:fill="92CDDC"/>
              <w:spacing w:line="360" w:lineRule="auto"/>
              <w:jc w:val="center"/>
              <w:rPr>
                <w:rFonts w:ascii="Arial" w:eastAsia="Times New Roman" w:hAnsi="Arial" w:cs="Arial"/>
                <w:lang w:eastAsia="pl-PL"/>
              </w:rPr>
            </w:pPr>
            <w:r w:rsidRPr="00EE0C8C">
              <w:rPr>
                <w:rFonts w:ascii="Arial" w:eastAsia="Times New Roman" w:hAnsi="Arial" w:cs="Arial"/>
                <w:color w:val="000000"/>
                <w:kern w:val="24"/>
                <w:lang w:eastAsia="pl-PL"/>
              </w:rPr>
              <w:t>10.</w:t>
            </w:r>
          </w:p>
        </w:tc>
        <w:tc>
          <w:tcPr>
            <w:cnfStyle w:val="000010000000" w:firstRow="0" w:lastRow="0" w:firstColumn="0" w:lastColumn="0" w:oddVBand="1" w:evenVBand="0" w:oddHBand="0" w:evenHBand="0" w:firstRowFirstColumn="0" w:firstRowLastColumn="0" w:lastRowFirstColumn="0" w:lastRowLastColumn="0"/>
            <w:tcW w:w="2778" w:type="dxa"/>
            <w:hideMark/>
          </w:tcPr>
          <w:p w:rsidR="00EE0C8C" w:rsidRPr="00EE0C8C" w:rsidRDefault="00EE0C8C" w:rsidP="00EE0C8C">
            <w:pPr>
              <w:spacing w:line="360" w:lineRule="auto"/>
              <w:jc w:val="both"/>
              <w:rPr>
                <w:rFonts w:ascii="Arial" w:eastAsia="Times New Roman" w:hAnsi="Arial" w:cs="Arial"/>
                <w:b/>
                <w:lang w:eastAsia="pl-PL"/>
              </w:rPr>
            </w:pPr>
            <w:r w:rsidRPr="00EE0C8C">
              <w:rPr>
                <w:rFonts w:ascii="Arial" w:eastAsia="Times New Roman" w:hAnsi="Arial" w:cs="Arial"/>
                <w:b/>
                <w:color w:val="000000"/>
                <w:kern w:val="24"/>
                <w:lang w:eastAsia="pl-PL"/>
              </w:rPr>
              <w:t>Gadka</w:t>
            </w:r>
          </w:p>
          <w:p w:rsidR="00EE0C8C" w:rsidRPr="00EE0C8C" w:rsidRDefault="00EE0C8C" w:rsidP="00EE0C8C">
            <w:pPr>
              <w:spacing w:line="360" w:lineRule="auto"/>
              <w:jc w:val="both"/>
              <w:rPr>
                <w:rFonts w:ascii="Arial" w:eastAsia="Times New Roman" w:hAnsi="Arial" w:cs="Arial"/>
                <w:b/>
                <w:lang w:eastAsia="pl-PL"/>
              </w:rPr>
            </w:pPr>
            <w:r w:rsidRPr="00EE0C8C">
              <w:rPr>
                <w:rFonts w:ascii="Arial" w:eastAsia="Times New Roman" w:hAnsi="Arial" w:cs="Arial"/>
                <w:b/>
                <w:color w:val="000000"/>
                <w:kern w:val="24"/>
                <w:lang w:eastAsia="pl-PL"/>
              </w:rPr>
              <w:t>Jagodne</w:t>
            </w:r>
          </w:p>
          <w:p w:rsidR="00EE0C8C" w:rsidRPr="00EE0C8C" w:rsidRDefault="00EE0C8C" w:rsidP="00EE0C8C">
            <w:pPr>
              <w:spacing w:line="360" w:lineRule="auto"/>
              <w:jc w:val="both"/>
              <w:rPr>
                <w:rFonts w:ascii="Arial" w:eastAsia="Times New Roman" w:hAnsi="Arial" w:cs="Arial"/>
                <w:b/>
                <w:lang w:eastAsia="pl-PL"/>
              </w:rPr>
            </w:pPr>
            <w:r w:rsidRPr="00EE0C8C">
              <w:rPr>
                <w:rFonts w:ascii="Arial" w:eastAsia="Times New Roman" w:hAnsi="Arial" w:cs="Arial"/>
                <w:b/>
                <w:color w:val="000000"/>
                <w:kern w:val="24"/>
                <w:lang w:eastAsia="pl-PL"/>
              </w:rPr>
              <w:t>Małyszyn</w:t>
            </w:r>
          </w:p>
          <w:p w:rsidR="00EE0C8C" w:rsidRPr="00EE0C8C" w:rsidRDefault="00EE0C8C" w:rsidP="00EE0C8C">
            <w:pPr>
              <w:spacing w:line="360" w:lineRule="auto"/>
              <w:jc w:val="both"/>
              <w:rPr>
                <w:rFonts w:ascii="Arial" w:eastAsia="Times New Roman" w:hAnsi="Arial" w:cs="Arial"/>
                <w:b/>
                <w:color w:val="FF0000"/>
                <w:lang w:eastAsia="pl-PL"/>
              </w:rPr>
            </w:pPr>
            <w:r w:rsidRPr="00EE0C8C">
              <w:rPr>
                <w:rFonts w:ascii="Arial" w:eastAsia="Times New Roman" w:hAnsi="Arial" w:cs="Arial"/>
                <w:b/>
                <w:bCs/>
                <w:color w:val="FF0000"/>
                <w:kern w:val="24"/>
                <w:lang w:eastAsia="pl-PL"/>
              </w:rPr>
              <w:t>Mirzec I</w:t>
            </w:r>
          </w:p>
          <w:p w:rsidR="00EE0C8C" w:rsidRPr="00EE0C8C" w:rsidRDefault="00EE0C8C" w:rsidP="00EE0C8C">
            <w:pPr>
              <w:spacing w:line="360" w:lineRule="auto"/>
              <w:jc w:val="both"/>
              <w:rPr>
                <w:rFonts w:ascii="Arial" w:eastAsia="Times New Roman" w:hAnsi="Arial" w:cs="Arial"/>
                <w:b/>
                <w:color w:val="FF0000"/>
                <w:lang w:eastAsia="pl-PL"/>
              </w:rPr>
            </w:pPr>
            <w:r w:rsidRPr="00EE0C8C">
              <w:rPr>
                <w:rFonts w:ascii="Arial" w:eastAsia="Times New Roman" w:hAnsi="Arial" w:cs="Arial"/>
                <w:b/>
                <w:bCs/>
                <w:color w:val="FF0000"/>
                <w:kern w:val="24"/>
                <w:lang w:eastAsia="pl-PL"/>
              </w:rPr>
              <w:t>Mirzec II</w:t>
            </w:r>
          </w:p>
          <w:p w:rsidR="00EE0C8C" w:rsidRPr="00EE0C8C" w:rsidRDefault="00EE0C8C" w:rsidP="00EE0C8C">
            <w:pPr>
              <w:spacing w:line="360" w:lineRule="auto"/>
              <w:jc w:val="both"/>
              <w:rPr>
                <w:rFonts w:ascii="Arial" w:eastAsia="Times New Roman" w:hAnsi="Arial" w:cs="Arial"/>
                <w:b/>
                <w:lang w:eastAsia="pl-PL"/>
              </w:rPr>
            </w:pPr>
            <w:r w:rsidRPr="00EE0C8C">
              <w:rPr>
                <w:rFonts w:ascii="Arial" w:eastAsia="Times New Roman" w:hAnsi="Arial" w:cs="Arial"/>
                <w:b/>
                <w:color w:val="000000"/>
                <w:kern w:val="24"/>
                <w:lang w:eastAsia="pl-PL"/>
              </w:rPr>
              <w:t>Osiny</w:t>
            </w:r>
          </w:p>
          <w:p w:rsidR="00EE0C8C" w:rsidRPr="00EE0C8C" w:rsidRDefault="00EE0C8C" w:rsidP="00EE0C8C">
            <w:pPr>
              <w:spacing w:line="360" w:lineRule="auto"/>
              <w:jc w:val="both"/>
              <w:rPr>
                <w:rFonts w:ascii="Arial" w:eastAsia="Times New Roman" w:hAnsi="Arial" w:cs="Arial"/>
                <w:b/>
                <w:lang w:eastAsia="pl-PL"/>
              </w:rPr>
            </w:pPr>
            <w:r w:rsidRPr="00EE0C8C">
              <w:rPr>
                <w:rFonts w:ascii="Arial" w:eastAsia="Times New Roman" w:hAnsi="Arial" w:cs="Arial"/>
                <w:b/>
                <w:color w:val="000000"/>
                <w:kern w:val="24"/>
                <w:lang w:eastAsia="pl-PL"/>
              </w:rPr>
              <w:t>Ostrożanka</w:t>
            </w:r>
          </w:p>
          <w:p w:rsidR="00EE0C8C" w:rsidRPr="00EE0C8C" w:rsidRDefault="00EE0C8C" w:rsidP="00EE0C8C">
            <w:pPr>
              <w:spacing w:line="360" w:lineRule="auto"/>
              <w:jc w:val="both"/>
              <w:rPr>
                <w:rFonts w:ascii="Arial" w:eastAsia="Times New Roman" w:hAnsi="Arial" w:cs="Arial"/>
                <w:b/>
                <w:lang w:eastAsia="pl-PL"/>
              </w:rPr>
            </w:pPr>
            <w:r w:rsidRPr="00EE0C8C">
              <w:rPr>
                <w:rFonts w:ascii="Arial" w:eastAsia="Times New Roman" w:hAnsi="Arial" w:cs="Arial"/>
                <w:b/>
                <w:color w:val="000000"/>
                <w:kern w:val="24"/>
                <w:lang w:eastAsia="pl-PL"/>
              </w:rPr>
              <w:t>Trębowiec</w:t>
            </w:r>
          </w:p>
          <w:p w:rsidR="00EE0C8C" w:rsidRPr="00EE0C8C" w:rsidRDefault="00EE0C8C" w:rsidP="00EE0C8C">
            <w:pPr>
              <w:spacing w:line="360" w:lineRule="auto"/>
              <w:jc w:val="both"/>
              <w:rPr>
                <w:rFonts w:ascii="Arial" w:eastAsia="Times New Roman" w:hAnsi="Arial" w:cs="Arial"/>
                <w:b/>
                <w:lang w:eastAsia="pl-PL"/>
              </w:rPr>
            </w:pPr>
            <w:r w:rsidRPr="00EE0C8C">
              <w:rPr>
                <w:rFonts w:ascii="Arial" w:eastAsia="Times New Roman" w:hAnsi="Arial" w:cs="Arial"/>
                <w:b/>
                <w:color w:val="000000"/>
                <w:kern w:val="24"/>
                <w:lang w:eastAsia="pl-PL"/>
              </w:rPr>
              <w:t>Tychów  Nowy</w:t>
            </w:r>
          </w:p>
          <w:p w:rsidR="00EE0C8C" w:rsidRPr="00EE0C8C" w:rsidRDefault="00EE0C8C" w:rsidP="00EE0C8C">
            <w:pPr>
              <w:spacing w:line="360" w:lineRule="auto"/>
              <w:jc w:val="both"/>
              <w:rPr>
                <w:rFonts w:ascii="Arial" w:eastAsia="Times New Roman" w:hAnsi="Arial" w:cs="Arial"/>
                <w:lang w:eastAsia="pl-PL"/>
              </w:rPr>
            </w:pPr>
            <w:r w:rsidRPr="00EE0C8C">
              <w:rPr>
                <w:rFonts w:ascii="Arial" w:eastAsia="Times New Roman" w:hAnsi="Arial" w:cs="Arial"/>
                <w:b/>
                <w:color w:val="000000"/>
                <w:kern w:val="24"/>
                <w:lang w:eastAsia="pl-PL"/>
              </w:rPr>
              <w:t>Tychów Stary</w:t>
            </w:r>
          </w:p>
        </w:tc>
        <w:tc>
          <w:tcPr>
            <w:cnfStyle w:val="000100000000" w:firstRow="0" w:lastRow="0" w:firstColumn="0" w:lastColumn="1" w:oddVBand="0" w:evenVBand="0" w:oddHBand="0" w:evenHBand="0" w:firstRowFirstColumn="0" w:firstRowLastColumn="0" w:lastRowFirstColumn="0" w:lastRowLastColumn="0"/>
            <w:tcW w:w="5944" w:type="dxa"/>
            <w:hideMark/>
          </w:tcPr>
          <w:p w:rsidR="00EE0C8C" w:rsidRPr="00EE0C8C" w:rsidRDefault="00EE0C8C" w:rsidP="00EE0C8C">
            <w:pPr>
              <w:spacing w:line="360" w:lineRule="auto"/>
              <w:jc w:val="center"/>
              <w:rPr>
                <w:rFonts w:ascii="Arial" w:eastAsia="Times New Roman" w:hAnsi="Arial" w:cs="Arial"/>
                <w:lang w:eastAsia="pl-PL"/>
              </w:rPr>
            </w:pPr>
            <w:r w:rsidRPr="00EE0C8C">
              <w:rPr>
                <w:rFonts w:ascii="Arial" w:eastAsia="Times New Roman" w:hAnsi="Arial" w:cs="Arial"/>
                <w:color w:val="000000"/>
                <w:kern w:val="24"/>
                <w:lang w:eastAsia="pl-PL"/>
              </w:rPr>
              <w:t>9,67</w:t>
            </w:r>
          </w:p>
          <w:p w:rsidR="00EE0C8C" w:rsidRPr="00EE0C8C" w:rsidRDefault="00EE0C8C" w:rsidP="00EE0C8C">
            <w:pPr>
              <w:spacing w:line="360" w:lineRule="auto"/>
              <w:jc w:val="center"/>
              <w:rPr>
                <w:rFonts w:ascii="Arial" w:eastAsia="Times New Roman" w:hAnsi="Arial" w:cs="Arial"/>
                <w:lang w:eastAsia="pl-PL"/>
              </w:rPr>
            </w:pPr>
            <w:r w:rsidRPr="00EE0C8C">
              <w:rPr>
                <w:rFonts w:ascii="Arial" w:eastAsia="Times New Roman" w:hAnsi="Arial" w:cs="Arial"/>
                <w:color w:val="000000"/>
                <w:kern w:val="24"/>
                <w:lang w:eastAsia="pl-PL"/>
              </w:rPr>
              <w:t>7,25</w:t>
            </w:r>
          </w:p>
          <w:p w:rsidR="00EE0C8C" w:rsidRPr="00EE0C8C" w:rsidRDefault="00EE0C8C" w:rsidP="00EE0C8C">
            <w:pPr>
              <w:spacing w:line="360" w:lineRule="auto"/>
              <w:jc w:val="center"/>
              <w:rPr>
                <w:rFonts w:ascii="Arial" w:eastAsia="Times New Roman" w:hAnsi="Arial" w:cs="Arial"/>
                <w:lang w:eastAsia="pl-PL"/>
              </w:rPr>
            </w:pPr>
            <w:r w:rsidRPr="00EE0C8C">
              <w:rPr>
                <w:rFonts w:ascii="Arial" w:eastAsia="Times New Roman" w:hAnsi="Arial" w:cs="Arial"/>
                <w:color w:val="000000"/>
                <w:kern w:val="24"/>
                <w:lang w:eastAsia="pl-PL"/>
              </w:rPr>
              <w:t>16,50</w:t>
            </w:r>
          </w:p>
          <w:p w:rsidR="00EE0C8C" w:rsidRPr="00EE0C8C" w:rsidRDefault="00EE0C8C" w:rsidP="00EE0C8C">
            <w:pPr>
              <w:spacing w:line="360" w:lineRule="auto"/>
              <w:jc w:val="center"/>
              <w:rPr>
                <w:rFonts w:ascii="Arial" w:eastAsia="Times New Roman" w:hAnsi="Arial" w:cs="Arial"/>
                <w:color w:val="FF0000"/>
                <w:lang w:eastAsia="pl-PL"/>
              </w:rPr>
            </w:pPr>
            <w:r w:rsidRPr="00EE0C8C">
              <w:rPr>
                <w:rFonts w:ascii="Arial" w:eastAsia="Times New Roman" w:hAnsi="Arial" w:cs="Arial"/>
                <w:color w:val="FF0000"/>
                <w:kern w:val="24"/>
                <w:lang w:eastAsia="pl-PL"/>
              </w:rPr>
              <w:t>40,14</w:t>
            </w:r>
          </w:p>
          <w:p w:rsidR="00EE0C8C" w:rsidRPr="00EE0C8C" w:rsidRDefault="00EE0C8C" w:rsidP="00EE0C8C">
            <w:pPr>
              <w:spacing w:line="360" w:lineRule="auto"/>
              <w:jc w:val="center"/>
              <w:rPr>
                <w:rFonts w:ascii="Arial" w:eastAsia="Times New Roman" w:hAnsi="Arial" w:cs="Arial"/>
                <w:color w:val="FF0000"/>
                <w:lang w:eastAsia="pl-PL"/>
              </w:rPr>
            </w:pPr>
            <w:r w:rsidRPr="00EE0C8C">
              <w:rPr>
                <w:rFonts w:ascii="Arial" w:eastAsia="Times New Roman" w:hAnsi="Arial" w:cs="Arial"/>
                <w:color w:val="FF0000"/>
                <w:kern w:val="24"/>
                <w:lang w:eastAsia="pl-PL"/>
              </w:rPr>
              <w:t>8,04</w:t>
            </w:r>
          </w:p>
          <w:p w:rsidR="00EE0C8C" w:rsidRPr="00EE0C8C" w:rsidRDefault="00EE0C8C" w:rsidP="00EE0C8C">
            <w:pPr>
              <w:spacing w:line="360" w:lineRule="auto"/>
              <w:jc w:val="center"/>
              <w:rPr>
                <w:rFonts w:ascii="Arial" w:eastAsia="Times New Roman" w:hAnsi="Arial" w:cs="Arial"/>
                <w:lang w:eastAsia="pl-PL"/>
              </w:rPr>
            </w:pPr>
            <w:r w:rsidRPr="00EE0C8C">
              <w:rPr>
                <w:rFonts w:ascii="Arial" w:eastAsia="Times New Roman" w:hAnsi="Arial" w:cs="Arial"/>
                <w:color w:val="000000"/>
                <w:kern w:val="24"/>
                <w:lang w:eastAsia="pl-PL"/>
              </w:rPr>
              <w:t>10,65</w:t>
            </w:r>
          </w:p>
          <w:p w:rsidR="00EE0C8C" w:rsidRPr="00EE0C8C" w:rsidRDefault="00EE0C8C" w:rsidP="00EE0C8C">
            <w:pPr>
              <w:spacing w:line="360" w:lineRule="auto"/>
              <w:jc w:val="center"/>
              <w:rPr>
                <w:rFonts w:ascii="Arial" w:eastAsia="Times New Roman" w:hAnsi="Arial" w:cs="Arial"/>
                <w:lang w:eastAsia="pl-PL"/>
              </w:rPr>
            </w:pPr>
            <w:r w:rsidRPr="00EE0C8C">
              <w:rPr>
                <w:rFonts w:ascii="Arial" w:eastAsia="Times New Roman" w:hAnsi="Arial" w:cs="Arial"/>
                <w:color w:val="000000"/>
                <w:kern w:val="24"/>
                <w:lang w:eastAsia="pl-PL"/>
              </w:rPr>
              <w:t>1,85</w:t>
            </w:r>
          </w:p>
          <w:p w:rsidR="00EE0C8C" w:rsidRPr="00EE0C8C" w:rsidRDefault="00EE0C8C" w:rsidP="00EE0C8C">
            <w:pPr>
              <w:spacing w:line="360" w:lineRule="auto"/>
              <w:jc w:val="center"/>
              <w:rPr>
                <w:rFonts w:ascii="Arial" w:eastAsia="Times New Roman" w:hAnsi="Arial" w:cs="Arial"/>
                <w:lang w:eastAsia="pl-PL"/>
              </w:rPr>
            </w:pPr>
            <w:r w:rsidRPr="00EE0C8C">
              <w:rPr>
                <w:rFonts w:ascii="Arial" w:eastAsia="Times New Roman" w:hAnsi="Arial" w:cs="Arial"/>
                <w:color w:val="000000"/>
                <w:kern w:val="24"/>
                <w:lang w:eastAsia="pl-PL"/>
              </w:rPr>
              <w:t>5,80</w:t>
            </w:r>
          </w:p>
          <w:p w:rsidR="00EE0C8C" w:rsidRPr="00EE0C8C" w:rsidRDefault="00EE0C8C" w:rsidP="00EE0C8C">
            <w:pPr>
              <w:spacing w:line="360" w:lineRule="auto"/>
              <w:jc w:val="center"/>
              <w:rPr>
                <w:rFonts w:ascii="Arial" w:eastAsia="Times New Roman" w:hAnsi="Arial" w:cs="Arial"/>
                <w:lang w:eastAsia="pl-PL"/>
              </w:rPr>
            </w:pPr>
            <w:r w:rsidRPr="00EE0C8C">
              <w:rPr>
                <w:rFonts w:ascii="Arial" w:eastAsia="Times New Roman" w:hAnsi="Arial" w:cs="Arial"/>
                <w:color w:val="000000"/>
                <w:kern w:val="24"/>
                <w:lang w:eastAsia="pl-PL"/>
              </w:rPr>
              <w:t>5,96</w:t>
            </w:r>
          </w:p>
          <w:p w:rsidR="00EE0C8C" w:rsidRPr="00EE0C8C" w:rsidRDefault="00EE0C8C" w:rsidP="00EE0C8C">
            <w:pPr>
              <w:spacing w:line="360" w:lineRule="auto"/>
              <w:jc w:val="center"/>
              <w:rPr>
                <w:rFonts w:ascii="Arial" w:eastAsia="Times New Roman" w:hAnsi="Arial" w:cs="Arial"/>
                <w:lang w:eastAsia="pl-PL"/>
              </w:rPr>
            </w:pPr>
            <w:r w:rsidRPr="00EE0C8C">
              <w:rPr>
                <w:rFonts w:ascii="Arial" w:eastAsia="Times New Roman" w:hAnsi="Arial" w:cs="Arial"/>
                <w:color w:val="000000"/>
                <w:kern w:val="24"/>
                <w:lang w:eastAsia="pl-PL"/>
              </w:rPr>
              <w:t>5,24</w:t>
            </w:r>
          </w:p>
        </w:tc>
      </w:tr>
      <w:tr w:rsidR="00EE0C8C" w:rsidRPr="00EE0C8C" w:rsidTr="00A76BDB">
        <w:trPr>
          <w:cnfStyle w:val="010000000000" w:firstRow="0" w:lastRow="1"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3413" w:type="dxa"/>
            <w:gridSpan w:val="2"/>
            <w:tcBorders>
              <w:right w:val="single" w:sz="8" w:space="0" w:color="4BACC6" w:themeColor="accent5"/>
            </w:tcBorders>
            <w:shd w:val="clear" w:color="auto" w:fill="FFFFFF" w:themeFill="background1"/>
          </w:tcPr>
          <w:p w:rsidR="00EE0C8C" w:rsidRPr="00EE0C8C" w:rsidRDefault="00EE0C8C" w:rsidP="00EE0C8C">
            <w:pPr>
              <w:spacing w:line="360" w:lineRule="auto"/>
              <w:jc w:val="center"/>
              <w:rPr>
                <w:rFonts w:ascii="Arial" w:eastAsia="Times New Roman" w:hAnsi="Arial" w:cs="Arial"/>
                <w:color w:val="000000"/>
                <w:kern w:val="24"/>
                <w:lang w:eastAsia="pl-PL"/>
              </w:rPr>
            </w:pPr>
            <w:r w:rsidRPr="00EE0C8C">
              <w:rPr>
                <w:rFonts w:ascii="Arial" w:eastAsia="Times New Roman" w:hAnsi="Arial" w:cs="Arial"/>
                <w:color w:val="000000"/>
                <w:kern w:val="24"/>
                <w:lang w:eastAsia="pl-PL"/>
              </w:rPr>
              <w:t>RAZEM</w:t>
            </w:r>
          </w:p>
        </w:tc>
        <w:tc>
          <w:tcPr>
            <w:cnfStyle w:val="000100000000" w:firstRow="0" w:lastRow="0" w:firstColumn="0" w:lastColumn="1" w:oddVBand="0" w:evenVBand="0" w:oddHBand="0" w:evenHBand="0" w:firstRowFirstColumn="0" w:firstRowLastColumn="0" w:lastRowFirstColumn="0" w:lastRowLastColumn="0"/>
            <w:tcW w:w="5944" w:type="dxa"/>
            <w:tcBorders>
              <w:left w:val="single" w:sz="8" w:space="0" w:color="4BACC6" w:themeColor="accent5"/>
            </w:tcBorders>
          </w:tcPr>
          <w:p w:rsidR="00EE0C8C" w:rsidRPr="00EE0C8C" w:rsidRDefault="00EE0C8C" w:rsidP="00EE0C8C">
            <w:pPr>
              <w:spacing w:line="360" w:lineRule="auto"/>
              <w:jc w:val="center"/>
              <w:rPr>
                <w:rFonts w:ascii="Arial" w:eastAsia="Times New Roman" w:hAnsi="Arial" w:cs="Arial"/>
                <w:color w:val="000000"/>
                <w:kern w:val="24"/>
                <w:lang w:eastAsia="pl-PL"/>
              </w:rPr>
            </w:pPr>
            <w:r w:rsidRPr="00EE0C8C">
              <w:rPr>
                <w:rFonts w:ascii="Arial" w:eastAsia="Times New Roman" w:hAnsi="Arial" w:cs="Arial"/>
                <w:color w:val="000000"/>
                <w:kern w:val="24"/>
                <w:lang w:eastAsia="pl-PL"/>
              </w:rPr>
              <w:t>111,1</w:t>
            </w:r>
          </w:p>
        </w:tc>
      </w:tr>
    </w:tbl>
    <w:p w:rsidR="00EE0C8C" w:rsidRPr="00EE0C8C" w:rsidRDefault="00EE0C8C" w:rsidP="00EE0C8C">
      <w:pPr>
        <w:jc w:val="center"/>
        <w:rPr>
          <w:rFonts w:ascii="Calibri" w:eastAsia="Times New Roman" w:hAnsi="Calibri" w:cs="Times New Roman"/>
          <w:i/>
          <w:lang w:eastAsia="pl-PL"/>
        </w:rPr>
      </w:pPr>
      <w:r w:rsidRPr="00EE0C8C">
        <w:rPr>
          <w:rFonts w:ascii="Calibri" w:eastAsia="Times New Roman" w:hAnsi="Calibri" w:cs="Times New Roman"/>
          <w:i/>
          <w:lang w:eastAsia="pl-PL"/>
        </w:rPr>
        <w:t>(Źródło: Opracowanie własne na podstawie danych z UG w Mircu)</w:t>
      </w:r>
    </w:p>
    <w:p w:rsidR="00EE0C8C" w:rsidRPr="00EE0C8C" w:rsidRDefault="00EE0C8C" w:rsidP="00EE0C8C">
      <w:pPr>
        <w:jc w:val="both"/>
        <w:rPr>
          <w:rFonts w:ascii="Calibri" w:eastAsia="Times New Roman" w:hAnsi="Calibri" w:cs="Times New Roman"/>
          <w:lang w:eastAsia="pl-PL"/>
        </w:rPr>
      </w:pPr>
      <w:r w:rsidRPr="00EE0C8C">
        <w:rPr>
          <w:rFonts w:ascii="Calibri" w:eastAsia="Times New Roman" w:hAnsi="Calibri" w:cs="Times New Roman"/>
          <w:lang w:eastAsia="pl-PL"/>
        </w:rPr>
        <w:t xml:space="preserve">Największym sołectwem w Gminie jest </w:t>
      </w:r>
      <w:r w:rsidR="00B4612A">
        <w:rPr>
          <w:rFonts w:ascii="Calibri" w:eastAsia="Times New Roman" w:hAnsi="Calibri" w:cs="Times New Roman"/>
          <w:lang w:eastAsia="pl-PL"/>
        </w:rPr>
        <w:t>sołectwo</w:t>
      </w:r>
      <w:r w:rsidRPr="00EE0C8C">
        <w:rPr>
          <w:rFonts w:ascii="Calibri" w:eastAsia="Times New Roman" w:hAnsi="Calibri" w:cs="Times New Roman"/>
          <w:lang w:eastAsia="pl-PL"/>
        </w:rPr>
        <w:t xml:space="preserve"> Mirzec </w:t>
      </w:r>
      <w:r w:rsidR="00B4612A">
        <w:rPr>
          <w:rFonts w:ascii="Calibri" w:eastAsia="Times New Roman" w:hAnsi="Calibri" w:cs="Times New Roman"/>
          <w:lang w:eastAsia="pl-PL"/>
        </w:rPr>
        <w:t>I</w:t>
      </w:r>
      <w:r w:rsidRPr="00EE0C8C">
        <w:rPr>
          <w:rFonts w:ascii="Calibri" w:eastAsia="Times New Roman" w:hAnsi="Calibri" w:cs="Times New Roman"/>
          <w:lang w:eastAsia="pl-PL"/>
        </w:rPr>
        <w:t>, której powierzchnia stanowi  36,07 %  powierzchni całej gminy. Najmniejsza powierzchniowo jest Ostrożanka – 1.6 % całkowitej powierzchni. Gmina Mirzec jest typową gminą wiejską, podstawową dziedziną gospodarki jest rolnictwo z przewagą drobno-obszarowego rolnictwa indywidualnego.</w:t>
      </w:r>
    </w:p>
    <w:p w:rsidR="00EE0C8C" w:rsidRDefault="00EE0C8C" w:rsidP="00EE0C8C">
      <w:pPr>
        <w:jc w:val="both"/>
        <w:rPr>
          <w:rFonts w:ascii="Calibri" w:eastAsia="Times New Roman" w:hAnsi="Calibri" w:cs="Times New Roman"/>
          <w:lang w:eastAsia="pl-PL"/>
        </w:rPr>
      </w:pPr>
    </w:p>
    <w:p w:rsidR="00A76BDB" w:rsidRDefault="00A76BDB" w:rsidP="00EE0C8C">
      <w:pPr>
        <w:jc w:val="both"/>
        <w:rPr>
          <w:rFonts w:ascii="Calibri" w:eastAsia="Times New Roman" w:hAnsi="Calibri" w:cs="Times New Roman"/>
          <w:lang w:eastAsia="pl-PL"/>
        </w:rPr>
      </w:pPr>
    </w:p>
    <w:p w:rsidR="008903A4" w:rsidRPr="00EE0C8C" w:rsidRDefault="008903A4" w:rsidP="00EE0C8C">
      <w:pPr>
        <w:jc w:val="both"/>
        <w:rPr>
          <w:rFonts w:ascii="Calibri" w:eastAsia="Times New Roman" w:hAnsi="Calibri" w:cs="Times New Roman"/>
          <w:lang w:eastAsia="pl-PL"/>
        </w:rPr>
      </w:pPr>
    </w:p>
    <w:p w:rsidR="00EE0C8C" w:rsidRPr="00EE0C8C" w:rsidRDefault="00EE0C8C" w:rsidP="00A76BDB">
      <w:pPr>
        <w:pStyle w:val="Nagwek2"/>
        <w:rPr>
          <w:lang w:eastAsia="pl-PL"/>
        </w:rPr>
      </w:pPr>
      <w:bookmarkStart w:id="36" w:name="_Toc439077752"/>
      <w:bookmarkStart w:id="37" w:name="_Toc449963535"/>
      <w:bookmarkStart w:id="38" w:name="_Toc450562477"/>
      <w:r w:rsidRPr="00EE0C8C">
        <w:rPr>
          <w:lang w:eastAsia="pl-PL"/>
        </w:rPr>
        <w:lastRenderedPageBreak/>
        <w:t>2.1.3. UŻYTKOWANIE GRUNTÓW.</w:t>
      </w:r>
      <w:bookmarkEnd w:id="36"/>
      <w:bookmarkEnd w:id="37"/>
      <w:bookmarkEnd w:id="38"/>
    </w:p>
    <w:p w:rsidR="00EE0C8C" w:rsidRPr="00EE0C8C" w:rsidRDefault="00EE0C8C" w:rsidP="00EE0C8C">
      <w:pPr>
        <w:ind w:firstLine="1134"/>
        <w:rPr>
          <w:rFonts w:ascii="Calibri" w:eastAsia="Times New Roman" w:hAnsi="Calibri" w:cs="Times New Roman"/>
          <w:lang w:eastAsia="pl-PL"/>
        </w:rPr>
      </w:pPr>
    </w:p>
    <w:p w:rsidR="00EE0C8C" w:rsidRPr="00EE0C8C" w:rsidRDefault="00EE0C8C" w:rsidP="00EE0C8C">
      <w:pPr>
        <w:rPr>
          <w:rFonts w:ascii="Calibri" w:eastAsia="Times New Roman" w:hAnsi="Calibri" w:cs="Times New Roman"/>
          <w:lang w:eastAsia="pl-PL"/>
        </w:rPr>
      </w:pPr>
      <w:r w:rsidRPr="00EE0C8C">
        <w:rPr>
          <w:rFonts w:ascii="Calibri" w:eastAsia="Times New Roman" w:hAnsi="Calibri" w:cs="Times New Roman"/>
          <w:lang w:eastAsia="pl-PL"/>
        </w:rPr>
        <w:t>Struktura użytkowania gruntów w Gminie Mirzec przedstawia się następująco:</w:t>
      </w:r>
    </w:p>
    <w:tbl>
      <w:tblPr>
        <w:tblStyle w:val="redniecieniowanie2akcent51"/>
        <w:tblW w:w="0" w:type="auto"/>
        <w:tblLook w:val="04A0" w:firstRow="1" w:lastRow="0" w:firstColumn="1" w:lastColumn="0" w:noHBand="0" w:noVBand="1"/>
      </w:tblPr>
      <w:tblGrid>
        <w:gridCol w:w="523"/>
        <w:gridCol w:w="1606"/>
        <w:gridCol w:w="1433"/>
        <w:gridCol w:w="629"/>
        <w:gridCol w:w="663"/>
        <w:gridCol w:w="667"/>
        <w:gridCol w:w="633"/>
        <w:gridCol w:w="668"/>
        <w:gridCol w:w="672"/>
        <w:gridCol w:w="615"/>
        <w:gridCol w:w="576"/>
        <w:gridCol w:w="576"/>
      </w:tblGrid>
      <w:tr w:rsidR="00EE0C8C" w:rsidRPr="00EE0C8C" w:rsidTr="00A76BDB">
        <w:trPr>
          <w:cnfStyle w:val="100000000000" w:firstRow="1" w:lastRow="0" w:firstColumn="0" w:lastColumn="0" w:oddVBand="0" w:evenVBand="0" w:oddHBand="0" w:evenHBand="0" w:firstRowFirstColumn="0" w:firstRowLastColumn="0" w:lastRowFirstColumn="0" w:lastRowLastColumn="0"/>
          <w:trHeight w:val="123"/>
        </w:trPr>
        <w:tc>
          <w:tcPr>
            <w:cnfStyle w:val="001000000100" w:firstRow="0" w:lastRow="0" w:firstColumn="1" w:lastColumn="0" w:oddVBand="0" w:evenVBand="0" w:oddHBand="0" w:evenHBand="0" w:firstRowFirstColumn="1" w:firstRowLastColumn="0" w:lastRowFirstColumn="0" w:lastRowLastColumn="0"/>
            <w:tcW w:w="520" w:type="dxa"/>
            <w:vMerge w:val="restart"/>
          </w:tcPr>
          <w:p w:rsidR="00EE0C8C" w:rsidRPr="00EE0C8C" w:rsidRDefault="00EE0C8C" w:rsidP="00EE0C8C">
            <w:pPr>
              <w:jc w:val="both"/>
              <w:rPr>
                <w:rFonts w:ascii="Calibri" w:eastAsia="Calibri" w:hAnsi="Calibri" w:cs="Times New Roman"/>
                <w:i/>
              </w:rPr>
            </w:pPr>
            <w:r w:rsidRPr="00EE0C8C">
              <w:rPr>
                <w:rFonts w:ascii="Calibri" w:eastAsia="Calibri" w:hAnsi="Calibri" w:cs="Times New Roman"/>
                <w:i/>
              </w:rPr>
              <w:t>Lp.</w:t>
            </w:r>
          </w:p>
        </w:tc>
        <w:tc>
          <w:tcPr>
            <w:tcW w:w="1598" w:type="dxa"/>
            <w:vMerge w:val="restart"/>
          </w:tcPr>
          <w:p w:rsidR="00EE0C8C" w:rsidRPr="00EE0C8C" w:rsidRDefault="00EE0C8C" w:rsidP="00EE0C8C">
            <w:pPr>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i/>
              </w:rPr>
            </w:pPr>
            <w:r w:rsidRPr="00EE0C8C">
              <w:rPr>
                <w:rFonts w:ascii="Calibri" w:eastAsia="Calibri" w:hAnsi="Calibri" w:cs="Times New Roman"/>
                <w:i/>
              </w:rPr>
              <w:t>Oznaczenie gruntów</w:t>
            </w:r>
          </w:p>
        </w:tc>
        <w:tc>
          <w:tcPr>
            <w:tcW w:w="1426" w:type="dxa"/>
            <w:vMerge w:val="restart"/>
          </w:tcPr>
          <w:p w:rsidR="00EE0C8C" w:rsidRPr="00EE0C8C" w:rsidRDefault="00EE0C8C" w:rsidP="00EE0C8C">
            <w:pPr>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i/>
              </w:rPr>
            </w:pPr>
            <w:r w:rsidRPr="00EE0C8C">
              <w:rPr>
                <w:rFonts w:ascii="Calibri" w:eastAsia="Calibri" w:hAnsi="Calibri" w:cs="Times New Roman"/>
                <w:i/>
              </w:rPr>
              <w:t>Powierzchnia razem (ha)</w:t>
            </w:r>
          </w:p>
        </w:tc>
        <w:tc>
          <w:tcPr>
            <w:tcW w:w="5698" w:type="dxa"/>
            <w:gridSpan w:val="9"/>
          </w:tcPr>
          <w:p w:rsidR="00EE0C8C" w:rsidRPr="00EE0C8C" w:rsidRDefault="00EE0C8C" w:rsidP="00EE0C8C">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i/>
              </w:rPr>
            </w:pPr>
            <w:r w:rsidRPr="00EE0C8C">
              <w:rPr>
                <w:rFonts w:ascii="Calibri" w:eastAsia="Calibri" w:hAnsi="Calibri" w:cs="Times New Roman"/>
                <w:i/>
              </w:rPr>
              <w:t>Klasa gruntów</w:t>
            </w:r>
          </w:p>
        </w:tc>
      </w:tr>
      <w:tr w:rsidR="00EE0C8C" w:rsidRPr="00EE0C8C" w:rsidTr="00A76BDB">
        <w:trPr>
          <w:cnfStyle w:val="000000100000" w:firstRow="0" w:lastRow="0" w:firstColumn="0" w:lastColumn="0" w:oddVBand="0" w:evenVBand="0" w:oddHBand="1" w:evenHBand="0" w:firstRowFirstColumn="0" w:firstRowLastColumn="0" w:lastRowFirstColumn="0" w:lastRowLastColumn="0"/>
          <w:trHeight w:val="967"/>
        </w:trPr>
        <w:tc>
          <w:tcPr>
            <w:cnfStyle w:val="001000000000" w:firstRow="0" w:lastRow="0" w:firstColumn="1" w:lastColumn="0" w:oddVBand="0" w:evenVBand="0" w:oddHBand="0" w:evenHBand="0" w:firstRowFirstColumn="0" w:firstRowLastColumn="0" w:lastRowFirstColumn="0" w:lastRowLastColumn="0"/>
            <w:tcW w:w="520" w:type="dxa"/>
            <w:vMerge/>
          </w:tcPr>
          <w:p w:rsidR="00EE0C8C" w:rsidRPr="00EE0C8C" w:rsidRDefault="00EE0C8C" w:rsidP="00EE0C8C">
            <w:pPr>
              <w:jc w:val="both"/>
              <w:rPr>
                <w:rFonts w:ascii="Calibri" w:eastAsia="Calibri" w:hAnsi="Calibri" w:cs="Times New Roman"/>
              </w:rPr>
            </w:pPr>
          </w:p>
        </w:tc>
        <w:tc>
          <w:tcPr>
            <w:tcW w:w="1598" w:type="dxa"/>
            <w:vMerge/>
          </w:tcPr>
          <w:p w:rsidR="00EE0C8C" w:rsidRPr="00EE0C8C" w:rsidRDefault="00EE0C8C" w:rsidP="00EE0C8C">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tc>
        <w:tc>
          <w:tcPr>
            <w:tcW w:w="1426" w:type="dxa"/>
            <w:vMerge/>
          </w:tcPr>
          <w:p w:rsidR="00EE0C8C" w:rsidRPr="00EE0C8C" w:rsidRDefault="00EE0C8C" w:rsidP="00EE0C8C">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tc>
        <w:tc>
          <w:tcPr>
            <w:tcW w:w="629" w:type="dxa"/>
            <w:textDirection w:val="btLr"/>
          </w:tcPr>
          <w:p w:rsidR="00EE0C8C" w:rsidRPr="00EE0C8C" w:rsidRDefault="00EE0C8C" w:rsidP="00EE0C8C">
            <w:pPr>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rPr>
            </w:pPr>
            <w:r w:rsidRPr="00EE0C8C">
              <w:rPr>
                <w:rFonts w:ascii="Calibri" w:eastAsia="Calibri" w:hAnsi="Calibri" w:cs="Times New Roman"/>
                <w:b/>
              </w:rPr>
              <w:t>III</w:t>
            </w:r>
          </w:p>
        </w:tc>
        <w:tc>
          <w:tcPr>
            <w:tcW w:w="663" w:type="dxa"/>
            <w:textDirection w:val="btLr"/>
          </w:tcPr>
          <w:p w:rsidR="00EE0C8C" w:rsidRPr="00EE0C8C" w:rsidRDefault="00EE0C8C" w:rsidP="00EE0C8C">
            <w:pPr>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rPr>
            </w:pPr>
            <w:r w:rsidRPr="00EE0C8C">
              <w:rPr>
                <w:rFonts w:ascii="Calibri" w:eastAsia="Calibri" w:hAnsi="Calibri" w:cs="Times New Roman"/>
                <w:b/>
              </w:rPr>
              <w:t>IIIa</w:t>
            </w:r>
          </w:p>
        </w:tc>
        <w:tc>
          <w:tcPr>
            <w:tcW w:w="667" w:type="dxa"/>
            <w:textDirection w:val="btLr"/>
          </w:tcPr>
          <w:p w:rsidR="00EE0C8C" w:rsidRPr="00EE0C8C" w:rsidRDefault="00EE0C8C" w:rsidP="00EE0C8C">
            <w:pPr>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rPr>
            </w:pPr>
            <w:r w:rsidRPr="00EE0C8C">
              <w:rPr>
                <w:rFonts w:ascii="Calibri" w:eastAsia="Calibri" w:hAnsi="Calibri" w:cs="Times New Roman"/>
                <w:b/>
              </w:rPr>
              <w:t>IIIb</w:t>
            </w:r>
          </w:p>
        </w:tc>
        <w:tc>
          <w:tcPr>
            <w:tcW w:w="633" w:type="dxa"/>
            <w:textDirection w:val="btLr"/>
          </w:tcPr>
          <w:p w:rsidR="00EE0C8C" w:rsidRPr="00EE0C8C" w:rsidRDefault="00EE0C8C" w:rsidP="00EE0C8C">
            <w:pPr>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rPr>
            </w:pPr>
            <w:r w:rsidRPr="00EE0C8C">
              <w:rPr>
                <w:rFonts w:ascii="Calibri" w:eastAsia="Calibri" w:hAnsi="Calibri" w:cs="Times New Roman"/>
                <w:b/>
              </w:rPr>
              <w:t>IV</w:t>
            </w:r>
          </w:p>
        </w:tc>
        <w:tc>
          <w:tcPr>
            <w:tcW w:w="668" w:type="dxa"/>
            <w:textDirection w:val="btLr"/>
          </w:tcPr>
          <w:p w:rsidR="00EE0C8C" w:rsidRPr="00EE0C8C" w:rsidRDefault="00EE0C8C" w:rsidP="00EE0C8C">
            <w:pPr>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rPr>
            </w:pPr>
            <w:r w:rsidRPr="00EE0C8C">
              <w:rPr>
                <w:rFonts w:ascii="Calibri" w:eastAsia="Calibri" w:hAnsi="Calibri" w:cs="Times New Roman"/>
                <w:b/>
              </w:rPr>
              <w:t>IVa</w:t>
            </w:r>
          </w:p>
        </w:tc>
        <w:tc>
          <w:tcPr>
            <w:tcW w:w="672" w:type="dxa"/>
            <w:textDirection w:val="btLr"/>
          </w:tcPr>
          <w:p w:rsidR="00EE0C8C" w:rsidRPr="00EE0C8C" w:rsidRDefault="00EE0C8C" w:rsidP="00EE0C8C">
            <w:pPr>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rPr>
            </w:pPr>
            <w:r w:rsidRPr="00EE0C8C">
              <w:rPr>
                <w:rFonts w:ascii="Calibri" w:eastAsia="Calibri" w:hAnsi="Calibri" w:cs="Times New Roman"/>
                <w:b/>
              </w:rPr>
              <w:t>IVb</w:t>
            </w:r>
          </w:p>
        </w:tc>
        <w:tc>
          <w:tcPr>
            <w:tcW w:w="615" w:type="dxa"/>
            <w:textDirection w:val="btLr"/>
          </w:tcPr>
          <w:p w:rsidR="00EE0C8C" w:rsidRPr="00EE0C8C" w:rsidRDefault="00EE0C8C" w:rsidP="00EE0C8C">
            <w:pPr>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rPr>
            </w:pPr>
            <w:r w:rsidRPr="00EE0C8C">
              <w:rPr>
                <w:rFonts w:ascii="Calibri" w:eastAsia="Calibri" w:hAnsi="Calibri" w:cs="Times New Roman"/>
                <w:b/>
              </w:rPr>
              <w:t>V</w:t>
            </w:r>
          </w:p>
        </w:tc>
        <w:tc>
          <w:tcPr>
            <w:tcW w:w="576" w:type="dxa"/>
            <w:textDirection w:val="btLr"/>
          </w:tcPr>
          <w:p w:rsidR="00EE0C8C" w:rsidRPr="00EE0C8C" w:rsidRDefault="00EE0C8C" w:rsidP="00EE0C8C">
            <w:pPr>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rPr>
            </w:pPr>
            <w:r w:rsidRPr="00EE0C8C">
              <w:rPr>
                <w:rFonts w:ascii="Calibri" w:eastAsia="Calibri" w:hAnsi="Calibri" w:cs="Times New Roman"/>
                <w:b/>
              </w:rPr>
              <w:t>VI</w:t>
            </w:r>
          </w:p>
        </w:tc>
        <w:tc>
          <w:tcPr>
            <w:tcW w:w="576" w:type="dxa"/>
            <w:textDirection w:val="btLr"/>
          </w:tcPr>
          <w:p w:rsidR="00EE0C8C" w:rsidRPr="00EE0C8C" w:rsidRDefault="00EE0C8C" w:rsidP="00EE0C8C">
            <w:pPr>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rPr>
            </w:pPr>
            <w:r w:rsidRPr="00EE0C8C">
              <w:rPr>
                <w:rFonts w:ascii="Calibri" w:eastAsia="Calibri" w:hAnsi="Calibri" w:cs="Times New Roman"/>
                <w:b/>
              </w:rPr>
              <w:t>VIz</w:t>
            </w:r>
          </w:p>
        </w:tc>
      </w:tr>
      <w:tr w:rsidR="00EE0C8C" w:rsidRPr="00EE0C8C" w:rsidTr="00A76BDB">
        <w:trPr>
          <w:trHeight w:val="1065"/>
        </w:trPr>
        <w:tc>
          <w:tcPr>
            <w:cnfStyle w:val="001000000000" w:firstRow="0" w:lastRow="0" w:firstColumn="1" w:lastColumn="0" w:oddVBand="0" w:evenVBand="0" w:oddHBand="0" w:evenHBand="0" w:firstRowFirstColumn="0" w:firstRowLastColumn="0" w:lastRowFirstColumn="0" w:lastRowLastColumn="0"/>
            <w:tcW w:w="520" w:type="dxa"/>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I</w:t>
            </w:r>
          </w:p>
        </w:tc>
        <w:tc>
          <w:tcPr>
            <w:tcW w:w="1598" w:type="dxa"/>
          </w:tcPr>
          <w:p w:rsidR="00EE0C8C" w:rsidRPr="00EE0C8C" w:rsidRDefault="00EE0C8C" w:rsidP="00EE0C8C">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rPr>
            </w:pPr>
            <w:r w:rsidRPr="00EE0C8C">
              <w:rPr>
                <w:rFonts w:ascii="Calibri" w:eastAsia="Calibri" w:hAnsi="Calibri" w:cs="Times New Roman"/>
                <w:b/>
              </w:rPr>
              <w:t>Użytki rolne w tym:</w:t>
            </w:r>
          </w:p>
        </w:tc>
        <w:tc>
          <w:tcPr>
            <w:tcW w:w="1426" w:type="dxa"/>
          </w:tcPr>
          <w:p w:rsidR="00EE0C8C" w:rsidRPr="00EE0C8C" w:rsidRDefault="00EE0C8C" w:rsidP="00EE0C8C">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rPr>
            </w:pPr>
            <w:r w:rsidRPr="00EE0C8C">
              <w:rPr>
                <w:rFonts w:ascii="Calibri" w:eastAsia="Calibri" w:hAnsi="Calibri" w:cs="Times New Roman"/>
                <w:b/>
              </w:rPr>
              <w:t>6149,2370</w:t>
            </w:r>
          </w:p>
        </w:tc>
        <w:tc>
          <w:tcPr>
            <w:tcW w:w="629" w:type="dxa"/>
            <w:textDirection w:val="btLr"/>
          </w:tcPr>
          <w:p w:rsidR="00EE0C8C" w:rsidRPr="00EE0C8C" w:rsidRDefault="00EE0C8C" w:rsidP="00EE0C8C">
            <w:pPr>
              <w:ind w:left="113" w:right="113"/>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rPr>
            </w:pPr>
            <w:r w:rsidRPr="00EE0C8C">
              <w:rPr>
                <w:rFonts w:ascii="Calibri" w:eastAsia="Calibri" w:hAnsi="Calibri" w:cs="Times New Roman"/>
                <w:b/>
              </w:rPr>
              <w:t>45,5182</w:t>
            </w:r>
          </w:p>
        </w:tc>
        <w:tc>
          <w:tcPr>
            <w:tcW w:w="663" w:type="dxa"/>
            <w:textDirection w:val="btLr"/>
          </w:tcPr>
          <w:p w:rsidR="00EE0C8C" w:rsidRPr="00EE0C8C" w:rsidRDefault="00EE0C8C" w:rsidP="00EE0C8C">
            <w:pPr>
              <w:ind w:left="113" w:right="113"/>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rPr>
            </w:pPr>
            <w:r w:rsidRPr="00EE0C8C">
              <w:rPr>
                <w:rFonts w:ascii="Calibri" w:eastAsia="Calibri" w:hAnsi="Calibri" w:cs="Times New Roman"/>
                <w:b/>
              </w:rPr>
              <w:t>53,2232</w:t>
            </w:r>
          </w:p>
        </w:tc>
        <w:tc>
          <w:tcPr>
            <w:tcW w:w="667" w:type="dxa"/>
            <w:textDirection w:val="btLr"/>
          </w:tcPr>
          <w:p w:rsidR="00EE0C8C" w:rsidRPr="00EE0C8C" w:rsidRDefault="00EE0C8C" w:rsidP="00EE0C8C">
            <w:pPr>
              <w:ind w:left="113" w:right="113"/>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rPr>
            </w:pPr>
            <w:r w:rsidRPr="00EE0C8C">
              <w:rPr>
                <w:rFonts w:ascii="Calibri" w:eastAsia="Calibri" w:hAnsi="Calibri" w:cs="Times New Roman"/>
                <w:b/>
              </w:rPr>
              <w:t>196,7053</w:t>
            </w:r>
          </w:p>
        </w:tc>
        <w:tc>
          <w:tcPr>
            <w:tcW w:w="633" w:type="dxa"/>
            <w:textDirection w:val="btLr"/>
          </w:tcPr>
          <w:p w:rsidR="00EE0C8C" w:rsidRPr="00EE0C8C" w:rsidRDefault="00EE0C8C" w:rsidP="00EE0C8C">
            <w:pPr>
              <w:ind w:left="113" w:right="113"/>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rPr>
            </w:pPr>
            <w:r w:rsidRPr="00EE0C8C">
              <w:rPr>
                <w:rFonts w:ascii="Calibri" w:eastAsia="Calibri" w:hAnsi="Calibri" w:cs="Times New Roman"/>
                <w:b/>
              </w:rPr>
              <w:t>728,9770</w:t>
            </w:r>
          </w:p>
        </w:tc>
        <w:tc>
          <w:tcPr>
            <w:tcW w:w="668" w:type="dxa"/>
            <w:textDirection w:val="btLr"/>
          </w:tcPr>
          <w:p w:rsidR="00EE0C8C" w:rsidRPr="00EE0C8C" w:rsidRDefault="00EE0C8C" w:rsidP="00EE0C8C">
            <w:pPr>
              <w:ind w:left="113" w:right="113"/>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rPr>
            </w:pPr>
            <w:r w:rsidRPr="00EE0C8C">
              <w:rPr>
                <w:rFonts w:ascii="Calibri" w:eastAsia="Calibri" w:hAnsi="Calibri" w:cs="Times New Roman"/>
                <w:b/>
              </w:rPr>
              <w:t>977,8402</w:t>
            </w:r>
          </w:p>
        </w:tc>
        <w:tc>
          <w:tcPr>
            <w:tcW w:w="672" w:type="dxa"/>
            <w:textDirection w:val="btLr"/>
          </w:tcPr>
          <w:p w:rsidR="00EE0C8C" w:rsidRPr="00EE0C8C" w:rsidRDefault="00EE0C8C" w:rsidP="00EE0C8C">
            <w:pPr>
              <w:ind w:left="113" w:right="113"/>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rPr>
            </w:pPr>
            <w:r w:rsidRPr="00EE0C8C">
              <w:rPr>
                <w:rFonts w:ascii="Calibri" w:eastAsia="Calibri" w:hAnsi="Calibri" w:cs="Times New Roman"/>
                <w:b/>
              </w:rPr>
              <w:t>1404,2340</w:t>
            </w:r>
          </w:p>
        </w:tc>
        <w:tc>
          <w:tcPr>
            <w:tcW w:w="615" w:type="dxa"/>
            <w:textDirection w:val="btLr"/>
          </w:tcPr>
          <w:p w:rsidR="00EE0C8C" w:rsidRPr="00EE0C8C" w:rsidRDefault="00EE0C8C" w:rsidP="00EE0C8C">
            <w:pPr>
              <w:ind w:left="113" w:right="113"/>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rPr>
            </w:pPr>
            <w:r w:rsidRPr="00EE0C8C">
              <w:rPr>
                <w:rFonts w:ascii="Calibri" w:eastAsia="Calibri" w:hAnsi="Calibri" w:cs="Times New Roman"/>
                <w:b/>
              </w:rPr>
              <w:t>2016,3384</w:t>
            </w:r>
          </w:p>
        </w:tc>
        <w:tc>
          <w:tcPr>
            <w:tcW w:w="576" w:type="dxa"/>
            <w:textDirection w:val="btLr"/>
          </w:tcPr>
          <w:p w:rsidR="00EE0C8C" w:rsidRPr="00EE0C8C" w:rsidRDefault="00EE0C8C" w:rsidP="00EE0C8C">
            <w:pPr>
              <w:ind w:left="113" w:right="113"/>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rPr>
            </w:pPr>
            <w:r w:rsidRPr="00EE0C8C">
              <w:rPr>
                <w:rFonts w:ascii="Calibri" w:eastAsia="Calibri" w:hAnsi="Calibri" w:cs="Times New Roman"/>
                <w:b/>
              </w:rPr>
              <w:t>695,6644</w:t>
            </w:r>
          </w:p>
        </w:tc>
        <w:tc>
          <w:tcPr>
            <w:tcW w:w="576" w:type="dxa"/>
            <w:textDirection w:val="btLr"/>
          </w:tcPr>
          <w:p w:rsidR="00EE0C8C" w:rsidRPr="00EE0C8C" w:rsidRDefault="00EE0C8C" w:rsidP="00EE0C8C">
            <w:pPr>
              <w:ind w:left="113" w:right="113"/>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rPr>
            </w:pPr>
            <w:r w:rsidRPr="00EE0C8C">
              <w:rPr>
                <w:rFonts w:ascii="Calibri" w:eastAsia="Calibri" w:hAnsi="Calibri" w:cs="Times New Roman"/>
                <w:b/>
              </w:rPr>
              <w:t>31,7363</w:t>
            </w:r>
          </w:p>
        </w:tc>
      </w:tr>
      <w:tr w:rsidR="00EE0C8C" w:rsidRPr="00EE0C8C" w:rsidTr="00A76BDB">
        <w:trPr>
          <w:cnfStyle w:val="000000100000" w:firstRow="0" w:lastRow="0" w:firstColumn="0" w:lastColumn="0" w:oddVBand="0" w:evenVBand="0" w:oddHBand="1" w:evenHBand="0" w:firstRowFirstColumn="0" w:firstRowLastColumn="0" w:lastRowFirstColumn="0" w:lastRowLastColumn="0"/>
          <w:trHeight w:val="1128"/>
        </w:trPr>
        <w:tc>
          <w:tcPr>
            <w:cnfStyle w:val="001000000000" w:firstRow="0" w:lastRow="0" w:firstColumn="1" w:lastColumn="0" w:oddVBand="0" w:evenVBand="0" w:oddHBand="0" w:evenHBand="0" w:firstRowFirstColumn="0" w:firstRowLastColumn="0" w:lastRowFirstColumn="0" w:lastRowLastColumn="0"/>
            <w:tcW w:w="520" w:type="dxa"/>
          </w:tcPr>
          <w:p w:rsidR="00EE0C8C" w:rsidRPr="00EE0C8C" w:rsidRDefault="00EE0C8C" w:rsidP="00EE0C8C">
            <w:pPr>
              <w:jc w:val="both"/>
              <w:rPr>
                <w:rFonts w:ascii="Calibri" w:eastAsia="Times New Roman" w:hAnsi="Calibri" w:cs="Times New Roman"/>
                <w:lang w:eastAsia="pl-PL"/>
              </w:rPr>
            </w:pPr>
            <w:r w:rsidRPr="00EE0C8C">
              <w:rPr>
                <w:rFonts w:ascii="Calibri" w:eastAsia="Calibri" w:hAnsi="Calibri" w:cs="Times New Roman"/>
              </w:rPr>
              <w:t>1.</w:t>
            </w:r>
          </w:p>
        </w:tc>
        <w:tc>
          <w:tcPr>
            <w:tcW w:w="1598" w:type="dxa"/>
          </w:tcPr>
          <w:p w:rsidR="00EE0C8C" w:rsidRPr="00EE0C8C" w:rsidRDefault="00EE0C8C" w:rsidP="00EE0C8C">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Grunty orne</w:t>
            </w:r>
          </w:p>
        </w:tc>
        <w:tc>
          <w:tcPr>
            <w:tcW w:w="1426" w:type="dxa"/>
          </w:tcPr>
          <w:p w:rsidR="00EE0C8C" w:rsidRPr="00EE0C8C" w:rsidRDefault="00EE0C8C" w:rsidP="00EE0C8C">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4896,1636</w:t>
            </w:r>
          </w:p>
        </w:tc>
        <w:tc>
          <w:tcPr>
            <w:tcW w:w="629" w:type="dxa"/>
            <w:textDirection w:val="btLr"/>
          </w:tcPr>
          <w:p w:rsidR="00EE0C8C" w:rsidRPr="00EE0C8C" w:rsidRDefault="00EE0C8C" w:rsidP="00EE0C8C">
            <w:pPr>
              <w:ind w:left="113" w:right="113"/>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tc>
        <w:tc>
          <w:tcPr>
            <w:tcW w:w="663" w:type="dxa"/>
            <w:textDirection w:val="btLr"/>
          </w:tcPr>
          <w:p w:rsidR="00EE0C8C" w:rsidRPr="00EE0C8C" w:rsidRDefault="00EE0C8C" w:rsidP="00EE0C8C">
            <w:pPr>
              <w:ind w:left="113" w:right="113"/>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51,3123</w:t>
            </w:r>
          </w:p>
        </w:tc>
        <w:tc>
          <w:tcPr>
            <w:tcW w:w="667" w:type="dxa"/>
            <w:textDirection w:val="btLr"/>
          </w:tcPr>
          <w:p w:rsidR="00EE0C8C" w:rsidRPr="00EE0C8C" w:rsidRDefault="00EE0C8C" w:rsidP="00EE0C8C">
            <w:pPr>
              <w:ind w:left="113" w:right="113"/>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192,6944</w:t>
            </w:r>
          </w:p>
        </w:tc>
        <w:tc>
          <w:tcPr>
            <w:tcW w:w="633" w:type="dxa"/>
            <w:textDirection w:val="btLr"/>
          </w:tcPr>
          <w:p w:rsidR="00EE0C8C" w:rsidRPr="00EE0C8C" w:rsidRDefault="00EE0C8C" w:rsidP="00EE0C8C">
            <w:pPr>
              <w:ind w:left="113" w:right="113"/>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tc>
        <w:tc>
          <w:tcPr>
            <w:tcW w:w="668" w:type="dxa"/>
            <w:textDirection w:val="btLr"/>
          </w:tcPr>
          <w:p w:rsidR="00EE0C8C" w:rsidRPr="00EE0C8C" w:rsidRDefault="00EE0C8C" w:rsidP="00EE0C8C">
            <w:pPr>
              <w:ind w:left="113" w:right="113"/>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944,8982</w:t>
            </w:r>
          </w:p>
        </w:tc>
        <w:tc>
          <w:tcPr>
            <w:tcW w:w="672" w:type="dxa"/>
            <w:textDirection w:val="btLr"/>
          </w:tcPr>
          <w:p w:rsidR="00EE0C8C" w:rsidRPr="00EE0C8C" w:rsidRDefault="00EE0C8C" w:rsidP="00EE0C8C">
            <w:pPr>
              <w:ind w:left="113" w:right="113"/>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1388,7224</w:t>
            </w:r>
          </w:p>
        </w:tc>
        <w:tc>
          <w:tcPr>
            <w:tcW w:w="615" w:type="dxa"/>
            <w:textDirection w:val="btLr"/>
          </w:tcPr>
          <w:p w:rsidR="00EE0C8C" w:rsidRPr="00EE0C8C" w:rsidRDefault="00EE0C8C" w:rsidP="00EE0C8C">
            <w:pPr>
              <w:ind w:left="113" w:right="113"/>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1644,8443</w:t>
            </w:r>
          </w:p>
        </w:tc>
        <w:tc>
          <w:tcPr>
            <w:tcW w:w="576" w:type="dxa"/>
            <w:textDirection w:val="btLr"/>
          </w:tcPr>
          <w:p w:rsidR="00EE0C8C" w:rsidRPr="00EE0C8C" w:rsidRDefault="00EE0C8C" w:rsidP="00EE0C8C">
            <w:pPr>
              <w:ind w:left="113" w:right="113"/>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655,3407</w:t>
            </w:r>
          </w:p>
        </w:tc>
        <w:tc>
          <w:tcPr>
            <w:tcW w:w="576" w:type="dxa"/>
            <w:textDirection w:val="btLr"/>
          </w:tcPr>
          <w:p w:rsidR="00EE0C8C" w:rsidRPr="00EE0C8C" w:rsidRDefault="00EE0C8C" w:rsidP="00EE0C8C">
            <w:pPr>
              <w:ind w:left="113" w:right="113"/>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18,3513</w:t>
            </w:r>
          </w:p>
        </w:tc>
      </w:tr>
      <w:tr w:rsidR="00EE0C8C" w:rsidRPr="00EE0C8C" w:rsidTr="00A76BDB">
        <w:trPr>
          <w:trHeight w:val="967"/>
        </w:trPr>
        <w:tc>
          <w:tcPr>
            <w:cnfStyle w:val="001000000000" w:firstRow="0" w:lastRow="0" w:firstColumn="1" w:lastColumn="0" w:oddVBand="0" w:evenVBand="0" w:oddHBand="0" w:evenHBand="0" w:firstRowFirstColumn="0" w:firstRowLastColumn="0" w:lastRowFirstColumn="0" w:lastRowLastColumn="0"/>
            <w:tcW w:w="520" w:type="dxa"/>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 xml:space="preserve">2. </w:t>
            </w:r>
          </w:p>
        </w:tc>
        <w:tc>
          <w:tcPr>
            <w:tcW w:w="1598" w:type="dxa"/>
          </w:tcPr>
          <w:p w:rsidR="00EE0C8C" w:rsidRPr="00EE0C8C" w:rsidRDefault="00EE0C8C" w:rsidP="00EE0C8C">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Sady</w:t>
            </w:r>
          </w:p>
        </w:tc>
        <w:tc>
          <w:tcPr>
            <w:tcW w:w="1426" w:type="dxa"/>
          </w:tcPr>
          <w:p w:rsidR="00EE0C8C" w:rsidRPr="00EE0C8C" w:rsidRDefault="00EE0C8C" w:rsidP="00EE0C8C">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81,1755</w:t>
            </w:r>
          </w:p>
        </w:tc>
        <w:tc>
          <w:tcPr>
            <w:tcW w:w="629" w:type="dxa"/>
            <w:textDirection w:val="btLr"/>
          </w:tcPr>
          <w:p w:rsidR="00EE0C8C" w:rsidRPr="00EE0C8C" w:rsidRDefault="00EE0C8C" w:rsidP="00EE0C8C">
            <w:pPr>
              <w:ind w:left="113" w:right="113"/>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663" w:type="dxa"/>
            <w:textDirection w:val="btLr"/>
          </w:tcPr>
          <w:p w:rsidR="00EE0C8C" w:rsidRPr="00EE0C8C" w:rsidRDefault="00EE0C8C" w:rsidP="00EE0C8C">
            <w:pPr>
              <w:ind w:left="113" w:right="113"/>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1,9109</w:t>
            </w:r>
          </w:p>
        </w:tc>
        <w:tc>
          <w:tcPr>
            <w:tcW w:w="667" w:type="dxa"/>
            <w:textDirection w:val="btLr"/>
          </w:tcPr>
          <w:p w:rsidR="00EE0C8C" w:rsidRPr="00EE0C8C" w:rsidRDefault="00EE0C8C" w:rsidP="00EE0C8C">
            <w:pPr>
              <w:ind w:left="113" w:right="113"/>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4,0109</w:t>
            </w:r>
          </w:p>
        </w:tc>
        <w:tc>
          <w:tcPr>
            <w:tcW w:w="633" w:type="dxa"/>
            <w:textDirection w:val="btLr"/>
          </w:tcPr>
          <w:p w:rsidR="00EE0C8C" w:rsidRPr="00EE0C8C" w:rsidRDefault="00EE0C8C" w:rsidP="00EE0C8C">
            <w:pPr>
              <w:ind w:left="113" w:right="113"/>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668" w:type="dxa"/>
            <w:textDirection w:val="btLr"/>
          </w:tcPr>
          <w:p w:rsidR="00EE0C8C" w:rsidRPr="00EE0C8C" w:rsidRDefault="00EE0C8C" w:rsidP="00EE0C8C">
            <w:pPr>
              <w:ind w:left="113" w:right="113"/>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32,9420</w:t>
            </w:r>
          </w:p>
        </w:tc>
        <w:tc>
          <w:tcPr>
            <w:tcW w:w="672" w:type="dxa"/>
            <w:textDirection w:val="btLr"/>
          </w:tcPr>
          <w:p w:rsidR="00EE0C8C" w:rsidRPr="00EE0C8C" w:rsidRDefault="00EE0C8C" w:rsidP="00EE0C8C">
            <w:pPr>
              <w:ind w:left="113" w:right="113"/>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15,5116</w:t>
            </w:r>
          </w:p>
        </w:tc>
        <w:tc>
          <w:tcPr>
            <w:tcW w:w="615" w:type="dxa"/>
            <w:textDirection w:val="btLr"/>
          </w:tcPr>
          <w:p w:rsidR="00EE0C8C" w:rsidRPr="00EE0C8C" w:rsidRDefault="00EE0C8C" w:rsidP="00EE0C8C">
            <w:pPr>
              <w:ind w:left="113" w:right="113"/>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21,8398</w:t>
            </w:r>
          </w:p>
        </w:tc>
        <w:tc>
          <w:tcPr>
            <w:tcW w:w="576" w:type="dxa"/>
            <w:textDirection w:val="btLr"/>
          </w:tcPr>
          <w:p w:rsidR="00EE0C8C" w:rsidRPr="00EE0C8C" w:rsidRDefault="00EE0C8C" w:rsidP="00EE0C8C">
            <w:pPr>
              <w:ind w:left="113" w:right="113"/>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4,8603</w:t>
            </w:r>
          </w:p>
        </w:tc>
        <w:tc>
          <w:tcPr>
            <w:tcW w:w="576" w:type="dxa"/>
            <w:textDirection w:val="btLr"/>
          </w:tcPr>
          <w:p w:rsidR="00EE0C8C" w:rsidRPr="00EE0C8C" w:rsidRDefault="00EE0C8C" w:rsidP="00EE0C8C">
            <w:pPr>
              <w:ind w:left="113" w:right="113"/>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0,1000</w:t>
            </w:r>
          </w:p>
        </w:tc>
      </w:tr>
      <w:tr w:rsidR="00EE0C8C" w:rsidRPr="00EE0C8C" w:rsidTr="00A76BDB">
        <w:trPr>
          <w:cnfStyle w:val="000000100000" w:firstRow="0" w:lastRow="0" w:firstColumn="0" w:lastColumn="0" w:oddVBand="0" w:evenVBand="0" w:oddHBand="1" w:evenHBand="0" w:firstRowFirstColumn="0" w:firstRowLastColumn="0" w:lastRowFirstColumn="0" w:lastRowLastColumn="0"/>
          <w:trHeight w:val="967"/>
        </w:trPr>
        <w:tc>
          <w:tcPr>
            <w:cnfStyle w:val="001000000000" w:firstRow="0" w:lastRow="0" w:firstColumn="1" w:lastColumn="0" w:oddVBand="0" w:evenVBand="0" w:oddHBand="0" w:evenHBand="0" w:firstRowFirstColumn="0" w:firstRowLastColumn="0" w:lastRowFirstColumn="0" w:lastRowLastColumn="0"/>
            <w:tcW w:w="520" w:type="dxa"/>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3.</w:t>
            </w:r>
          </w:p>
        </w:tc>
        <w:tc>
          <w:tcPr>
            <w:tcW w:w="1598" w:type="dxa"/>
          </w:tcPr>
          <w:p w:rsidR="00EE0C8C" w:rsidRPr="00EE0C8C" w:rsidRDefault="00EE0C8C" w:rsidP="00EE0C8C">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Łąki</w:t>
            </w:r>
          </w:p>
        </w:tc>
        <w:tc>
          <w:tcPr>
            <w:tcW w:w="1426" w:type="dxa"/>
          </w:tcPr>
          <w:p w:rsidR="00EE0C8C" w:rsidRPr="00EE0C8C" w:rsidRDefault="00EE0C8C" w:rsidP="00EE0C8C">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864,9022</w:t>
            </w:r>
          </w:p>
        </w:tc>
        <w:tc>
          <w:tcPr>
            <w:tcW w:w="629" w:type="dxa"/>
            <w:textDirection w:val="btLr"/>
          </w:tcPr>
          <w:p w:rsidR="00EE0C8C" w:rsidRPr="00EE0C8C" w:rsidRDefault="00EE0C8C" w:rsidP="00EE0C8C">
            <w:pPr>
              <w:ind w:left="113" w:right="113"/>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29,0549</w:t>
            </w:r>
          </w:p>
        </w:tc>
        <w:tc>
          <w:tcPr>
            <w:tcW w:w="663" w:type="dxa"/>
            <w:textDirection w:val="btLr"/>
          </w:tcPr>
          <w:p w:rsidR="00EE0C8C" w:rsidRPr="00EE0C8C" w:rsidRDefault="00EE0C8C" w:rsidP="00EE0C8C">
            <w:pPr>
              <w:ind w:left="113" w:right="113"/>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tc>
        <w:tc>
          <w:tcPr>
            <w:tcW w:w="667" w:type="dxa"/>
            <w:textDirection w:val="btLr"/>
          </w:tcPr>
          <w:p w:rsidR="00EE0C8C" w:rsidRPr="00EE0C8C" w:rsidRDefault="00EE0C8C" w:rsidP="00EE0C8C">
            <w:pPr>
              <w:ind w:left="113" w:right="113"/>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tc>
        <w:tc>
          <w:tcPr>
            <w:tcW w:w="633" w:type="dxa"/>
            <w:textDirection w:val="btLr"/>
          </w:tcPr>
          <w:p w:rsidR="00EE0C8C" w:rsidRPr="00EE0C8C" w:rsidRDefault="00EE0C8C" w:rsidP="00EE0C8C">
            <w:pPr>
              <w:ind w:left="113" w:right="113"/>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582,9149</w:t>
            </w:r>
          </w:p>
        </w:tc>
        <w:tc>
          <w:tcPr>
            <w:tcW w:w="668" w:type="dxa"/>
            <w:textDirection w:val="btLr"/>
          </w:tcPr>
          <w:p w:rsidR="00EE0C8C" w:rsidRPr="00EE0C8C" w:rsidRDefault="00EE0C8C" w:rsidP="00EE0C8C">
            <w:pPr>
              <w:ind w:left="113" w:right="113"/>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tc>
        <w:tc>
          <w:tcPr>
            <w:tcW w:w="672" w:type="dxa"/>
            <w:textDirection w:val="btLr"/>
          </w:tcPr>
          <w:p w:rsidR="00EE0C8C" w:rsidRPr="00EE0C8C" w:rsidRDefault="00EE0C8C" w:rsidP="00EE0C8C">
            <w:pPr>
              <w:ind w:left="113" w:right="113"/>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tc>
        <w:tc>
          <w:tcPr>
            <w:tcW w:w="615" w:type="dxa"/>
            <w:textDirection w:val="btLr"/>
          </w:tcPr>
          <w:p w:rsidR="00EE0C8C" w:rsidRPr="00EE0C8C" w:rsidRDefault="00EE0C8C" w:rsidP="00EE0C8C">
            <w:pPr>
              <w:ind w:left="113" w:right="113"/>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242,9584</w:t>
            </w:r>
          </w:p>
        </w:tc>
        <w:tc>
          <w:tcPr>
            <w:tcW w:w="576" w:type="dxa"/>
            <w:textDirection w:val="btLr"/>
          </w:tcPr>
          <w:p w:rsidR="00EE0C8C" w:rsidRPr="00EE0C8C" w:rsidRDefault="00EE0C8C" w:rsidP="00EE0C8C">
            <w:pPr>
              <w:ind w:left="113" w:right="113"/>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9,9740</w:t>
            </w:r>
          </w:p>
        </w:tc>
        <w:tc>
          <w:tcPr>
            <w:tcW w:w="576" w:type="dxa"/>
            <w:textDirection w:val="btLr"/>
          </w:tcPr>
          <w:p w:rsidR="00EE0C8C" w:rsidRPr="00EE0C8C" w:rsidRDefault="00EE0C8C" w:rsidP="00EE0C8C">
            <w:pPr>
              <w:ind w:left="113" w:right="113"/>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tc>
      </w:tr>
      <w:tr w:rsidR="00EE0C8C" w:rsidRPr="00EE0C8C" w:rsidTr="00A76BDB">
        <w:trPr>
          <w:trHeight w:val="967"/>
        </w:trPr>
        <w:tc>
          <w:tcPr>
            <w:cnfStyle w:val="001000000000" w:firstRow="0" w:lastRow="0" w:firstColumn="1" w:lastColumn="0" w:oddVBand="0" w:evenVBand="0" w:oddHBand="0" w:evenHBand="0" w:firstRowFirstColumn="0" w:firstRowLastColumn="0" w:lastRowFirstColumn="0" w:lastRowLastColumn="0"/>
            <w:tcW w:w="520" w:type="dxa"/>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4.</w:t>
            </w:r>
          </w:p>
        </w:tc>
        <w:tc>
          <w:tcPr>
            <w:tcW w:w="1598" w:type="dxa"/>
          </w:tcPr>
          <w:p w:rsidR="00EE0C8C" w:rsidRPr="00EE0C8C" w:rsidRDefault="00EE0C8C" w:rsidP="00EE0C8C">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Pastwiska</w:t>
            </w:r>
          </w:p>
        </w:tc>
        <w:tc>
          <w:tcPr>
            <w:tcW w:w="1426" w:type="dxa"/>
          </w:tcPr>
          <w:p w:rsidR="00EE0C8C" w:rsidRPr="00EE0C8C" w:rsidRDefault="00EE0C8C" w:rsidP="00EE0C8C">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306,9957</w:t>
            </w:r>
          </w:p>
        </w:tc>
        <w:tc>
          <w:tcPr>
            <w:tcW w:w="629" w:type="dxa"/>
            <w:textDirection w:val="btLr"/>
          </w:tcPr>
          <w:p w:rsidR="00EE0C8C" w:rsidRPr="00EE0C8C" w:rsidRDefault="00EE0C8C" w:rsidP="00EE0C8C">
            <w:pPr>
              <w:ind w:left="113" w:right="113"/>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15,4633</w:t>
            </w:r>
          </w:p>
        </w:tc>
        <w:tc>
          <w:tcPr>
            <w:tcW w:w="663" w:type="dxa"/>
            <w:textDirection w:val="btLr"/>
          </w:tcPr>
          <w:p w:rsidR="00EE0C8C" w:rsidRPr="00EE0C8C" w:rsidRDefault="00EE0C8C" w:rsidP="00EE0C8C">
            <w:pPr>
              <w:ind w:left="113" w:right="113"/>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667" w:type="dxa"/>
            <w:textDirection w:val="btLr"/>
          </w:tcPr>
          <w:p w:rsidR="00EE0C8C" w:rsidRPr="00EE0C8C" w:rsidRDefault="00EE0C8C" w:rsidP="00EE0C8C">
            <w:pPr>
              <w:ind w:left="113" w:right="113"/>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633" w:type="dxa"/>
            <w:textDirection w:val="btLr"/>
          </w:tcPr>
          <w:p w:rsidR="00EE0C8C" w:rsidRPr="00EE0C8C" w:rsidRDefault="00EE0C8C" w:rsidP="00EE0C8C">
            <w:pPr>
              <w:ind w:left="113" w:right="113"/>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146,0621</w:t>
            </w:r>
          </w:p>
        </w:tc>
        <w:tc>
          <w:tcPr>
            <w:tcW w:w="668" w:type="dxa"/>
            <w:textDirection w:val="btLr"/>
          </w:tcPr>
          <w:p w:rsidR="00EE0C8C" w:rsidRPr="00EE0C8C" w:rsidRDefault="00EE0C8C" w:rsidP="00EE0C8C">
            <w:pPr>
              <w:ind w:left="113" w:right="113"/>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672" w:type="dxa"/>
            <w:textDirection w:val="btLr"/>
          </w:tcPr>
          <w:p w:rsidR="00EE0C8C" w:rsidRPr="00EE0C8C" w:rsidRDefault="00EE0C8C" w:rsidP="00EE0C8C">
            <w:pPr>
              <w:ind w:left="113" w:right="113"/>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615" w:type="dxa"/>
            <w:textDirection w:val="btLr"/>
          </w:tcPr>
          <w:p w:rsidR="00EE0C8C" w:rsidRPr="00EE0C8C" w:rsidRDefault="00EE0C8C" w:rsidP="00EE0C8C">
            <w:pPr>
              <w:ind w:left="113" w:right="113"/>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106,6959</w:t>
            </w:r>
          </w:p>
        </w:tc>
        <w:tc>
          <w:tcPr>
            <w:tcW w:w="576" w:type="dxa"/>
            <w:textDirection w:val="btLr"/>
          </w:tcPr>
          <w:p w:rsidR="00EE0C8C" w:rsidRPr="00EE0C8C" w:rsidRDefault="00EE0C8C" w:rsidP="00EE0C8C">
            <w:pPr>
              <w:ind w:left="113" w:right="113"/>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25,4894</w:t>
            </w:r>
          </w:p>
        </w:tc>
        <w:tc>
          <w:tcPr>
            <w:tcW w:w="576" w:type="dxa"/>
            <w:textDirection w:val="btLr"/>
          </w:tcPr>
          <w:p w:rsidR="00EE0C8C" w:rsidRPr="00EE0C8C" w:rsidRDefault="00EE0C8C" w:rsidP="00EE0C8C">
            <w:pPr>
              <w:ind w:left="113" w:right="113"/>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13,2850</w:t>
            </w:r>
          </w:p>
        </w:tc>
      </w:tr>
      <w:tr w:rsidR="00EE0C8C" w:rsidRPr="00EE0C8C" w:rsidTr="00A76BDB">
        <w:trPr>
          <w:cnfStyle w:val="000000100000" w:firstRow="0" w:lastRow="0" w:firstColumn="0" w:lastColumn="0" w:oddVBand="0" w:evenVBand="0" w:oddHBand="1" w:evenHBand="0" w:firstRowFirstColumn="0" w:firstRowLastColumn="0" w:lastRowFirstColumn="0" w:lastRowLastColumn="0"/>
          <w:trHeight w:val="967"/>
        </w:trPr>
        <w:tc>
          <w:tcPr>
            <w:cnfStyle w:val="001000000000" w:firstRow="0" w:lastRow="0" w:firstColumn="1" w:lastColumn="0" w:oddVBand="0" w:evenVBand="0" w:oddHBand="0" w:evenHBand="0" w:firstRowFirstColumn="0" w:firstRowLastColumn="0" w:lastRowFirstColumn="0" w:lastRowLastColumn="0"/>
            <w:tcW w:w="520" w:type="dxa"/>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II.</w:t>
            </w:r>
          </w:p>
        </w:tc>
        <w:tc>
          <w:tcPr>
            <w:tcW w:w="1598" w:type="dxa"/>
          </w:tcPr>
          <w:p w:rsidR="00EE0C8C" w:rsidRPr="00EE0C8C" w:rsidRDefault="00EE0C8C" w:rsidP="00EE0C8C">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rPr>
            </w:pPr>
            <w:r w:rsidRPr="00EE0C8C">
              <w:rPr>
                <w:rFonts w:ascii="Calibri" w:eastAsia="Calibri" w:hAnsi="Calibri" w:cs="Times New Roman"/>
                <w:b/>
              </w:rPr>
              <w:t>Lasy i grunty pod lasami wyłączone z proj. mpzp</w:t>
            </w:r>
          </w:p>
        </w:tc>
        <w:tc>
          <w:tcPr>
            <w:tcW w:w="1426" w:type="dxa"/>
          </w:tcPr>
          <w:p w:rsidR="00EE0C8C" w:rsidRPr="00EE0C8C" w:rsidRDefault="00EE0C8C" w:rsidP="00EE0C8C">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rPr>
            </w:pPr>
            <w:r w:rsidRPr="00EE0C8C">
              <w:rPr>
                <w:rFonts w:ascii="Calibri" w:eastAsia="Calibri" w:hAnsi="Calibri" w:cs="Times New Roman"/>
                <w:b/>
              </w:rPr>
              <w:t>4408,9044</w:t>
            </w:r>
          </w:p>
        </w:tc>
        <w:tc>
          <w:tcPr>
            <w:tcW w:w="629" w:type="dxa"/>
            <w:textDirection w:val="btLr"/>
          </w:tcPr>
          <w:p w:rsidR="00EE0C8C" w:rsidRPr="00EE0C8C" w:rsidRDefault="00EE0C8C" w:rsidP="00EE0C8C">
            <w:pPr>
              <w:ind w:left="113" w:right="113"/>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rPr>
            </w:pPr>
          </w:p>
        </w:tc>
        <w:tc>
          <w:tcPr>
            <w:tcW w:w="663" w:type="dxa"/>
            <w:textDirection w:val="btLr"/>
          </w:tcPr>
          <w:p w:rsidR="00EE0C8C" w:rsidRPr="00EE0C8C" w:rsidRDefault="00EE0C8C" w:rsidP="00EE0C8C">
            <w:pPr>
              <w:ind w:left="113" w:right="113"/>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rPr>
            </w:pPr>
          </w:p>
        </w:tc>
        <w:tc>
          <w:tcPr>
            <w:tcW w:w="667" w:type="dxa"/>
            <w:textDirection w:val="btLr"/>
          </w:tcPr>
          <w:p w:rsidR="00EE0C8C" w:rsidRPr="00EE0C8C" w:rsidRDefault="00EE0C8C" w:rsidP="00EE0C8C">
            <w:pPr>
              <w:ind w:left="113" w:right="113"/>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rPr>
            </w:pPr>
          </w:p>
        </w:tc>
        <w:tc>
          <w:tcPr>
            <w:tcW w:w="633" w:type="dxa"/>
            <w:textDirection w:val="btLr"/>
          </w:tcPr>
          <w:p w:rsidR="00EE0C8C" w:rsidRPr="00EE0C8C" w:rsidRDefault="00EE0C8C" w:rsidP="00EE0C8C">
            <w:pPr>
              <w:ind w:left="113" w:right="113"/>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rPr>
            </w:pPr>
          </w:p>
        </w:tc>
        <w:tc>
          <w:tcPr>
            <w:tcW w:w="668" w:type="dxa"/>
            <w:textDirection w:val="btLr"/>
          </w:tcPr>
          <w:p w:rsidR="00EE0C8C" w:rsidRPr="00EE0C8C" w:rsidRDefault="00EE0C8C" w:rsidP="00EE0C8C">
            <w:pPr>
              <w:ind w:left="113" w:right="113"/>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rPr>
            </w:pPr>
          </w:p>
        </w:tc>
        <w:tc>
          <w:tcPr>
            <w:tcW w:w="672" w:type="dxa"/>
            <w:textDirection w:val="btLr"/>
          </w:tcPr>
          <w:p w:rsidR="00EE0C8C" w:rsidRPr="00EE0C8C" w:rsidRDefault="00EE0C8C" w:rsidP="00EE0C8C">
            <w:pPr>
              <w:ind w:left="113" w:right="113"/>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rPr>
            </w:pPr>
          </w:p>
        </w:tc>
        <w:tc>
          <w:tcPr>
            <w:tcW w:w="615" w:type="dxa"/>
            <w:textDirection w:val="btLr"/>
          </w:tcPr>
          <w:p w:rsidR="00EE0C8C" w:rsidRPr="00EE0C8C" w:rsidRDefault="00EE0C8C" w:rsidP="00EE0C8C">
            <w:pPr>
              <w:ind w:left="113" w:right="113"/>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rPr>
            </w:pPr>
          </w:p>
        </w:tc>
        <w:tc>
          <w:tcPr>
            <w:tcW w:w="576" w:type="dxa"/>
            <w:textDirection w:val="btLr"/>
          </w:tcPr>
          <w:p w:rsidR="00EE0C8C" w:rsidRPr="00EE0C8C" w:rsidRDefault="00EE0C8C" w:rsidP="00EE0C8C">
            <w:pPr>
              <w:ind w:left="113" w:right="113"/>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rPr>
            </w:pPr>
          </w:p>
        </w:tc>
        <w:tc>
          <w:tcPr>
            <w:tcW w:w="576" w:type="dxa"/>
            <w:textDirection w:val="btLr"/>
          </w:tcPr>
          <w:p w:rsidR="00EE0C8C" w:rsidRPr="00EE0C8C" w:rsidRDefault="00EE0C8C" w:rsidP="00EE0C8C">
            <w:pPr>
              <w:ind w:left="113" w:right="113"/>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rPr>
            </w:pPr>
          </w:p>
        </w:tc>
      </w:tr>
      <w:tr w:rsidR="00EE0C8C" w:rsidRPr="00EE0C8C" w:rsidTr="00A76BDB">
        <w:trPr>
          <w:trHeight w:val="967"/>
        </w:trPr>
        <w:tc>
          <w:tcPr>
            <w:cnfStyle w:val="001000000000" w:firstRow="0" w:lastRow="0" w:firstColumn="1" w:lastColumn="0" w:oddVBand="0" w:evenVBand="0" w:oddHBand="0" w:evenHBand="0" w:firstRowFirstColumn="0" w:firstRowLastColumn="0" w:lastRowFirstColumn="0" w:lastRowLastColumn="0"/>
            <w:tcW w:w="520" w:type="dxa"/>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III.</w:t>
            </w:r>
          </w:p>
        </w:tc>
        <w:tc>
          <w:tcPr>
            <w:tcW w:w="1598" w:type="dxa"/>
          </w:tcPr>
          <w:p w:rsidR="00EE0C8C" w:rsidRPr="00EE0C8C" w:rsidRDefault="00EE0C8C" w:rsidP="00EE0C8C">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rPr>
            </w:pPr>
            <w:r w:rsidRPr="00EE0C8C">
              <w:rPr>
                <w:rFonts w:ascii="Calibri" w:eastAsia="Calibri" w:hAnsi="Calibri" w:cs="Times New Roman"/>
                <w:b/>
              </w:rPr>
              <w:t>Grunty zadrzewione i zakrzewione</w:t>
            </w:r>
          </w:p>
        </w:tc>
        <w:tc>
          <w:tcPr>
            <w:tcW w:w="1426" w:type="dxa"/>
          </w:tcPr>
          <w:p w:rsidR="00EE0C8C" w:rsidRPr="00EE0C8C" w:rsidRDefault="00EE0C8C" w:rsidP="00EE0C8C">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rPr>
            </w:pPr>
            <w:r w:rsidRPr="00EE0C8C">
              <w:rPr>
                <w:rFonts w:ascii="Calibri" w:eastAsia="Calibri" w:hAnsi="Calibri" w:cs="Times New Roman"/>
                <w:b/>
              </w:rPr>
              <w:t>8,1316</w:t>
            </w:r>
          </w:p>
        </w:tc>
        <w:tc>
          <w:tcPr>
            <w:tcW w:w="629" w:type="dxa"/>
            <w:textDirection w:val="btLr"/>
          </w:tcPr>
          <w:p w:rsidR="00EE0C8C" w:rsidRPr="00EE0C8C" w:rsidRDefault="00EE0C8C" w:rsidP="00EE0C8C">
            <w:pPr>
              <w:ind w:left="113" w:right="113"/>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rPr>
            </w:pPr>
          </w:p>
        </w:tc>
        <w:tc>
          <w:tcPr>
            <w:tcW w:w="663" w:type="dxa"/>
            <w:textDirection w:val="btLr"/>
          </w:tcPr>
          <w:p w:rsidR="00EE0C8C" w:rsidRPr="00EE0C8C" w:rsidRDefault="00EE0C8C" w:rsidP="00EE0C8C">
            <w:pPr>
              <w:ind w:left="113" w:right="113"/>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rPr>
            </w:pPr>
          </w:p>
        </w:tc>
        <w:tc>
          <w:tcPr>
            <w:tcW w:w="667" w:type="dxa"/>
            <w:textDirection w:val="btLr"/>
          </w:tcPr>
          <w:p w:rsidR="00EE0C8C" w:rsidRPr="00EE0C8C" w:rsidRDefault="00EE0C8C" w:rsidP="00EE0C8C">
            <w:pPr>
              <w:ind w:left="113" w:right="113"/>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rPr>
            </w:pPr>
          </w:p>
        </w:tc>
        <w:tc>
          <w:tcPr>
            <w:tcW w:w="633" w:type="dxa"/>
            <w:textDirection w:val="btLr"/>
          </w:tcPr>
          <w:p w:rsidR="00EE0C8C" w:rsidRPr="00EE0C8C" w:rsidRDefault="00EE0C8C" w:rsidP="00EE0C8C">
            <w:pPr>
              <w:ind w:left="113" w:right="113"/>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rPr>
            </w:pPr>
          </w:p>
        </w:tc>
        <w:tc>
          <w:tcPr>
            <w:tcW w:w="668" w:type="dxa"/>
            <w:textDirection w:val="btLr"/>
          </w:tcPr>
          <w:p w:rsidR="00EE0C8C" w:rsidRPr="00EE0C8C" w:rsidRDefault="00EE0C8C" w:rsidP="00EE0C8C">
            <w:pPr>
              <w:ind w:left="113" w:right="113"/>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rPr>
            </w:pPr>
          </w:p>
        </w:tc>
        <w:tc>
          <w:tcPr>
            <w:tcW w:w="672" w:type="dxa"/>
            <w:textDirection w:val="btLr"/>
          </w:tcPr>
          <w:p w:rsidR="00EE0C8C" w:rsidRPr="00EE0C8C" w:rsidRDefault="00EE0C8C" w:rsidP="00EE0C8C">
            <w:pPr>
              <w:ind w:left="113" w:right="113"/>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rPr>
            </w:pPr>
          </w:p>
        </w:tc>
        <w:tc>
          <w:tcPr>
            <w:tcW w:w="615" w:type="dxa"/>
            <w:textDirection w:val="btLr"/>
          </w:tcPr>
          <w:p w:rsidR="00EE0C8C" w:rsidRPr="00EE0C8C" w:rsidRDefault="00EE0C8C" w:rsidP="00EE0C8C">
            <w:pPr>
              <w:ind w:left="113" w:right="113"/>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rPr>
            </w:pPr>
          </w:p>
        </w:tc>
        <w:tc>
          <w:tcPr>
            <w:tcW w:w="576" w:type="dxa"/>
            <w:textDirection w:val="btLr"/>
          </w:tcPr>
          <w:p w:rsidR="00EE0C8C" w:rsidRPr="00EE0C8C" w:rsidRDefault="00EE0C8C" w:rsidP="00EE0C8C">
            <w:pPr>
              <w:ind w:left="113" w:right="113"/>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rPr>
            </w:pPr>
          </w:p>
        </w:tc>
        <w:tc>
          <w:tcPr>
            <w:tcW w:w="576" w:type="dxa"/>
            <w:textDirection w:val="btLr"/>
          </w:tcPr>
          <w:p w:rsidR="00EE0C8C" w:rsidRPr="00EE0C8C" w:rsidRDefault="00EE0C8C" w:rsidP="00EE0C8C">
            <w:pPr>
              <w:ind w:left="113" w:right="113"/>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rPr>
            </w:pPr>
          </w:p>
        </w:tc>
      </w:tr>
      <w:tr w:rsidR="00EE0C8C" w:rsidRPr="00EE0C8C" w:rsidTr="00A76BDB">
        <w:trPr>
          <w:cnfStyle w:val="000000100000" w:firstRow="0" w:lastRow="0" w:firstColumn="0" w:lastColumn="0" w:oddVBand="0" w:evenVBand="0" w:oddHBand="1" w:evenHBand="0" w:firstRowFirstColumn="0" w:firstRowLastColumn="0" w:lastRowFirstColumn="0" w:lastRowLastColumn="0"/>
          <w:trHeight w:val="967"/>
        </w:trPr>
        <w:tc>
          <w:tcPr>
            <w:cnfStyle w:val="001000000000" w:firstRow="0" w:lastRow="0" w:firstColumn="1" w:lastColumn="0" w:oddVBand="0" w:evenVBand="0" w:oddHBand="0" w:evenHBand="0" w:firstRowFirstColumn="0" w:firstRowLastColumn="0" w:lastRowFirstColumn="0" w:lastRowLastColumn="0"/>
            <w:tcW w:w="520" w:type="dxa"/>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IV.</w:t>
            </w:r>
          </w:p>
        </w:tc>
        <w:tc>
          <w:tcPr>
            <w:tcW w:w="1598" w:type="dxa"/>
          </w:tcPr>
          <w:p w:rsidR="00EE0C8C" w:rsidRPr="00EE0C8C" w:rsidRDefault="00EE0C8C" w:rsidP="00EE0C8C">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rPr>
            </w:pPr>
            <w:r w:rsidRPr="00EE0C8C">
              <w:rPr>
                <w:rFonts w:ascii="Calibri" w:eastAsia="Calibri" w:hAnsi="Calibri" w:cs="Times New Roman"/>
                <w:b/>
              </w:rPr>
              <w:t>Grunty pod wodami w tym:</w:t>
            </w:r>
          </w:p>
        </w:tc>
        <w:tc>
          <w:tcPr>
            <w:tcW w:w="1426" w:type="dxa"/>
          </w:tcPr>
          <w:p w:rsidR="00EE0C8C" w:rsidRPr="00EE0C8C" w:rsidRDefault="00EE0C8C" w:rsidP="00EE0C8C">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rPr>
            </w:pPr>
            <w:r w:rsidRPr="00EE0C8C">
              <w:rPr>
                <w:rFonts w:ascii="Calibri" w:eastAsia="Calibri" w:hAnsi="Calibri" w:cs="Times New Roman"/>
                <w:b/>
              </w:rPr>
              <w:t>41,6502</w:t>
            </w:r>
          </w:p>
        </w:tc>
        <w:tc>
          <w:tcPr>
            <w:tcW w:w="629" w:type="dxa"/>
            <w:textDirection w:val="btLr"/>
          </w:tcPr>
          <w:p w:rsidR="00EE0C8C" w:rsidRPr="00EE0C8C" w:rsidRDefault="00EE0C8C" w:rsidP="00EE0C8C">
            <w:pPr>
              <w:ind w:left="113" w:right="113"/>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rPr>
            </w:pPr>
          </w:p>
        </w:tc>
        <w:tc>
          <w:tcPr>
            <w:tcW w:w="663" w:type="dxa"/>
            <w:textDirection w:val="btLr"/>
          </w:tcPr>
          <w:p w:rsidR="00EE0C8C" w:rsidRPr="00EE0C8C" w:rsidRDefault="00EE0C8C" w:rsidP="00EE0C8C">
            <w:pPr>
              <w:ind w:left="113" w:right="113"/>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rPr>
            </w:pPr>
          </w:p>
        </w:tc>
        <w:tc>
          <w:tcPr>
            <w:tcW w:w="667" w:type="dxa"/>
            <w:textDirection w:val="btLr"/>
          </w:tcPr>
          <w:p w:rsidR="00EE0C8C" w:rsidRPr="00EE0C8C" w:rsidRDefault="00EE0C8C" w:rsidP="00EE0C8C">
            <w:pPr>
              <w:ind w:left="113" w:right="113"/>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rPr>
            </w:pPr>
          </w:p>
        </w:tc>
        <w:tc>
          <w:tcPr>
            <w:tcW w:w="633" w:type="dxa"/>
            <w:textDirection w:val="btLr"/>
          </w:tcPr>
          <w:p w:rsidR="00EE0C8C" w:rsidRPr="00EE0C8C" w:rsidRDefault="00EE0C8C" w:rsidP="00EE0C8C">
            <w:pPr>
              <w:ind w:left="113" w:right="113"/>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rPr>
            </w:pPr>
          </w:p>
        </w:tc>
        <w:tc>
          <w:tcPr>
            <w:tcW w:w="668" w:type="dxa"/>
            <w:textDirection w:val="btLr"/>
          </w:tcPr>
          <w:p w:rsidR="00EE0C8C" w:rsidRPr="00EE0C8C" w:rsidRDefault="00EE0C8C" w:rsidP="00EE0C8C">
            <w:pPr>
              <w:ind w:left="113" w:right="113"/>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rPr>
            </w:pPr>
          </w:p>
        </w:tc>
        <w:tc>
          <w:tcPr>
            <w:tcW w:w="672" w:type="dxa"/>
            <w:textDirection w:val="btLr"/>
          </w:tcPr>
          <w:p w:rsidR="00EE0C8C" w:rsidRPr="00EE0C8C" w:rsidRDefault="00EE0C8C" w:rsidP="00EE0C8C">
            <w:pPr>
              <w:ind w:left="113" w:right="113"/>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rPr>
            </w:pPr>
          </w:p>
        </w:tc>
        <w:tc>
          <w:tcPr>
            <w:tcW w:w="615" w:type="dxa"/>
            <w:textDirection w:val="btLr"/>
          </w:tcPr>
          <w:p w:rsidR="00EE0C8C" w:rsidRPr="00EE0C8C" w:rsidRDefault="00EE0C8C" w:rsidP="00EE0C8C">
            <w:pPr>
              <w:ind w:left="113" w:right="113"/>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rPr>
            </w:pPr>
          </w:p>
        </w:tc>
        <w:tc>
          <w:tcPr>
            <w:tcW w:w="576" w:type="dxa"/>
            <w:textDirection w:val="btLr"/>
          </w:tcPr>
          <w:p w:rsidR="00EE0C8C" w:rsidRPr="00EE0C8C" w:rsidRDefault="00EE0C8C" w:rsidP="00EE0C8C">
            <w:pPr>
              <w:ind w:left="113" w:right="113"/>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rPr>
            </w:pPr>
          </w:p>
        </w:tc>
        <w:tc>
          <w:tcPr>
            <w:tcW w:w="576" w:type="dxa"/>
            <w:textDirection w:val="btLr"/>
          </w:tcPr>
          <w:p w:rsidR="00EE0C8C" w:rsidRPr="00EE0C8C" w:rsidRDefault="00EE0C8C" w:rsidP="00EE0C8C">
            <w:pPr>
              <w:ind w:left="113" w:right="113"/>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rPr>
            </w:pPr>
          </w:p>
        </w:tc>
      </w:tr>
      <w:tr w:rsidR="00EE0C8C" w:rsidRPr="00EE0C8C" w:rsidTr="00A76BDB">
        <w:trPr>
          <w:trHeight w:val="437"/>
        </w:trPr>
        <w:tc>
          <w:tcPr>
            <w:cnfStyle w:val="001000000000" w:firstRow="0" w:lastRow="0" w:firstColumn="1" w:lastColumn="0" w:oddVBand="0" w:evenVBand="0" w:oddHBand="0" w:evenHBand="0" w:firstRowFirstColumn="0" w:firstRowLastColumn="0" w:lastRowFirstColumn="0" w:lastRowLastColumn="0"/>
            <w:tcW w:w="520" w:type="dxa"/>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1.</w:t>
            </w:r>
          </w:p>
        </w:tc>
        <w:tc>
          <w:tcPr>
            <w:tcW w:w="1598" w:type="dxa"/>
          </w:tcPr>
          <w:p w:rsidR="00EE0C8C" w:rsidRPr="00EE0C8C" w:rsidRDefault="00EE0C8C" w:rsidP="00EE0C8C">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Wody stojące</w:t>
            </w:r>
          </w:p>
        </w:tc>
        <w:tc>
          <w:tcPr>
            <w:tcW w:w="1426" w:type="dxa"/>
          </w:tcPr>
          <w:p w:rsidR="00EE0C8C" w:rsidRPr="00EE0C8C" w:rsidRDefault="00EE0C8C" w:rsidP="00EE0C8C">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10,1005</w:t>
            </w:r>
          </w:p>
        </w:tc>
        <w:tc>
          <w:tcPr>
            <w:tcW w:w="629" w:type="dxa"/>
            <w:textDirection w:val="btLr"/>
          </w:tcPr>
          <w:p w:rsidR="00EE0C8C" w:rsidRPr="00EE0C8C" w:rsidRDefault="00EE0C8C" w:rsidP="00EE0C8C">
            <w:pPr>
              <w:ind w:left="113" w:right="113"/>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663" w:type="dxa"/>
            <w:textDirection w:val="btLr"/>
          </w:tcPr>
          <w:p w:rsidR="00EE0C8C" w:rsidRPr="00EE0C8C" w:rsidRDefault="00EE0C8C" w:rsidP="00EE0C8C">
            <w:pPr>
              <w:ind w:left="113" w:right="113"/>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667" w:type="dxa"/>
            <w:textDirection w:val="btLr"/>
          </w:tcPr>
          <w:p w:rsidR="00EE0C8C" w:rsidRPr="00EE0C8C" w:rsidRDefault="00EE0C8C" w:rsidP="00EE0C8C">
            <w:pPr>
              <w:ind w:left="113" w:right="113"/>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633" w:type="dxa"/>
            <w:textDirection w:val="btLr"/>
          </w:tcPr>
          <w:p w:rsidR="00EE0C8C" w:rsidRPr="00EE0C8C" w:rsidRDefault="00EE0C8C" w:rsidP="00EE0C8C">
            <w:pPr>
              <w:ind w:left="113" w:right="113"/>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668" w:type="dxa"/>
            <w:textDirection w:val="btLr"/>
          </w:tcPr>
          <w:p w:rsidR="00EE0C8C" w:rsidRPr="00EE0C8C" w:rsidRDefault="00EE0C8C" w:rsidP="00EE0C8C">
            <w:pPr>
              <w:ind w:left="113" w:right="113"/>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672" w:type="dxa"/>
            <w:textDirection w:val="btLr"/>
          </w:tcPr>
          <w:p w:rsidR="00EE0C8C" w:rsidRPr="00EE0C8C" w:rsidRDefault="00EE0C8C" w:rsidP="00EE0C8C">
            <w:pPr>
              <w:ind w:left="113" w:right="113"/>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615" w:type="dxa"/>
            <w:textDirection w:val="btLr"/>
          </w:tcPr>
          <w:p w:rsidR="00EE0C8C" w:rsidRPr="00EE0C8C" w:rsidRDefault="00EE0C8C" w:rsidP="00EE0C8C">
            <w:pPr>
              <w:ind w:left="113" w:right="113"/>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576" w:type="dxa"/>
            <w:textDirection w:val="btLr"/>
          </w:tcPr>
          <w:p w:rsidR="00EE0C8C" w:rsidRPr="00EE0C8C" w:rsidRDefault="00EE0C8C" w:rsidP="00EE0C8C">
            <w:pPr>
              <w:ind w:left="113" w:right="113"/>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576" w:type="dxa"/>
            <w:textDirection w:val="btLr"/>
          </w:tcPr>
          <w:p w:rsidR="00EE0C8C" w:rsidRPr="00EE0C8C" w:rsidRDefault="00EE0C8C" w:rsidP="00EE0C8C">
            <w:pPr>
              <w:ind w:left="113" w:right="113"/>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r>
      <w:tr w:rsidR="00EE0C8C" w:rsidRPr="00EE0C8C" w:rsidTr="00A76BDB">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520" w:type="dxa"/>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2.</w:t>
            </w:r>
          </w:p>
        </w:tc>
        <w:tc>
          <w:tcPr>
            <w:tcW w:w="1598" w:type="dxa"/>
          </w:tcPr>
          <w:p w:rsidR="00EE0C8C" w:rsidRPr="00EE0C8C" w:rsidRDefault="00EE0C8C" w:rsidP="00EE0C8C">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Wody płynące</w:t>
            </w:r>
          </w:p>
        </w:tc>
        <w:tc>
          <w:tcPr>
            <w:tcW w:w="1426" w:type="dxa"/>
          </w:tcPr>
          <w:p w:rsidR="00EE0C8C" w:rsidRPr="00EE0C8C" w:rsidRDefault="00EE0C8C" w:rsidP="00EE0C8C">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31,5497</w:t>
            </w:r>
          </w:p>
        </w:tc>
        <w:tc>
          <w:tcPr>
            <w:tcW w:w="629" w:type="dxa"/>
            <w:textDirection w:val="btLr"/>
          </w:tcPr>
          <w:p w:rsidR="00EE0C8C" w:rsidRPr="00EE0C8C" w:rsidRDefault="00EE0C8C" w:rsidP="00EE0C8C">
            <w:pPr>
              <w:ind w:left="113" w:right="113"/>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tc>
        <w:tc>
          <w:tcPr>
            <w:tcW w:w="663" w:type="dxa"/>
            <w:textDirection w:val="btLr"/>
          </w:tcPr>
          <w:p w:rsidR="00EE0C8C" w:rsidRPr="00EE0C8C" w:rsidRDefault="00EE0C8C" w:rsidP="00EE0C8C">
            <w:pPr>
              <w:ind w:left="113" w:right="113"/>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tc>
        <w:tc>
          <w:tcPr>
            <w:tcW w:w="667" w:type="dxa"/>
            <w:textDirection w:val="btLr"/>
          </w:tcPr>
          <w:p w:rsidR="00EE0C8C" w:rsidRPr="00EE0C8C" w:rsidRDefault="00EE0C8C" w:rsidP="00EE0C8C">
            <w:pPr>
              <w:ind w:left="113" w:right="113"/>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tc>
        <w:tc>
          <w:tcPr>
            <w:tcW w:w="633" w:type="dxa"/>
            <w:textDirection w:val="btLr"/>
          </w:tcPr>
          <w:p w:rsidR="00EE0C8C" w:rsidRPr="00EE0C8C" w:rsidRDefault="00EE0C8C" w:rsidP="00EE0C8C">
            <w:pPr>
              <w:ind w:left="113" w:right="113"/>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tc>
        <w:tc>
          <w:tcPr>
            <w:tcW w:w="668" w:type="dxa"/>
            <w:textDirection w:val="btLr"/>
          </w:tcPr>
          <w:p w:rsidR="00EE0C8C" w:rsidRPr="00EE0C8C" w:rsidRDefault="00EE0C8C" w:rsidP="00EE0C8C">
            <w:pPr>
              <w:ind w:left="113" w:right="113"/>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tc>
        <w:tc>
          <w:tcPr>
            <w:tcW w:w="672" w:type="dxa"/>
            <w:textDirection w:val="btLr"/>
          </w:tcPr>
          <w:p w:rsidR="00EE0C8C" w:rsidRPr="00EE0C8C" w:rsidRDefault="00EE0C8C" w:rsidP="00EE0C8C">
            <w:pPr>
              <w:ind w:left="113" w:right="113"/>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tc>
        <w:tc>
          <w:tcPr>
            <w:tcW w:w="615" w:type="dxa"/>
            <w:textDirection w:val="btLr"/>
          </w:tcPr>
          <w:p w:rsidR="00EE0C8C" w:rsidRPr="00EE0C8C" w:rsidRDefault="00EE0C8C" w:rsidP="00EE0C8C">
            <w:pPr>
              <w:ind w:left="113" w:right="113"/>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tc>
        <w:tc>
          <w:tcPr>
            <w:tcW w:w="576" w:type="dxa"/>
            <w:textDirection w:val="btLr"/>
          </w:tcPr>
          <w:p w:rsidR="00EE0C8C" w:rsidRPr="00EE0C8C" w:rsidRDefault="00EE0C8C" w:rsidP="00EE0C8C">
            <w:pPr>
              <w:ind w:left="113" w:right="113"/>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tc>
        <w:tc>
          <w:tcPr>
            <w:tcW w:w="576" w:type="dxa"/>
            <w:textDirection w:val="btLr"/>
          </w:tcPr>
          <w:p w:rsidR="00EE0C8C" w:rsidRPr="00EE0C8C" w:rsidRDefault="00EE0C8C" w:rsidP="00EE0C8C">
            <w:pPr>
              <w:ind w:left="113" w:right="113"/>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tc>
      </w:tr>
      <w:tr w:rsidR="00EE0C8C" w:rsidRPr="00EE0C8C" w:rsidTr="00A76BDB">
        <w:trPr>
          <w:trHeight w:val="435"/>
        </w:trPr>
        <w:tc>
          <w:tcPr>
            <w:cnfStyle w:val="001000000000" w:firstRow="0" w:lastRow="0" w:firstColumn="1" w:lastColumn="0" w:oddVBand="0" w:evenVBand="0" w:oddHBand="0" w:evenHBand="0" w:firstRowFirstColumn="0" w:firstRowLastColumn="0" w:lastRowFirstColumn="0" w:lastRowLastColumn="0"/>
            <w:tcW w:w="520" w:type="dxa"/>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V.</w:t>
            </w:r>
          </w:p>
        </w:tc>
        <w:tc>
          <w:tcPr>
            <w:tcW w:w="1598" w:type="dxa"/>
          </w:tcPr>
          <w:p w:rsidR="00EE0C8C" w:rsidRPr="00EE0C8C" w:rsidRDefault="00EE0C8C" w:rsidP="00EE0C8C">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rPr>
            </w:pPr>
            <w:r w:rsidRPr="00EE0C8C">
              <w:rPr>
                <w:rFonts w:ascii="Calibri" w:eastAsia="Calibri" w:hAnsi="Calibri" w:cs="Times New Roman"/>
                <w:b/>
              </w:rPr>
              <w:t>Drogi</w:t>
            </w:r>
          </w:p>
        </w:tc>
        <w:tc>
          <w:tcPr>
            <w:tcW w:w="1426" w:type="dxa"/>
          </w:tcPr>
          <w:p w:rsidR="00EE0C8C" w:rsidRPr="00EE0C8C" w:rsidRDefault="00EE0C8C" w:rsidP="00EE0C8C">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rPr>
            </w:pPr>
            <w:r w:rsidRPr="00EE0C8C">
              <w:rPr>
                <w:rFonts w:ascii="Calibri" w:eastAsia="Calibri" w:hAnsi="Calibri" w:cs="Times New Roman"/>
                <w:b/>
              </w:rPr>
              <w:t>164,1188</w:t>
            </w:r>
          </w:p>
        </w:tc>
        <w:tc>
          <w:tcPr>
            <w:tcW w:w="629" w:type="dxa"/>
            <w:textDirection w:val="btLr"/>
          </w:tcPr>
          <w:p w:rsidR="00EE0C8C" w:rsidRPr="00EE0C8C" w:rsidRDefault="00EE0C8C" w:rsidP="00EE0C8C">
            <w:pPr>
              <w:ind w:left="113" w:right="113"/>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rPr>
            </w:pPr>
          </w:p>
        </w:tc>
        <w:tc>
          <w:tcPr>
            <w:tcW w:w="663" w:type="dxa"/>
            <w:textDirection w:val="btLr"/>
          </w:tcPr>
          <w:p w:rsidR="00EE0C8C" w:rsidRPr="00EE0C8C" w:rsidRDefault="00EE0C8C" w:rsidP="00EE0C8C">
            <w:pPr>
              <w:ind w:left="113" w:right="113"/>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rPr>
            </w:pPr>
          </w:p>
        </w:tc>
        <w:tc>
          <w:tcPr>
            <w:tcW w:w="667" w:type="dxa"/>
            <w:textDirection w:val="btLr"/>
          </w:tcPr>
          <w:p w:rsidR="00EE0C8C" w:rsidRPr="00EE0C8C" w:rsidRDefault="00EE0C8C" w:rsidP="00EE0C8C">
            <w:pPr>
              <w:ind w:left="113" w:right="113"/>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rPr>
            </w:pPr>
          </w:p>
        </w:tc>
        <w:tc>
          <w:tcPr>
            <w:tcW w:w="633" w:type="dxa"/>
            <w:textDirection w:val="btLr"/>
          </w:tcPr>
          <w:p w:rsidR="00EE0C8C" w:rsidRPr="00EE0C8C" w:rsidRDefault="00EE0C8C" w:rsidP="00EE0C8C">
            <w:pPr>
              <w:ind w:left="113" w:right="113"/>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rPr>
            </w:pPr>
          </w:p>
        </w:tc>
        <w:tc>
          <w:tcPr>
            <w:tcW w:w="668" w:type="dxa"/>
            <w:textDirection w:val="btLr"/>
          </w:tcPr>
          <w:p w:rsidR="00EE0C8C" w:rsidRPr="00EE0C8C" w:rsidRDefault="00EE0C8C" w:rsidP="00EE0C8C">
            <w:pPr>
              <w:ind w:left="113" w:right="113"/>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rPr>
            </w:pPr>
          </w:p>
        </w:tc>
        <w:tc>
          <w:tcPr>
            <w:tcW w:w="672" w:type="dxa"/>
            <w:textDirection w:val="btLr"/>
          </w:tcPr>
          <w:p w:rsidR="00EE0C8C" w:rsidRPr="00EE0C8C" w:rsidRDefault="00EE0C8C" w:rsidP="00EE0C8C">
            <w:pPr>
              <w:ind w:left="113" w:right="113"/>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rPr>
            </w:pPr>
          </w:p>
        </w:tc>
        <w:tc>
          <w:tcPr>
            <w:tcW w:w="615" w:type="dxa"/>
            <w:textDirection w:val="btLr"/>
          </w:tcPr>
          <w:p w:rsidR="00EE0C8C" w:rsidRPr="00EE0C8C" w:rsidRDefault="00EE0C8C" w:rsidP="00EE0C8C">
            <w:pPr>
              <w:ind w:left="113" w:right="113"/>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rPr>
            </w:pPr>
          </w:p>
        </w:tc>
        <w:tc>
          <w:tcPr>
            <w:tcW w:w="576" w:type="dxa"/>
            <w:textDirection w:val="btLr"/>
          </w:tcPr>
          <w:p w:rsidR="00EE0C8C" w:rsidRPr="00EE0C8C" w:rsidRDefault="00EE0C8C" w:rsidP="00EE0C8C">
            <w:pPr>
              <w:ind w:left="113" w:right="113"/>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rPr>
            </w:pPr>
          </w:p>
        </w:tc>
        <w:tc>
          <w:tcPr>
            <w:tcW w:w="576" w:type="dxa"/>
            <w:textDirection w:val="btLr"/>
          </w:tcPr>
          <w:p w:rsidR="00EE0C8C" w:rsidRPr="00EE0C8C" w:rsidRDefault="00EE0C8C" w:rsidP="00EE0C8C">
            <w:pPr>
              <w:ind w:left="113" w:right="113"/>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rPr>
            </w:pPr>
          </w:p>
        </w:tc>
      </w:tr>
      <w:tr w:rsidR="00EE0C8C" w:rsidRPr="00EE0C8C" w:rsidTr="00A76BDB">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520" w:type="dxa"/>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VI.</w:t>
            </w:r>
          </w:p>
        </w:tc>
        <w:tc>
          <w:tcPr>
            <w:tcW w:w="1598" w:type="dxa"/>
          </w:tcPr>
          <w:p w:rsidR="00EE0C8C" w:rsidRPr="00EE0C8C" w:rsidRDefault="00EE0C8C" w:rsidP="00EE0C8C">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rPr>
            </w:pPr>
            <w:r w:rsidRPr="00EE0C8C">
              <w:rPr>
                <w:rFonts w:ascii="Calibri" w:eastAsia="Calibri" w:hAnsi="Calibri" w:cs="Times New Roman"/>
                <w:b/>
              </w:rPr>
              <w:t>Tereny zabudowane, zurbanizowane i rekreacyjne, w tym:</w:t>
            </w:r>
          </w:p>
        </w:tc>
        <w:tc>
          <w:tcPr>
            <w:tcW w:w="1426" w:type="dxa"/>
          </w:tcPr>
          <w:p w:rsidR="00EE0C8C" w:rsidRPr="00EE0C8C" w:rsidRDefault="00EE0C8C" w:rsidP="00EE0C8C">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rPr>
            </w:pPr>
            <w:r w:rsidRPr="00EE0C8C">
              <w:rPr>
                <w:rFonts w:ascii="Calibri" w:eastAsia="Calibri" w:hAnsi="Calibri" w:cs="Times New Roman"/>
                <w:b/>
              </w:rPr>
              <w:t>291,5572</w:t>
            </w:r>
          </w:p>
        </w:tc>
        <w:tc>
          <w:tcPr>
            <w:tcW w:w="629" w:type="dxa"/>
            <w:textDirection w:val="btLr"/>
          </w:tcPr>
          <w:p w:rsidR="00EE0C8C" w:rsidRPr="00EE0C8C" w:rsidRDefault="00EE0C8C" w:rsidP="00EE0C8C">
            <w:pPr>
              <w:ind w:left="113" w:right="113"/>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rPr>
            </w:pPr>
            <w:r w:rsidRPr="00EE0C8C">
              <w:rPr>
                <w:rFonts w:ascii="Calibri" w:eastAsia="Calibri" w:hAnsi="Calibri" w:cs="Times New Roman"/>
                <w:b/>
              </w:rPr>
              <w:t>8,9419</w:t>
            </w:r>
          </w:p>
        </w:tc>
        <w:tc>
          <w:tcPr>
            <w:tcW w:w="663" w:type="dxa"/>
            <w:textDirection w:val="btLr"/>
          </w:tcPr>
          <w:p w:rsidR="00EE0C8C" w:rsidRPr="00EE0C8C" w:rsidRDefault="00EE0C8C" w:rsidP="00EE0C8C">
            <w:pPr>
              <w:ind w:left="113" w:right="113"/>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rPr>
            </w:pPr>
            <w:r w:rsidRPr="00EE0C8C">
              <w:rPr>
                <w:rFonts w:ascii="Calibri" w:eastAsia="Calibri" w:hAnsi="Calibri" w:cs="Times New Roman"/>
                <w:b/>
              </w:rPr>
              <w:t>0,2300</w:t>
            </w:r>
          </w:p>
        </w:tc>
        <w:tc>
          <w:tcPr>
            <w:tcW w:w="667" w:type="dxa"/>
            <w:textDirection w:val="btLr"/>
          </w:tcPr>
          <w:p w:rsidR="00EE0C8C" w:rsidRPr="00EE0C8C" w:rsidRDefault="00EE0C8C" w:rsidP="00EE0C8C">
            <w:pPr>
              <w:ind w:left="113" w:right="113"/>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rPr>
            </w:pPr>
            <w:r w:rsidRPr="00EE0C8C">
              <w:rPr>
                <w:rFonts w:ascii="Calibri" w:eastAsia="Calibri" w:hAnsi="Calibri" w:cs="Times New Roman"/>
                <w:b/>
              </w:rPr>
              <w:t>2,0998</w:t>
            </w:r>
          </w:p>
        </w:tc>
        <w:tc>
          <w:tcPr>
            <w:tcW w:w="633" w:type="dxa"/>
            <w:textDirection w:val="btLr"/>
          </w:tcPr>
          <w:p w:rsidR="00EE0C8C" w:rsidRPr="00EE0C8C" w:rsidRDefault="00EE0C8C" w:rsidP="00EE0C8C">
            <w:pPr>
              <w:ind w:left="113" w:right="113"/>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rPr>
            </w:pPr>
            <w:r w:rsidRPr="00EE0C8C">
              <w:rPr>
                <w:rFonts w:ascii="Calibri" w:eastAsia="Calibri" w:hAnsi="Calibri" w:cs="Times New Roman"/>
                <w:b/>
              </w:rPr>
              <w:t>43,9820</w:t>
            </w:r>
          </w:p>
        </w:tc>
        <w:tc>
          <w:tcPr>
            <w:tcW w:w="668" w:type="dxa"/>
            <w:textDirection w:val="btLr"/>
          </w:tcPr>
          <w:p w:rsidR="00EE0C8C" w:rsidRPr="00EE0C8C" w:rsidRDefault="00EE0C8C" w:rsidP="00EE0C8C">
            <w:pPr>
              <w:ind w:left="113" w:right="113"/>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rPr>
            </w:pPr>
            <w:r w:rsidRPr="00EE0C8C">
              <w:rPr>
                <w:rFonts w:ascii="Calibri" w:eastAsia="Calibri" w:hAnsi="Calibri" w:cs="Times New Roman"/>
                <w:b/>
              </w:rPr>
              <w:t>20,8317</w:t>
            </w:r>
          </w:p>
        </w:tc>
        <w:tc>
          <w:tcPr>
            <w:tcW w:w="672" w:type="dxa"/>
            <w:textDirection w:val="btLr"/>
          </w:tcPr>
          <w:p w:rsidR="00EE0C8C" w:rsidRPr="00EE0C8C" w:rsidRDefault="00EE0C8C" w:rsidP="00EE0C8C">
            <w:pPr>
              <w:ind w:left="113" w:right="113"/>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rPr>
            </w:pPr>
            <w:r w:rsidRPr="00EE0C8C">
              <w:rPr>
                <w:rFonts w:ascii="Calibri" w:eastAsia="Calibri" w:hAnsi="Calibri" w:cs="Times New Roman"/>
                <w:b/>
              </w:rPr>
              <w:t>40,4553</w:t>
            </w:r>
          </w:p>
        </w:tc>
        <w:tc>
          <w:tcPr>
            <w:tcW w:w="615" w:type="dxa"/>
            <w:textDirection w:val="btLr"/>
          </w:tcPr>
          <w:p w:rsidR="00EE0C8C" w:rsidRPr="00EE0C8C" w:rsidRDefault="00EE0C8C" w:rsidP="00EE0C8C">
            <w:pPr>
              <w:ind w:left="113" w:right="113"/>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rPr>
            </w:pPr>
            <w:r w:rsidRPr="00EE0C8C">
              <w:rPr>
                <w:rFonts w:ascii="Calibri" w:eastAsia="Calibri" w:hAnsi="Calibri" w:cs="Times New Roman"/>
                <w:b/>
              </w:rPr>
              <w:t>35,2432</w:t>
            </w:r>
          </w:p>
        </w:tc>
        <w:tc>
          <w:tcPr>
            <w:tcW w:w="576" w:type="dxa"/>
            <w:textDirection w:val="btLr"/>
          </w:tcPr>
          <w:p w:rsidR="00EE0C8C" w:rsidRPr="00EE0C8C" w:rsidRDefault="00EE0C8C" w:rsidP="00EE0C8C">
            <w:pPr>
              <w:ind w:left="113" w:right="113"/>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rPr>
            </w:pPr>
            <w:r w:rsidRPr="00EE0C8C">
              <w:rPr>
                <w:rFonts w:ascii="Calibri" w:eastAsia="Calibri" w:hAnsi="Calibri" w:cs="Times New Roman"/>
                <w:b/>
              </w:rPr>
              <w:t>11,7005</w:t>
            </w:r>
          </w:p>
        </w:tc>
        <w:tc>
          <w:tcPr>
            <w:tcW w:w="576" w:type="dxa"/>
            <w:textDirection w:val="btLr"/>
          </w:tcPr>
          <w:p w:rsidR="00EE0C8C" w:rsidRPr="00EE0C8C" w:rsidRDefault="00EE0C8C" w:rsidP="00EE0C8C">
            <w:pPr>
              <w:ind w:left="113" w:right="113"/>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rPr>
            </w:pPr>
            <w:r w:rsidRPr="00EE0C8C">
              <w:rPr>
                <w:rFonts w:ascii="Calibri" w:eastAsia="Calibri" w:hAnsi="Calibri" w:cs="Times New Roman"/>
                <w:b/>
              </w:rPr>
              <w:t>0,1500</w:t>
            </w:r>
          </w:p>
        </w:tc>
      </w:tr>
      <w:tr w:rsidR="00EE0C8C" w:rsidRPr="00EE0C8C" w:rsidTr="00A76BDB">
        <w:trPr>
          <w:trHeight w:val="967"/>
        </w:trPr>
        <w:tc>
          <w:tcPr>
            <w:cnfStyle w:val="001000000000" w:firstRow="0" w:lastRow="0" w:firstColumn="1" w:lastColumn="0" w:oddVBand="0" w:evenVBand="0" w:oddHBand="0" w:evenHBand="0" w:firstRowFirstColumn="0" w:firstRowLastColumn="0" w:lastRowFirstColumn="0" w:lastRowLastColumn="0"/>
            <w:tcW w:w="520" w:type="dxa"/>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lastRenderedPageBreak/>
              <w:t>1.</w:t>
            </w:r>
          </w:p>
        </w:tc>
        <w:tc>
          <w:tcPr>
            <w:tcW w:w="1598" w:type="dxa"/>
          </w:tcPr>
          <w:p w:rsidR="00EE0C8C" w:rsidRPr="00EE0C8C" w:rsidRDefault="00EE0C8C" w:rsidP="00EE0C8C">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Grunty orne pod zabudowę</w:t>
            </w:r>
          </w:p>
        </w:tc>
        <w:tc>
          <w:tcPr>
            <w:tcW w:w="1426" w:type="dxa"/>
          </w:tcPr>
          <w:p w:rsidR="00EE0C8C" w:rsidRPr="00EE0C8C" w:rsidRDefault="00EE0C8C" w:rsidP="00EE0C8C">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106,6783</w:t>
            </w:r>
          </w:p>
        </w:tc>
        <w:tc>
          <w:tcPr>
            <w:tcW w:w="629" w:type="dxa"/>
            <w:textDirection w:val="btLr"/>
          </w:tcPr>
          <w:p w:rsidR="00EE0C8C" w:rsidRPr="00EE0C8C" w:rsidRDefault="00EE0C8C" w:rsidP="00EE0C8C">
            <w:pPr>
              <w:ind w:left="113" w:right="113"/>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663" w:type="dxa"/>
            <w:textDirection w:val="btLr"/>
          </w:tcPr>
          <w:p w:rsidR="00EE0C8C" w:rsidRPr="00EE0C8C" w:rsidRDefault="00EE0C8C" w:rsidP="00EE0C8C">
            <w:pPr>
              <w:ind w:left="113" w:right="113"/>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0,2300</w:t>
            </w:r>
          </w:p>
        </w:tc>
        <w:tc>
          <w:tcPr>
            <w:tcW w:w="667" w:type="dxa"/>
            <w:textDirection w:val="btLr"/>
          </w:tcPr>
          <w:p w:rsidR="00EE0C8C" w:rsidRPr="00EE0C8C" w:rsidRDefault="00EE0C8C" w:rsidP="00EE0C8C">
            <w:pPr>
              <w:ind w:left="113" w:right="113"/>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2,0998</w:t>
            </w:r>
          </w:p>
        </w:tc>
        <w:tc>
          <w:tcPr>
            <w:tcW w:w="633" w:type="dxa"/>
            <w:textDirection w:val="btLr"/>
          </w:tcPr>
          <w:p w:rsidR="00EE0C8C" w:rsidRPr="00EE0C8C" w:rsidRDefault="00EE0C8C" w:rsidP="00EE0C8C">
            <w:pPr>
              <w:ind w:left="113" w:right="113"/>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668" w:type="dxa"/>
            <w:textDirection w:val="btLr"/>
          </w:tcPr>
          <w:p w:rsidR="00EE0C8C" w:rsidRPr="00EE0C8C" w:rsidRDefault="00EE0C8C" w:rsidP="00EE0C8C">
            <w:pPr>
              <w:ind w:left="113" w:right="113"/>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20,8317</w:t>
            </w:r>
          </w:p>
        </w:tc>
        <w:tc>
          <w:tcPr>
            <w:tcW w:w="672" w:type="dxa"/>
            <w:textDirection w:val="btLr"/>
          </w:tcPr>
          <w:p w:rsidR="00EE0C8C" w:rsidRPr="00EE0C8C" w:rsidRDefault="00EE0C8C" w:rsidP="00EE0C8C">
            <w:pPr>
              <w:ind w:left="113" w:right="113"/>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40,4553</w:t>
            </w:r>
          </w:p>
        </w:tc>
        <w:tc>
          <w:tcPr>
            <w:tcW w:w="615" w:type="dxa"/>
            <w:textDirection w:val="btLr"/>
          </w:tcPr>
          <w:p w:rsidR="00EE0C8C" w:rsidRPr="00EE0C8C" w:rsidRDefault="00EE0C8C" w:rsidP="00EE0C8C">
            <w:pPr>
              <w:ind w:left="113" w:right="113"/>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32,1750</w:t>
            </w:r>
          </w:p>
        </w:tc>
        <w:tc>
          <w:tcPr>
            <w:tcW w:w="576" w:type="dxa"/>
            <w:textDirection w:val="btLr"/>
          </w:tcPr>
          <w:p w:rsidR="00EE0C8C" w:rsidRPr="00EE0C8C" w:rsidRDefault="00EE0C8C" w:rsidP="00EE0C8C">
            <w:pPr>
              <w:ind w:left="113" w:right="113"/>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10,8865</w:t>
            </w:r>
          </w:p>
        </w:tc>
        <w:tc>
          <w:tcPr>
            <w:tcW w:w="576" w:type="dxa"/>
            <w:textDirection w:val="btLr"/>
          </w:tcPr>
          <w:p w:rsidR="00EE0C8C" w:rsidRPr="00EE0C8C" w:rsidRDefault="00EE0C8C" w:rsidP="00EE0C8C">
            <w:pPr>
              <w:ind w:left="113" w:right="113"/>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r>
      <w:tr w:rsidR="00EE0C8C" w:rsidRPr="00EE0C8C" w:rsidTr="00A76BDB">
        <w:trPr>
          <w:cnfStyle w:val="000000100000" w:firstRow="0" w:lastRow="0" w:firstColumn="0" w:lastColumn="0" w:oddVBand="0" w:evenVBand="0" w:oddHBand="1" w:evenHBand="0" w:firstRowFirstColumn="0" w:firstRowLastColumn="0" w:lastRowFirstColumn="0" w:lastRowLastColumn="0"/>
          <w:trHeight w:val="967"/>
        </w:trPr>
        <w:tc>
          <w:tcPr>
            <w:cnfStyle w:val="001000000000" w:firstRow="0" w:lastRow="0" w:firstColumn="1" w:lastColumn="0" w:oddVBand="0" w:evenVBand="0" w:oddHBand="0" w:evenHBand="0" w:firstRowFirstColumn="0" w:firstRowLastColumn="0" w:lastRowFirstColumn="0" w:lastRowLastColumn="0"/>
            <w:tcW w:w="520" w:type="dxa"/>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2.</w:t>
            </w:r>
          </w:p>
        </w:tc>
        <w:tc>
          <w:tcPr>
            <w:tcW w:w="1598" w:type="dxa"/>
          </w:tcPr>
          <w:p w:rsidR="00EE0C8C" w:rsidRPr="00EE0C8C" w:rsidRDefault="00EE0C8C" w:rsidP="00EE0C8C">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Grunty zielone pod zabudowę</w:t>
            </w:r>
          </w:p>
        </w:tc>
        <w:tc>
          <w:tcPr>
            <w:tcW w:w="1426" w:type="dxa"/>
          </w:tcPr>
          <w:p w:rsidR="00EE0C8C" w:rsidRPr="00EE0C8C" w:rsidRDefault="00EE0C8C" w:rsidP="00EE0C8C">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56,9561</w:t>
            </w:r>
          </w:p>
        </w:tc>
        <w:tc>
          <w:tcPr>
            <w:tcW w:w="629" w:type="dxa"/>
            <w:textDirection w:val="btLr"/>
          </w:tcPr>
          <w:p w:rsidR="00EE0C8C" w:rsidRPr="00EE0C8C" w:rsidRDefault="00EE0C8C" w:rsidP="00EE0C8C">
            <w:pPr>
              <w:ind w:left="113" w:right="113"/>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8,9419</w:t>
            </w:r>
          </w:p>
        </w:tc>
        <w:tc>
          <w:tcPr>
            <w:tcW w:w="663" w:type="dxa"/>
            <w:textDirection w:val="btLr"/>
          </w:tcPr>
          <w:p w:rsidR="00EE0C8C" w:rsidRPr="00EE0C8C" w:rsidRDefault="00EE0C8C" w:rsidP="00EE0C8C">
            <w:pPr>
              <w:ind w:left="113" w:right="113"/>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tc>
        <w:tc>
          <w:tcPr>
            <w:tcW w:w="667" w:type="dxa"/>
            <w:textDirection w:val="btLr"/>
          </w:tcPr>
          <w:p w:rsidR="00EE0C8C" w:rsidRPr="00EE0C8C" w:rsidRDefault="00EE0C8C" w:rsidP="00EE0C8C">
            <w:pPr>
              <w:ind w:left="113" w:right="113"/>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tc>
        <w:tc>
          <w:tcPr>
            <w:tcW w:w="633" w:type="dxa"/>
            <w:textDirection w:val="btLr"/>
          </w:tcPr>
          <w:p w:rsidR="00EE0C8C" w:rsidRPr="00EE0C8C" w:rsidRDefault="00EE0C8C" w:rsidP="00EE0C8C">
            <w:pPr>
              <w:ind w:left="113" w:right="113"/>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43,9820</w:t>
            </w:r>
          </w:p>
        </w:tc>
        <w:tc>
          <w:tcPr>
            <w:tcW w:w="668" w:type="dxa"/>
            <w:textDirection w:val="btLr"/>
          </w:tcPr>
          <w:p w:rsidR="00EE0C8C" w:rsidRPr="00EE0C8C" w:rsidRDefault="00EE0C8C" w:rsidP="00EE0C8C">
            <w:pPr>
              <w:ind w:left="113" w:right="113"/>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tc>
        <w:tc>
          <w:tcPr>
            <w:tcW w:w="672" w:type="dxa"/>
            <w:textDirection w:val="btLr"/>
          </w:tcPr>
          <w:p w:rsidR="00EE0C8C" w:rsidRPr="00EE0C8C" w:rsidRDefault="00EE0C8C" w:rsidP="00EE0C8C">
            <w:pPr>
              <w:ind w:left="113" w:right="113"/>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tc>
        <w:tc>
          <w:tcPr>
            <w:tcW w:w="615" w:type="dxa"/>
            <w:textDirection w:val="btLr"/>
          </w:tcPr>
          <w:p w:rsidR="00EE0C8C" w:rsidRPr="00EE0C8C" w:rsidRDefault="00EE0C8C" w:rsidP="00EE0C8C">
            <w:pPr>
              <w:ind w:left="113" w:right="113"/>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3,0682</w:t>
            </w:r>
          </w:p>
        </w:tc>
        <w:tc>
          <w:tcPr>
            <w:tcW w:w="576" w:type="dxa"/>
            <w:textDirection w:val="btLr"/>
          </w:tcPr>
          <w:p w:rsidR="00EE0C8C" w:rsidRPr="00EE0C8C" w:rsidRDefault="00EE0C8C" w:rsidP="00EE0C8C">
            <w:pPr>
              <w:ind w:left="113" w:right="113"/>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0,8140</w:t>
            </w:r>
          </w:p>
        </w:tc>
        <w:tc>
          <w:tcPr>
            <w:tcW w:w="576" w:type="dxa"/>
            <w:textDirection w:val="btLr"/>
          </w:tcPr>
          <w:p w:rsidR="00EE0C8C" w:rsidRPr="00EE0C8C" w:rsidRDefault="00EE0C8C" w:rsidP="00EE0C8C">
            <w:pPr>
              <w:ind w:left="113" w:right="113"/>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0,1500</w:t>
            </w:r>
          </w:p>
        </w:tc>
      </w:tr>
      <w:tr w:rsidR="00EE0C8C" w:rsidRPr="00EE0C8C" w:rsidTr="00A76BDB">
        <w:trPr>
          <w:trHeight w:val="967"/>
        </w:trPr>
        <w:tc>
          <w:tcPr>
            <w:cnfStyle w:val="001000000000" w:firstRow="0" w:lastRow="0" w:firstColumn="1" w:lastColumn="0" w:oddVBand="0" w:evenVBand="0" w:oddHBand="0" w:evenHBand="0" w:firstRowFirstColumn="0" w:firstRowLastColumn="0" w:lastRowFirstColumn="0" w:lastRowLastColumn="0"/>
            <w:tcW w:w="520" w:type="dxa"/>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3.</w:t>
            </w:r>
          </w:p>
        </w:tc>
        <w:tc>
          <w:tcPr>
            <w:tcW w:w="1598" w:type="dxa"/>
          </w:tcPr>
          <w:p w:rsidR="00EE0C8C" w:rsidRPr="00EE0C8C" w:rsidRDefault="00EE0C8C" w:rsidP="00EE0C8C">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Grunty przemysłowe i inne</w:t>
            </w:r>
          </w:p>
        </w:tc>
        <w:tc>
          <w:tcPr>
            <w:tcW w:w="1426" w:type="dxa"/>
          </w:tcPr>
          <w:p w:rsidR="00EE0C8C" w:rsidRPr="00EE0C8C" w:rsidRDefault="00EE0C8C" w:rsidP="00EE0C8C">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124,0628</w:t>
            </w:r>
          </w:p>
        </w:tc>
        <w:tc>
          <w:tcPr>
            <w:tcW w:w="629" w:type="dxa"/>
            <w:textDirection w:val="btLr"/>
          </w:tcPr>
          <w:p w:rsidR="00EE0C8C" w:rsidRPr="00EE0C8C" w:rsidRDefault="00EE0C8C" w:rsidP="00EE0C8C">
            <w:pPr>
              <w:ind w:left="113" w:right="113"/>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663" w:type="dxa"/>
            <w:textDirection w:val="btLr"/>
          </w:tcPr>
          <w:p w:rsidR="00EE0C8C" w:rsidRPr="00EE0C8C" w:rsidRDefault="00EE0C8C" w:rsidP="00EE0C8C">
            <w:pPr>
              <w:ind w:left="113" w:right="113"/>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667" w:type="dxa"/>
            <w:textDirection w:val="btLr"/>
          </w:tcPr>
          <w:p w:rsidR="00EE0C8C" w:rsidRPr="00EE0C8C" w:rsidRDefault="00EE0C8C" w:rsidP="00EE0C8C">
            <w:pPr>
              <w:ind w:left="113" w:right="113"/>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633" w:type="dxa"/>
            <w:textDirection w:val="btLr"/>
          </w:tcPr>
          <w:p w:rsidR="00EE0C8C" w:rsidRPr="00EE0C8C" w:rsidRDefault="00EE0C8C" w:rsidP="00EE0C8C">
            <w:pPr>
              <w:ind w:left="113" w:right="113"/>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668" w:type="dxa"/>
            <w:textDirection w:val="btLr"/>
          </w:tcPr>
          <w:p w:rsidR="00EE0C8C" w:rsidRPr="00EE0C8C" w:rsidRDefault="00EE0C8C" w:rsidP="00EE0C8C">
            <w:pPr>
              <w:ind w:left="113" w:right="113"/>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672" w:type="dxa"/>
            <w:textDirection w:val="btLr"/>
          </w:tcPr>
          <w:p w:rsidR="00EE0C8C" w:rsidRPr="00EE0C8C" w:rsidRDefault="00EE0C8C" w:rsidP="00EE0C8C">
            <w:pPr>
              <w:ind w:left="113" w:right="113"/>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615" w:type="dxa"/>
            <w:textDirection w:val="btLr"/>
          </w:tcPr>
          <w:p w:rsidR="00EE0C8C" w:rsidRPr="00EE0C8C" w:rsidRDefault="00EE0C8C" w:rsidP="00EE0C8C">
            <w:pPr>
              <w:ind w:left="113" w:right="113"/>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576" w:type="dxa"/>
            <w:textDirection w:val="btLr"/>
          </w:tcPr>
          <w:p w:rsidR="00EE0C8C" w:rsidRPr="00EE0C8C" w:rsidRDefault="00EE0C8C" w:rsidP="00EE0C8C">
            <w:pPr>
              <w:ind w:left="113" w:right="113"/>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576" w:type="dxa"/>
            <w:textDirection w:val="btLr"/>
          </w:tcPr>
          <w:p w:rsidR="00EE0C8C" w:rsidRPr="00EE0C8C" w:rsidRDefault="00EE0C8C" w:rsidP="00EE0C8C">
            <w:pPr>
              <w:ind w:left="113" w:right="113"/>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r>
      <w:tr w:rsidR="00EE0C8C" w:rsidRPr="00EE0C8C" w:rsidTr="00A76BDB">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20" w:type="dxa"/>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4.</w:t>
            </w:r>
          </w:p>
        </w:tc>
        <w:tc>
          <w:tcPr>
            <w:tcW w:w="1598" w:type="dxa"/>
          </w:tcPr>
          <w:p w:rsidR="00EE0C8C" w:rsidRPr="00EE0C8C" w:rsidRDefault="00EE0C8C" w:rsidP="00EE0C8C">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Grunty zielone i rekreacyjne</w:t>
            </w:r>
          </w:p>
        </w:tc>
        <w:tc>
          <w:tcPr>
            <w:tcW w:w="1426" w:type="dxa"/>
          </w:tcPr>
          <w:p w:rsidR="00EE0C8C" w:rsidRPr="00EE0C8C" w:rsidRDefault="00EE0C8C" w:rsidP="00EE0C8C">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3,8600</w:t>
            </w:r>
          </w:p>
        </w:tc>
        <w:tc>
          <w:tcPr>
            <w:tcW w:w="629" w:type="dxa"/>
            <w:textDirection w:val="btLr"/>
          </w:tcPr>
          <w:p w:rsidR="00EE0C8C" w:rsidRPr="00EE0C8C" w:rsidRDefault="00EE0C8C" w:rsidP="00EE0C8C">
            <w:pPr>
              <w:ind w:left="113" w:right="113"/>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tc>
        <w:tc>
          <w:tcPr>
            <w:tcW w:w="663" w:type="dxa"/>
            <w:textDirection w:val="btLr"/>
          </w:tcPr>
          <w:p w:rsidR="00EE0C8C" w:rsidRPr="00EE0C8C" w:rsidRDefault="00EE0C8C" w:rsidP="00EE0C8C">
            <w:pPr>
              <w:ind w:left="113" w:right="113"/>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tc>
        <w:tc>
          <w:tcPr>
            <w:tcW w:w="667" w:type="dxa"/>
            <w:textDirection w:val="btLr"/>
          </w:tcPr>
          <w:p w:rsidR="00EE0C8C" w:rsidRPr="00EE0C8C" w:rsidRDefault="00EE0C8C" w:rsidP="00EE0C8C">
            <w:pPr>
              <w:ind w:left="113" w:right="113"/>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tc>
        <w:tc>
          <w:tcPr>
            <w:tcW w:w="633" w:type="dxa"/>
            <w:textDirection w:val="btLr"/>
          </w:tcPr>
          <w:p w:rsidR="00EE0C8C" w:rsidRPr="00EE0C8C" w:rsidRDefault="00EE0C8C" w:rsidP="00EE0C8C">
            <w:pPr>
              <w:ind w:left="113" w:right="113"/>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tc>
        <w:tc>
          <w:tcPr>
            <w:tcW w:w="668" w:type="dxa"/>
            <w:textDirection w:val="btLr"/>
          </w:tcPr>
          <w:p w:rsidR="00EE0C8C" w:rsidRPr="00EE0C8C" w:rsidRDefault="00EE0C8C" w:rsidP="00EE0C8C">
            <w:pPr>
              <w:ind w:left="113" w:right="113"/>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tc>
        <w:tc>
          <w:tcPr>
            <w:tcW w:w="672" w:type="dxa"/>
            <w:textDirection w:val="btLr"/>
          </w:tcPr>
          <w:p w:rsidR="00EE0C8C" w:rsidRPr="00EE0C8C" w:rsidRDefault="00EE0C8C" w:rsidP="00EE0C8C">
            <w:pPr>
              <w:ind w:left="113" w:right="113"/>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tc>
        <w:tc>
          <w:tcPr>
            <w:tcW w:w="615" w:type="dxa"/>
            <w:textDirection w:val="btLr"/>
          </w:tcPr>
          <w:p w:rsidR="00EE0C8C" w:rsidRPr="00EE0C8C" w:rsidRDefault="00EE0C8C" w:rsidP="00EE0C8C">
            <w:pPr>
              <w:ind w:left="113" w:right="113"/>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tc>
        <w:tc>
          <w:tcPr>
            <w:tcW w:w="576" w:type="dxa"/>
            <w:textDirection w:val="btLr"/>
          </w:tcPr>
          <w:p w:rsidR="00EE0C8C" w:rsidRPr="00EE0C8C" w:rsidRDefault="00EE0C8C" w:rsidP="00EE0C8C">
            <w:pPr>
              <w:ind w:left="113" w:right="113"/>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tc>
        <w:tc>
          <w:tcPr>
            <w:tcW w:w="576" w:type="dxa"/>
            <w:textDirection w:val="btLr"/>
          </w:tcPr>
          <w:p w:rsidR="00EE0C8C" w:rsidRPr="00EE0C8C" w:rsidRDefault="00EE0C8C" w:rsidP="00EE0C8C">
            <w:pPr>
              <w:ind w:left="113" w:right="113"/>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tc>
      </w:tr>
      <w:tr w:rsidR="00EE0C8C" w:rsidRPr="00EE0C8C" w:rsidTr="00A76BDB">
        <w:trPr>
          <w:cantSplit/>
          <w:trHeight w:val="409"/>
        </w:trPr>
        <w:tc>
          <w:tcPr>
            <w:cnfStyle w:val="001000000000" w:firstRow="0" w:lastRow="0" w:firstColumn="1" w:lastColumn="0" w:oddVBand="0" w:evenVBand="0" w:oddHBand="0" w:evenHBand="0" w:firstRowFirstColumn="0" w:firstRowLastColumn="0" w:lastRowFirstColumn="0" w:lastRowLastColumn="0"/>
            <w:tcW w:w="520" w:type="dxa"/>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VII.</w:t>
            </w:r>
          </w:p>
        </w:tc>
        <w:tc>
          <w:tcPr>
            <w:tcW w:w="1598" w:type="dxa"/>
          </w:tcPr>
          <w:p w:rsidR="00EE0C8C" w:rsidRPr="00EE0C8C" w:rsidRDefault="00EE0C8C" w:rsidP="00EE0C8C">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rPr>
            </w:pPr>
            <w:r w:rsidRPr="00EE0C8C">
              <w:rPr>
                <w:rFonts w:ascii="Calibri" w:eastAsia="Calibri" w:hAnsi="Calibri" w:cs="Times New Roman"/>
                <w:b/>
              </w:rPr>
              <w:t>Nieużytki</w:t>
            </w:r>
          </w:p>
        </w:tc>
        <w:tc>
          <w:tcPr>
            <w:tcW w:w="1426" w:type="dxa"/>
          </w:tcPr>
          <w:p w:rsidR="00EE0C8C" w:rsidRPr="00EE0C8C" w:rsidRDefault="00EE0C8C" w:rsidP="00EE0C8C">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rPr>
            </w:pPr>
            <w:r w:rsidRPr="00EE0C8C">
              <w:rPr>
                <w:rFonts w:ascii="Calibri" w:eastAsia="Calibri" w:hAnsi="Calibri" w:cs="Times New Roman"/>
                <w:b/>
              </w:rPr>
              <w:t>50,7955</w:t>
            </w:r>
          </w:p>
        </w:tc>
        <w:tc>
          <w:tcPr>
            <w:tcW w:w="629" w:type="dxa"/>
            <w:textDirection w:val="btLr"/>
          </w:tcPr>
          <w:p w:rsidR="00EE0C8C" w:rsidRPr="00EE0C8C" w:rsidRDefault="00EE0C8C" w:rsidP="00EE0C8C">
            <w:pPr>
              <w:ind w:left="113" w:right="113"/>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rPr>
            </w:pPr>
          </w:p>
        </w:tc>
        <w:tc>
          <w:tcPr>
            <w:tcW w:w="663" w:type="dxa"/>
            <w:textDirection w:val="btLr"/>
          </w:tcPr>
          <w:p w:rsidR="00EE0C8C" w:rsidRPr="00EE0C8C" w:rsidRDefault="00EE0C8C" w:rsidP="00EE0C8C">
            <w:pPr>
              <w:ind w:left="113" w:right="113"/>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rPr>
            </w:pPr>
          </w:p>
        </w:tc>
        <w:tc>
          <w:tcPr>
            <w:tcW w:w="667" w:type="dxa"/>
            <w:textDirection w:val="btLr"/>
          </w:tcPr>
          <w:p w:rsidR="00EE0C8C" w:rsidRPr="00EE0C8C" w:rsidRDefault="00EE0C8C" w:rsidP="00EE0C8C">
            <w:pPr>
              <w:ind w:left="113" w:right="113"/>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rPr>
            </w:pPr>
          </w:p>
        </w:tc>
        <w:tc>
          <w:tcPr>
            <w:tcW w:w="633" w:type="dxa"/>
            <w:textDirection w:val="btLr"/>
          </w:tcPr>
          <w:p w:rsidR="00EE0C8C" w:rsidRPr="00EE0C8C" w:rsidRDefault="00EE0C8C" w:rsidP="00EE0C8C">
            <w:pPr>
              <w:ind w:left="113" w:right="113"/>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rPr>
            </w:pPr>
          </w:p>
        </w:tc>
        <w:tc>
          <w:tcPr>
            <w:tcW w:w="668" w:type="dxa"/>
            <w:textDirection w:val="btLr"/>
          </w:tcPr>
          <w:p w:rsidR="00EE0C8C" w:rsidRPr="00EE0C8C" w:rsidRDefault="00EE0C8C" w:rsidP="00EE0C8C">
            <w:pPr>
              <w:ind w:left="113" w:right="113"/>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rPr>
            </w:pPr>
          </w:p>
        </w:tc>
        <w:tc>
          <w:tcPr>
            <w:tcW w:w="672" w:type="dxa"/>
            <w:textDirection w:val="btLr"/>
          </w:tcPr>
          <w:p w:rsidR="00EE0C8C" w:rsidRPr="00EE0C8C" w:rsidRDefault="00EE0C8C" w:rsidP="00EE0C8C">
            <w:pPr>
              <w:ind w:left="113" w:right="113"/>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rPr>
            </w:pPr>
          </w:p>
        </w:tc>
        <w:tc>
          <w:tcPr>
            <w:tcW w:w="615" w:type="dxa"/>
            <w:textDirection w:val="btLr"/>
          </w:tcPr>
          <w:p w:rsidR="00EE0C8C" w:rsidRPr="00EE0C8C" w:rsidRDefault="00EE0C8C" w:rsidP="00EE0C8C">
            <w:pPr>
              <w:ind w:left="113" w:right="113"/>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rPr>
            </w:pPr>
          </w:p>
        </w:tc>
        <w:tc>
          <w:tcPr>
            <w:tcW w:w="576" w:type="dxa"/>
            <w:textDirection w:val="btLr"/>
          </w:tcPr>
          <w:p w:rsidR="00EE0C8C" w:rsidRPr="00EE0C8C" w:rsidRDefault="00EE0C8C" w:rsidP="00EE0C8C">
            <w:pPr>
              <w:ind w:left="113" w:right="113"/>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rPr>
            </w:pPr>
          </w:p>
        </w:tc>
        <w:tc>
          <w:tcPr>
            <w:tcW w:w="576" w:type="dxa"/>
            <w:textDirection w:val="btLr"/>
          </w:tcPr>
          <w:p w:rsidR="00EE0C8C" w:rsidRPr="00EE0C8C" w:rsidRDefault="00EE0C8C" w:rsidP="00EE0C8C">
            <w:pPr>
              <w:ind w:left="113" w:right="113"/>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rPr>
            </w:pPr>
          </w:p>
        </w:tc>
      </w:tr>
      <w:tr w:rsidR="00EE0C8C" w:rsidRPr="00EE0C8C" w:rsidTr="00A76BD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520" w:type="dxa"/>
          </w:tcPr>
          <w:p w:rsidR="00EE0C8C" w:rsidRPr="00EE0C8C" w:rsidRDefault="00EE0C8C" w:rsidP="00EE0C8C">
            <w:pPr>
              <w:jc w:val="both"/>
              <w:rPr>
                <w:rFonts w:ascii="Calibri" w:eastAsia="Calibri" w:hAnsi="Calibri" w:cs="Times New Roman"/>
              </w:rPr>
            </w:pPr>
          </w:p>
        </w:tc>
        <w:tc>
          <w:tcPr>
            <w:tcW w:w="1598" w:type="dxa"/>
          </w:tcPr>
          <w:p w:rsidR="00EE0C8C" w:rsidRPr="00EE0C8C" w:rsidRDefault="00EE0C8C" w:rsidP="00EE0C8C">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rPr>
            </w:pPr>
            <w:r w:rsidRPr="00EE0C8C">
              <w:rPr>
                <w:rFonts w:ascii="Calibri" w:eastAsia="Calibri" w:hAnsi="Calibri" w:cs="Times New Roman"/>
                <w:b/>
              </w:rPr>
              <w:t>OGÓŁEM</w:t>
            </w:r>
          </w:p>
        </w:tc>
        <w:tc>
          <w:tcPr>
            <w:tcW w:w="1426" w:type="dxa"/>
          </w:tcPr>
          <w:p w:rsidR="00EE0C8C" w:rsidRPr="00EE0C8C" w:rsidRDefault="00EE0C8C" w:rsidP="00EE0C8C">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rPr>
            </w:pPr>
            <w:r w:rsidRPr="00EE0C8C">
              <w:rPr>
                <w:rFonts w:ascii="Calibri" w:eastAsia="Calibri" w:hAnsi="Calibri" w:cs="Times New Roman"/>
                <w:b/>
              </w:rPr>
              <w:t>11114,3947</w:t>
            </w:r>
          </w:p>
        </w:tc>
        <w:tc>
          <w:tcPr>
            <w:tcW w:w="629" w:type="dxa"/>
            <w:textDirection w:val="btLr"/>
          </w:tcPr>
          <w:p w:rsidR="00EE0C8C" w:rsidRPr="00EE0C8C" w:rsidRDefault="00EE0C8C" w:rsidP="00EE0C8C">
            <w:pPr>
              <w:ind w:left="113" w:right="113"/>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rPr>
            </w:pPr>
          </w:p>
        </w:tc>
        <w:tc>
          <w:tcPr>
            <w:tcW w:w="663" w:type="dxa"/>
            <w:textDirection w:val="btLr"/>
          </w:tcPr>
          <w:p w:rsidR="00EE0C8C" w:rsidRPr="00EE0C8C" w:rsidRDefault="00EE0C8C" w:rsidP="00EE0C8C">
            <w:pPr>
              <w:ind w:left="113" w:right="113"/>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rPr>
            </w:pPr>
          </w:p>
        </w:tc>
        <w:tc>
          <w:tcPr>
            <w:tcW w:w="667" w:type="dxa"/>
            <w:textDirection w:val="btLr"/>
          </w:tcPr>
          <w:p w:rsidR="00EE0C8C" w:rsidRPr="00EE0C8C" w:rsidRDefault="00EE0C8C" w:rsidP="00EE0C8C">
            <w:pPr>
              <w:ind w:left="113" w:right="113"/>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rPr>
            </w:pPr>
          </w:p>
        </w:tc>
        <w:tc>
          <w:tcPr>
            <w:tcW w:w="633" w:type="dxa"/>
            <w:textDirection w:val="btLr"/>
          </w:tcPr>
          <w:p w:rsidR="00EE0C8C" w:rsidRPr="00EE0C8C" w:rsidRDefault="00EE0C8C" w:rsidP="00EE0C8C">
            <w:pPr>
              <w:ind w:left="113" w:right="113"/>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rPr>
            </w:pPr>
          </w:p>
        </w:tc>
        <w:tc>
          <w:tcPr>
            <w:tcW w:w="668" w:type="dxa"/>
            <w:textDirection w:val="btLr"/>
          </w:tcPr>
          <w:p w:rsidR="00EE0C8C" w:rsidRPr="00EE0C8C" w:rsidRDefault="00EE0C8C" w:rsidP="00EE0C8C">
            <w:pPr>
              <w:ind w:left="113" w:right="113"/>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rPr>
            </w:pPr>
          </w:p>
        </w:tc>
        <w:tc>
          <w:tcPr>
            <w:tcW w:w="672" w:type="dxa"/>
            <w:textDirection w:val="btLr"/>
          </w:tcPr>
          <w:p w:rsidR="00EE0C8C" w:rsidRPr="00EE0C8C" w:rsidRDefault="00EE0C8C" w:rsidP="00EE0C8C">
            <w:pPr>
              <w:ind w:left="113" w:right="113"/>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rPr>
            </w:pPr>
          </w:p>
        </w:tc>
        <w:tc>
          <w:tcPr>
            <w:tcW w:w="615" w:type="dxa"/>
            <w:textDirection w:val="btLr"/>
          </w:tcPr>
          <w:p w:rsidR="00EE0C8C" w:rsidRPr="00EE0C8C" w:rsidRDefault="00EE0C8C" w:rsidP="00EE0C8C">
            <w:pPr>
              <w:ind w:left="113" w:right="113"/>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rPr>
            </w:pPr>
          </w:p>
        </w:tc>
        <w:tc>
          <w:tcPr>
            <w:tcW w:w="576" w:type="dxa"/>
            <w:textDirection w:val="btLr"/>
          </w:tcPr>
          <w:p w:rsidR="00EE0C8C" w:rsidRPr="00EE0C8C" w:rsidRDefault="00EE0C8C" w:rsidP="00EE0C8C">
            <w:pPr>
              <w:ind w:left="113" w:right="113"/>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rPr>
            </w:pPr>
          </w:p>
        </w:tc>
        <w:tc>
          <w:tcPr>
            <w:tcW w:w="576" w:type="dxa"/>
            <w:textDirection w:val="btLr"/>
          </w:tcPr>
          <w:p w:rsidR="00EE0C8C" w:rsidRPr="00EE0C8C" w:rsidRDefault="00EE0C8C" w:rsidP="00EE0C8C">
            <w:pPr>
              <w:ind w:left="113" w:right="113"/>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rPr>
            </w:pPr>
          </w:p>
        </w:tc>
      </w:tr>
    </w:tbl>
    <w:p w:rsidR="00EE0C8C" w:rsidRPr="00EE0C8C" w:rsidRDefault="00EE0C8C" w:rsidP="00EE0C8C">
      <w:pPr>
        <w:jc w:val="center"/>
        <w:rPr>
          <w:rFonts w:ascii="Calibri" w:eastAsia="Times New Roman" w:hAnsi="Calibri" w:cs="Times New Roman"/>
          <w:i/>
          <w:lang w:eastAsia="pl-PL"/>
        </w:rPr>
      </w:pPr>
      <w:r w:rsidRPr="00EE0C8C">
        <w:rPr>
          <w:rFonts w:ascii="Calibri" w:eastAsia="Times New Roman" w:hAnsi="Calibri" w:cs="Times New Roman"/>
          <w:i/>
          <w:lang w:eastAsia="pl-PL"/>
        </w:rPr>
        <w:t>(Źródło: Opracowanie własne na podstawie danym z UG w Mircu)</w:t>
      </w:r>
    </w:p>
    <w:p w:rsidR="00EE0C8C" w:rsidRPr="00EE0C8C" w:rsidRDefault="00EE0C8C" w:rsidP="00EE0C8C">
      <w:pPr>
        <w:ind w:firstLine="1134"/>
        <w:jc w:val="both"/>
        <w:rPr>
          <w:rFonts w:ascii="Calibri" w:eastAsia="Times New Roman" w:hAnsi="Calibri" w:cs="Arial"/>
          <w:b/>
          <w:bCs/>
          <w:color w:val="003399"/>
          <w:lang w:eastAsia="pl-PL"/>
        </w:rPr>
      </w:pPr>
    </w:p>
    <w:p w:rsidR="00EE0C8C" w:rsidRPr="00EE0C8C" w:rsidRDefault="00EE0C8C" w:rsidP="00EE0C8C">
      <w:pPr>
        <w:ind w:firstLine="1134"/>
        <w:rPr>
          <w:rFonts w:ascii="Calibri" w:eastAsia="Times New Roman" w:hAnsi="Calibri" w:cs="Arial"/>
          <w:b/>
          <w:bCs/>
          <w:color w:val="003399"/>
          <w:lang w:eastAsia="pl-PL"/>
        </w:rPr>
      </w:pPr>
      <w:r w:rsidRPr="00EE0C8C">
        <w:rPr>
          <w:rFonts w:ascii="Calibri" w:eastAsia="Times New Roman" w:hAnsi="Calibri" w:cs="Arial"/>
          <w:b/>
          <w:bCs/>
          <w:color w:val="003399"/>
          <w:lang w:eastAsia="pl-PL"/>
        </w:rPr>
        <w:t>Struktura powierzchniowa gospodarstw rolniczych:</w:t>
      </w:r>
    </w:p>
    <w:p w:rsidR="00EE0C8C" w:rsidRPr="00EE0C8C" w:rsidRDefault="00EE0C8C" w:rsidP="00EE0C8C">
      <w:pPr>
        <w:ind w:firstLine="1134"/>
        <w:jc w:val="both"/>
        <w:rPr>
          <w:rFonts w:ascii="Calibri" w:eastAsia="Times New Roman" w:hAnsi="Calibri" w:cs="Arial"/>
          <w:b/>
          <w:bCs/>
          <w:color w:val="003399"/>
          <w:lang w:eastAsia="pl-PL"/>
        </w:rPr>
      </w:pPr>
      <w:r w:rsidRPr="00EE0C8C">
        <w:rPr>
          <w:rFonts w:ascii="Calibri" w:eastAsia="Times New Roman" w:hAnsi="Calibri" w:cs="Arial"/>
          <w:color w:val="003399"/>
          <w:lang w:eastAsia="pl-PL"/>
        </w:rPr>
        <w:br/>
      </w:r>
      <w:r w:rsidRPr="00EE0C8C">
        <w:rPr>
          <w:rFonts w:ascii="Calibri" w:eastAsia="Times New Roman" w:hAnsi="Calibri" w:cs="Arial"/>
          <w:color w:val="003399"/>
          <w:bdr w:val="single" w:sz="4" w:space="0" w:color="auto"/>
          <w:lang w:eastAsia="pl-PL"/>
        </w:rPr>
        <w:t>1-2 ha                    22,7%,</w:t>
      </w:r>
      <w:r w:rsidRPr="00EE0C8C">
        <w:rPr>
          <w:rFonts w:ascii="Calibri" w:eastAsia="Times New Roman" w:hAnsi="Calibri" w:cs="Arial"/>
          <w:color w:val="003399"/>
          <w:bdr w:val="single" w:sz="4" w:space="0" w:color="auto"/>
          <w:lang w:eastAsia="pl-PL"/>
        </w:rPr>
        <w:br/>
        <w:t>2-4 ha  43,7%,</w:t>
      </w:r>
      <w:r w:rsidRPr="00EE0C8C">
        <w:rPr>
          <w:rFonts w:ascii="Calibri" w:eastAsia="Times New Roman" w:hAnsi="Calibri" w:cs="Arial"/>
          <w:color w:val="003399"/>
          <w:bdr w:val="single" w:sz="4" w:space="0" w:color="auto"/>
          <w:lang w:eastAsia="pl-PL"/>
        </w:rPr>
        <w:br/>
        <w:t>4-7 ha  28,8%,</w:t>
      </w:r>
      <w:r w:rsidRPr="00EE0C8C">
        <w:rPr>
          <w:rFonts w:ascii="Calibri" w:eastAsia="Times New Roman" w:hAnsi="Calibri" w:cs="Arial"/>
          <w:color w:val="003399"/>
          <w:bdr w:val="single" w:sz="4" w:space="0" w:color="auto"/>
          <w:lang w:eastAsia="pl-PL"/>
        </w:rPr>
        <w:br/>
        <w:t>7-10 ha 4,0%, </w:t>
      </w:r>
      <w:r w:rsidRPr="00EE0C8C">
        <w:rPr>
          <w:rFonts w:ascii="Calibri" w:eastAsia="Times New Roman" w:hAnsi="Calibri" w:cs="Arial"/>
          <w:color w:val="003399"/>
          <w:bdr w:val="single" w:sz="4" w:space="0" w:color="auto"/>
          <w:lang w:eastAsia="pl-PL"/>
        </w:rPr>
        <w:br/>
        <w:t>pow.10 ha                                                                                                                                                         1,5%.</w:t>
      </w:r>
    </w:p>
    <w:p w:rsidR="00EE0C8C" w:rsidRPr="00EE0C8C" w:rsidRDefault="00EE0C8C" w:rsidP="00EE0C8C">
      <w:pPr>
        <w:jc w:val="center"/>
        <w:rPr>
          <w:rFonts w:ascii="Calibri" w:eastAsia="Times New Roman" w:hAnsi="Calibri" w:cs="Arial"/>
          <w:i/>
          <w:lang w:eastAsia="pl-PL"/>
        </w:rPr>
      </w:pPr>
      <w:r w:rsidRPr="00EE0C8C">
        <w:rPr>
          <w:rFonts w:ascii="Calibri" w:eastAsia="Times New Roman" w:hAnsi="Calibri" w:cs="Arial"/>
          <w:i/>
          <w:lang w:eastAsia="pl-PL"/>
        </w:rPr>
        <w:t xml:space="preserve">(Źródło: </w:t>
      </w:r>
      <w:hyperlink r:id="rId21" w:history="1">
        <w:r w:rsidRPr="00EE0C8C">
          <w:rPr>
            <w:rFonts w:ascii="Calibri" w:eastAsia="Times New Roman" w:hAnsi="Calibri" w:cs="Arial"/>
            <w:i/>
            <w:lang w:eastAsia="pl-PL"/>
          </w:rPr>
          <w:t>http://mirzec.pl/index.php?page=o-gminie</w:t>
        </w:r>
      </w:hyperlink>
      <w:r w:rsidRPr="00EE0C8C">
        <w:rPr>
          <w:rFonts w:ascii="Calibri" w:eastAsia="Times New Roman" w:hAnsi="Calibri" w:cs="Times New Roman"/>
          <w:lang w:eastAsia="pl-PL"/>
        </w:rPr>
        <w:t>)</w:t>
      </w:r>
    </w:p>
    <w:p w:rsidR="00EE0C8C" w:rsidRPr="00EE0C8C" w:rsidRDefault="00EE0C8C" w:rsidP="00EE0C8C">
      <w:pPr>
        <w:spacing w:after="0" w:line="240" w:lineRule="auto"/>
        <w:jc w:val="both"/>
        <w:rPr>
          <w:rFonts w:ascii="Calibri" w:eastAsia="Times New Roman" w:hAnsi="Calibri" w:cs="Arial"/>
          <w:lang w:eastAsia="pl-PL"/>
        </w:rPr>
      </w:pPr>
      <w:r w:rsidRPr="00EE0C8C">
        <w:rPr>
          <w:rFonts w:ascii="Calibri" w:eastAsia="Times New Roman" w:hAnsi="Calibri" w:cs="Arial"/>
          <w:lang w:eastAsia="pl-PL"/>
        </w:rPr>
        <w:t>Użytki rolne na terenie gminy Mirzec:</w:t>
      </w:r>
    </w:p>
    <w:p w:rsidR="00EE0C8C" w:rsidRPr="00EE0C8C" w:rsidRDefault="00EE0C8C" w:rsidP="00EE0C8C">
      <w:pPr>
        <w:spacing w:after="0" w:line="240" w:lineRule="auto"/>
        <w:rPr>
          <w:rFonts w:ascii="Calibri" w:eastAsia="Times New Roman" w:hAnsi="Calibri" w:cs="Arial"/>
          <w:lang w:eastAsia="pl-PL"/>
        </w:rPr>
      </w:pPr>
      <w:r w:rsidRPr="00EE0C8C">
        <w:rPr>
          <w:rFonts w:ascii="Calibri" w:eastAsia="Times New Roman" w:hAnsi="Calibri" w:cs="Arial"/>
          <w:lang w:eastAsia="pl-PL"/>
        </w:rPr>
        <w:sym w:font="Symbol" w:char="F0B7"/>
      </w:r>
      <w:r w:rsidRPr="00EE0C8C">
        <w:rPr>
          <w:rFonts w:ascii="Calibri" w:eastAsia="Times New Roman" w:hAnsi="Calibri" w:cs="Arial"/>
          <w:lang w:eastAsia="pl-PL"/>
        </w:rPr>
        <w:t xml:space="preserve"> grunty orne – 4896 ha,</w:t>
      </w:r>
    </w:p>
    <w:p w:rsidR="00EE0C8C" w:rsidRPr="00EE0C8C" w:rsidRDefault="00EE0C8C" w:rsidP="00EE0C8C">
      <w:pPr>
        <w:spacing w:after="0" w:line="240" w:lineRule="auto"/>
        <w:rPr>
          <w:rFonts w:ascii="Calibri" w:eastAsia="Times New Roman" w:hAnsi="Calibri" w:cs="Arial"/>
          <w:lang w:eastAsia="pl-PL"/>
        </w:rPr>
      </w:pPr>
      <w:r w:rsidRPr="00EE0C8C">
        <w:rPr>
          <w:rFonts w:ascii="Calibri" w:eastAsia="Times New Roman" w:hAnsi="Calibri" w:cs="Arial"/>
          <w:lang w:eastAsia="pl-PL"/>
        </w:rPr>
        <w:sym w:font="Symbol" w:char="F0B7"/>
      </w:r>
      <w:r w:rsidRPr="00EE0C8C">
        <w:rPr>
          <w:rFonts w:ascii="Calibri" w:eastAsia="Times New Roman" w:hAnsi="Calibri" w:cs="Arial"/>
          <w:lang w:eastAsia="pl-PL"/>
        </w:rPr>
        <w:t xml:space="preserve"> sady – 81 ha,</w:t>
      </w:r>
    </w:p>
    <w:p w:rsidR="00EE0C8C" w:rsidRPr="00EE0C8C" w:rsidRDefault="00EE0C8C" w:rsidP="00EE0C8C">
      <w:pPr>
        <w:spacing w:after="0" w:line="240" w:lineRule="auto"/>
        <w:rPr>
          <w:rFonts w:ascii="Calibri" w:eastAsia="Times New Roman" w:hAnsi="Calibri" w:cs="Arial"/>
          <w:lang w:eastAsia="pl-PL"/>
        </w:rPr>
      </w:pPr>
      <w:r w:rsidRPr="00EE0C8C">
        <w:rPr>
          <w:rFonts w:ascii="Calibri" w:eastAsia="Times New Roman" w:hAnsi="Calibri" w:cs="Arial"/>
          <w:lang w:eastAsia="pl-PL"/>
        </w:rPr>
        <w:sym w:font="Symbol" w:char="F0B7"/>
      </w:r>
      <w:r w:rsidRPr="00EE0C8C">
        <w:rPr>
          <w:rFonts w:ascii="Calibri" w:eastAsia="Times New Roman" w:hAnsi="Calibri" w:cs="Arial"/>
          <w:lang w:eastAsia="pl-PL"/>
        </w:rPr>
        <w:t xml:space="preserve"> łąki – 865 ha,</w:t>
      </w:r>
    </w:p>
    <w:p w:rsidR="00EE0C8C" w:rsidRPr="00EE0C8C" w:rsidRDefault="00EE0C8C" w:rsidP="00EE0C8C">
      <w:pPr>
        <w:spacing w:after="0" w:line="240" w:lineRule="auto"/>
        <w:rPr>
          <w:rFonts w:ascii="Calibri" w:eastAsia="Times New Roman" w:hAnsi="Calibri" w:cs="Arial"/>
          <w:lang w:eastAsia="pl-PL"/>
        </w:rPr>
      </w:pPr>
      <w:r w:rsidRPr="00EE0C8C">
        <w:rPr>
          <w:rFonts w:ascii="Calibri" w:eastAsia="Times New Roman" w:hAnsi="Calibri" w:cs="Arial"/>
          <w:lang w:eastAsia="pl-PL"/>
        </w:rPr>
        <w:sym w:font="Symbol" w:char="F0B7"/>
      </w:r>
      <w:r w:rsidRPr="00EE0C8C">
        <w:rPr>
          <w:rFonts w:ascii="Calibri" w:eastAsia="Times New Roman" w:hAnsi="Calibri" w:cs="Arial"/>
          <w:lang w:eastAsia="pl-PL"/>
        </w:rPr>
        <w:t xml:space="preserve"> pastwiska 300 ha. </w:t>
      </w:r>
    </w:p>
    <w:p w:rsidR="00EE0C8C" w:rsidRPr="00EE0C8C" w:rsidRDefault="00EE0C8C" w:rsidP="00EE0C8C">
      <w:pPr>
        <w:rPr>
          <w:rFonts w:ascii="Calibri" w:eastAsia="Times New Roman" w:hAnsi="Calibri" w:cs="Times New Roman"/>
          <w:lang w:eastAsia="pl-PL"/>
        </w:rPr>
      </w:pPr>
    </w:p>
    <w:p w:rsidR="00EE0C8C" w:rsidRPr="00EE0C8C" w:rsidRDefault="00EE0C8C" w:rsidP="00A76BDB">
      <w:pPr>
        <w:pStyle w:val="Nagwek2"/>
        <w:rPr>
          <w:lang w:eastAsia="pl-PL"/>
        </w:rPr>
      </w:pPr>
      <w:bookmarkStart w:id="39" w:name="_Toc439077753"/>
      <w:bookmarkStart w:id="40" w:name="_Toc449963536"/>
      <w:bookmarkStart w:id="41" w:name="_Toc450562478"/>
      <w:r w:rsidRPr="00EE0C8C">
        <w:rPr>
          <w:lang w:eastAsia="pl-PL"/>
        </w:rPr>
        <w:t>2.1.4. ZASOBY ŚRODOWISKA NATURALNEGO</w:t>
      </w:r>
      <w:bookmarkEnd w:id="39"/>
      <w:bookmarkEnd w:id="40"/>
      <w:bookmarkEnd w:id="41"/>
    </w:p>
    <w:p w:rsidR="00EE0C8C" w:rsidRPr="00EE0C8C" w:rsidRDefault="00EE0C8C" w:rsidP="00EE0C8C">
      <w:pPr>
        <w:keepNext/>
        <w:keepLines/>
        <w:spacing w:before="200" w:after="0"/>
        <w:outlineLvl w:val="3"/>
        <w:rPr>
          <w:rFonts w:ascii="Cambria" w:eastAsia="Times New Roman" w:hAnsi="Cambria" w:cs="Times New Roman"/>
          <w:b/>
          <w:bCs/>
          <w:i/>
          <w:iCs/>
          <w:color w:val="4F81BD"/>
        </w:rPr>
      </w:pPr>
      <w:r w:rsidRPr="00EE0C8C">
        <w:rPr>
          <w:rFonts w:ascii="Cambria" w:eastAsia="Times New Roman" w:hAnsi="Cambria" w:cs="Times New Roman"/>
          <w:b/>
          <w:bCs/>
          <w:i/>
          <w:iCs/>
          <w:color w:val="4F81BD"/>
        </w:rPr>
        <w:t>POŁOŻENIE</w:t>
      </w:r>
    </w:p>
    <w:p w:rsidR="00EE0C8C" w:rsidRPr="00EE0C8C" w:rsidRDefault="00EE0C8C" w:rsidP="00EE0C8C">
      <w:pPr>
        <w:jc w:val="both"/>
        <w:rPr>
          <w:rFonts w:ascii="Calibri" w:eastAsia="Times New Roman" w:hAnsi="Calibri" w:cs="Times New Roman"/>
          <w:lang w:eastAsia="pl-PL"/>
        </w:rPr>
      </w:pPr>
      <w:r w:rsidRPr="00EE0C8C">
        <w:rPr>
          <w:rFonts w:ascii="Calibri" w:eastAsia="Times New Roman" w:hAnsi="Calibri" w:cs="Times New Roman"/>
          <w:lang w:eastAsia="pl-PL"/>
        </w:rPr>
        <w:t xml:space="preserve">Gmina Mirzec położona jest na obrzeżu Gór Świętokrzyskich, w  obrębie  mezoregionu:  Przedgórze  Iłżeckie, zajmującego   północno-wschodnią   część   megaregionu:   Wyżyny   Kielecko -Sandomierskiej.  Pod  względem  geologicznym  gmina  Mirzec  zajmuje  fragment  północnej części  mezozoicznego obrzeżenia Gór Świętokrzyskich. Osady mezozoiku: triasu  i  jury  dolnej  oraz  środkowej  występują  bezpośrednio  na  powierzchni  bądź przykryte są warstwą utworów czwartorzędowych o miąższości od kilku do ponad 130 m.  Trias  reprezentowany  jest  przez  piaskowce, iłowce,  mułowce,  wapienie krynoidowe;  jura  dolna  przez:  piaskowce,  iłowce  </w:t>
      </w:r>
      <w:r w:rsidRPr="00EE0C8C">
        <w:rPr>
          <w:rFonts w:ascii="Calibri" w:eastAsia="Times New Roman" w:hAnsi="Calibri" w:cs="Times New Roman"/>
          <w:lang w:eastAsia="pl-PL"/>
        </w:rPr>
        <w:br/>
        <w:t xml:space="preserve">i  mułowce;  jura  środkowa  przez: piaskowce,  piaskowce  wapniste  i  dolomityczne  z  syderytami  </w:t>
      </w:r>
      <w:r w:rsidRPr="00EE0C8C">
        <w:rPr>
          <w:rFonts w:ascii="Calibri" w:eastAsia="Times New Roman" w:hAnsi="Calibri" w:cs="Times New Roman"/>
          <w:lang w:eastAsia="pl-PL"/>
        </w:rPr>
        <w:br/>
      </w:r>
      <w:r w:rsidRPr="00EE0C8C">
        <w:rPr>
          <w:rFonts w:ascii="Calibri" w:eastAsia="Times New Roman" w:hAnsi="Calibri" w:cs="Times New Roman"/>
          <w:lang w:eastAsia="pl-PL"/>
        </w:rPr>
        <w:lastRenderedPageBreak/>
        <w:t>i  przewarstwieniami iłowców. Utwory czwartorzędowe tworzą osady pleistocenu (gliny piaszczyste, piaski lodowcowe  i  wodnolodowcowe,  osady  rzeczne  w  postaci  piasków,  miejscami  ze żwirem)  oraz  osady  holocenu  (osady  rzeczne  aluwialne:  piaski  i  namuły,  torfy i namuły torfiaste).</w:t>
      </w:r>
    </w:p>
    <w:p w:rsidR="00EE0C8C" w:rsidRPr="00EE0C8C" w:rsidRDefault="00EE0C8C" w:rsidP="00EE0C8C">
      <w:pPr>
        <w:jc w:val="both"/>
        <w:rPr>
          <w:rFonts w:ascii="Calibri" w:eastAsia="Times New Roman" w:hAnsi="Calibri" w:cs="Times New Roman"/>
          <w:lang w:eastAsia="pl-PL"/>
        </w:rPr>
      </w:pPr>
      <w:r w:rsidRPr="00EE0C8C">
        <w:rPr>
          <w:rFonts w:ascii="Calibri" w:eastAsia="Times New Roman" w:hAnsi="Calibri" w:cs="Times New Roman"/>
          <w:lang w:eastAsia="pl-PL"/>
        </w:rPr>
        <w:t xml:space="preserve">Powierzchnia  gminy  Mirzec  jest  pagórkowata.  Charakteryzuje  się  występowaniem monoklinalnych pasm wzniesień, które tworzą jurajskie piaskowce. W rejonie Mirzec-Malcówki  pagórki  wznoszą  się  do  266  m  n.p.m.  We  wschodniej  części  gminy znajduje  się  tzw.  Góra  Małyszyńska  (246,3  m  n.p.m.)  będąca  jednym  z  lokalnie występujących  tu  pagórów  piaszczysto-żwirowych.  Teren  rozcinają  doliny  rzek: Iłżanki, </w:t>
      </w:r>
      <w:r w:rsidR="00854CED">
        <w:rPr>
          <w:rFonts w:ascii="Calibri" w:eastAsia="Times New Roman" w:hAnsi="Calibri" w:cs="Times New Roman"/>
          <w:lang w:eastAsia="pl-PL"/>
        </w:rPr>
        <w:t xml:space="preserve">strugi: </w:t>
      </w:r>
      <w:r w:rsidRPr="00EE0C8C">
        <w:rPr>
          <w:rFonts w:ascii="Calibri" w:eastAsia="Times New Roman" w:hAnsi="Calibri" w:cs="Times New Roman"/>
          <w:lang w:eastAsia="pl-PL"/>
        </w:rPr>
        <w:t xml:space="preserve">Małyszyniec, Brodek, </w:t>
      </w:r>
      <w:r w:rsidR="00854CED">
        <w:rPr>
          <w:rFonts w:ascii="Calibri" w:eastAsia="Times New Roman" w:hAnsi="Calibri" w:cs="Times New Roman"/>
          <w:lang w:eastAsia="pl-PL"/>
        </w:rPr>
        <w:t>Zbijówki</w:t>
      </w:r>
      <w:r w:rsidRPr="00EE0C8C">
        <w:rPr>
          <w:rFonts w:ascii="Calibri" w:eastAsia="Times New Roman" w:hAnsi="Calibri" w:cs="Times New Roman"/>
          <w:lang w:eastAsia="pl-PL"/>
        </w:rPr>
        <w:t xml:space="preserve">, ich bezimienne dopływy oraz ciek Wężyk  płynący  w  południowej  części  gminy.  Obszar  gminy  opada  łagodnie w kierunku północnym, ku dolinie rzeki Iłżanki, osiągając tu ok. 188 m n.p.m. Antropogeniczna działalność człowieka wywiera wpływ na lokalny charakter rzeźby terenu.  </w:t>
      </w:r>
      <w:r w:rsidRPr="00EE0C8C">
        <w:rPr>
          <w:rFonts w:ascii="Calibri" w:eastAsia="Times New Roman" w:hAnsi="Calibri" w:cs="Times New Roman"/>
          <w:lang w:eastAsia="pl-PL"/>
        </w:rPr>
        <w:br/>
        <w:t xml:space="preserve">W  rejonie  od  Małyszyna  Starego  do  Trębowca  Małego  występuje  szereg wyrobisk i szybów </w:t>
      </w:r>
      <w:r w:rsidRPr="00EE0C8C">
        <w:rPr>
          <w:rFonts w:ascii="Calibri" w:eastAsia="Times New Roman" w:hAnsi="Calibri" w:cs="Times New Roman"/>
          <w:lang w:eastAsia="pl-PL"/>
        </w:rPr>
        <w:br/>
        <w:t>o głębokości do 15 m oraz hałd o wysokości do 8 m. Są to tereny, gdzie niegdyś wydobywano rudy żelaza.</w:t>
      </w:r>
    </w:p>
    <w:p w:rsidR="00EE0C8C" w:rsidRPr="00EE0C8C" w:rsidRDefault="00EE0C8C" w:rsidP="00EE0C8C">
      <w:pPr>
        <w:keepNext/>
        <w:keepLines/>
        <w:spacing w:before="200" w:after="0"/>
        <w:outlineLvl w:val="3"/>
        <w:rPr>
          <w:rFonts w:ascii="Cambria" w:eastAsia="Times New Roman" w:hAnsi="Cambria" w:cs="Times New Roman"/>
          <w:b/>
          <w:bCs/>
          <w:i/>
          <w:iCs/>
          <w:color w:val="4F81BD"/>
        </w:rPr>
      </w:pPr>
      <w:r w:rsidRPr="00EE0C8C">
        <w:rPr>
          <w:rFonts w:ascii="Cambria" w:eastAsia="Times New Roman" w:hAnsi="Cambria" w:cs="Times New Roman"/>
          <w:b/>
          <w:bCs/>
          <w:i/>
          <w:iCs/>
          <w:color w:val="4F81BD"/>
        </w:rPr>
        <w:t>KLIMAT I POWIETRZE</w:t>
      </w:r>
    </w:p>
    <w:p w:rsidR="00EE0C8C" w:rsidRPr="00EE0C8C" w:rsidRDefault="00EE0C8C" w:rsidP="00EE0C8C">
      <w:pPr>
        <w:spacing w:after="120"/>
        <w:jc w:val="both"/>
        <w:rPr>
          <w:rFonts w:ascii="Calibri" w:eastAsia="Times New Roman" w:hAnsi="Calibri" w:cs="Times New Roman"/>
          <w:lang w:eastAsia="pl-PL"/>
        </w:rPr>
      </w:pPr>
      <w:r w:rsidRPr="00EE0C8C">
        <w:rPr>
          <w:rFonts w:ascii="Calibri" w:eastAsia="Times New Roman" w:hAnsi="Calibri" w:cs="Times New Roman"/>
          <w:lang w:eastAsia="pl-PL"/>
        </w:rPr>
        <w:t>Gmina  Mirzec  położona  jest w  obrębie  wyżynnego rejonu  klimatycznego  śląsko-małopolskiego w Krainie Gór Świętokrzyskich. Kraina ta posiada następujące cechy klimatyczne:</w:t>
      </w:r>
    </w:p>
    <w:p w:rsidR="00EE0C8C" w:rsidRPr="00EE0C8C" w:rsidRDefault="00EE0C8C" w:rsidP="00EE0C8C">
      <w:pPr>
        <w:spacing w:after="120"/>
        <w:ind w:firstLine="1134"/>
        <w:jc w:val="both"/>
        <w:rPr>
          <w:rFonts w:ascii="Calibri" w:eastAsia="Times New Roman" w:hAnsi="Calibri" w:cs="Times New Roman"/>
          <w:lang w:eastAsia="pl-PL"/>
        </w:rPr>
      </w:pPr>
      <w:r w:rsidRPr="00EE0C8C">
        <w:rPr>
          <w:rFonts w:ascii="Calibri" w:eastAsia="Times New Roman" w:hAnsi="Calibri" w:cs="Times New Roman"/>
          <w:lang w:eastAsia="pl-PL"/>
        </w:rPr>
        <w:t>- średnia  roczna  temperatura  powietrza  najchłodniejszego  miesiąca  (stycznia):-3,5</w:t>
      </w:r>
      <w:r w:rsidRPr="00EE0C8C">
        <w:rPr>
          <w:rFonts w:ascii="Calibri" w:eastAsia="Times New Roman" w:hAnsi="Calibri" w:cs="Times New Roman"/>
          <w:vertAlign w:val="superscript"/>
          <w:lang w:eastAsia="pl-PL"/>
        </w:rPr>
        <w:t>o</w:t>
      </w:r>
      <w:r w:rsidRPr="00EE0C8C">
        <w:rPr>
          <w:rFonts w:ascii="Calibri" w:eastAsia="Times New Roman" w:hAnsi="Calibri" w:cs="Times New Roman"/>
          <w:lang w:eastAsia="pl-PL"/>
        </w:rPr>
        <w:t>C,</w:t>
      </w:r>
    </w:p>
    <w:p w:rsidR="00EE0C8C" w:rsidRPr="00EE0C8C" w:rsidRDefault="00EE0C8C" w:rsidP="00EE0C8C">
      <w:pPr>
        <w:spacing w:after="120"/>
        <w:ind w:firstLine="1134"/>
        <w:jc w:val="both"/>
        <w:rPr>
          <w:rFonts w:ascii="Calibri" w:eastAsia="Times New Roman" w:hAnsi="Calibri" w:cs="Times New Roman"/>
          <w:lang w:eastAsia="pl-PL"/>
        </w:rPr>
      </w:pPr>
      <w:r w:rsidRPr="00EE0C8C">
        <w:rPr>
          <w:rFonts w:ascii="Calibri" w:eastAsia="Times New Roman" w:hAnsi="Calibri" w:cs="Times New Roman"/>
          <w:lang w:eastAsia="pl-PL"/>
        </w:rPr>
        <w:t>- średnia  roczna  temperatura  powietrza  najcieplejszego  miesiąca  (lipca): + 17,5</w:t>
      </w:r>
      <w:r w:rsidRPr="00EE0C8C">
        <w:rPr>
          <w:rFonts w:ascii="Calibri" w:eastAsia="Times New Roman" w:hAnsi="Calibri" w:cs="Times New Roman"/>
          <w:vertAlign w:val="superscript"/>
          <w:lang w:eastAsia="pl-PL"/>
        </w:rPr>
        <w:t>o</w:t>
      </w:r>
      <w:r w:rsidRPr="00EE0C8C">
        <w:rPr>
          <w:rFonts w:ascii="Calibri" w:eastAsia="Times New Roman" w:hAnsi="Calibri" w:cs="Times New Roman"/>
          <w:lang w:eastAsia="pl-PL"/>
        </w:rPr>
        <w:t>C,</w:t>
      </w:r>
    </w:p>
    <w:p w:rsidR="00EE0C8C" w:rsidRPr="00EE0C8C" w:rsidRDefault="00EE0C8C" w:rsidP="00EE0C8C">
      <w:pPr>
        <w:spacing w:after="120"/>
        <w:ind w:firstLine="1134"/>
        <w:jc w:val="both"/>
        <w:rPr>
          <w:rFonts w:ascii="Calibri" w:eastAsia="Times New Roman" w:hAnsi="Calibri" w:cs="Times New Roman"/>
          <w:lang w:eastAsia="pl-PL"/>
        </w:rPr>
      </w:pPr>
      <w:r w:rsidRPr="00EE0C8C">
        <w:rPr>
          <w:rFonts w:ascii="Calibri" w:eastAsia="Times New Roman" w:hAnsi="Calibri" w:cs="Times New Roman"/>
          <w:lang w:eastAsia="pl-PL"/>
        </w:rPr>
        <w:t>- statystyczna długość trwania zimy: 98 dni,</w:t>
      </w:r>
    </w:p>
    <w:p w:rsidR="00EE0C8C" w:rsidRPr="00EE0C8C" w:rsidRDefault="00EE0C8C" w:rsidP="00EE0C8C">
      <w:pPr>
        <w:spacing w:after="120"/>
        <w:ind w:firstLine="1134"/>
        <w:jc w:val="both"/>
        <w:rPr>
          <w:rFonts w:ascii="Calibri" w:eastAsia="Times New Roman" w:hAnsi="Calibri" w:cs="Times New Roman"/>
          <w:lang w:eastAsia="pl-PL"/>
        </w:rPr>
      </w:pPr>
      <w:r w:rsidRPr="00EE0C8C">
        <w:rPr>
          <w:rFonts w:ascii="Calibri" w:eastAsia="Times New Roman" w:hAnsi="Calibri" w:cs="Times New Roman"/>
          <w:lang w:eastAsia="pl-PL"/>
        </w:rPr>
        <w:t>- statystyczna długość trwania lata: 88 dni,</w:t>
      </w:r>
    </w:p>
    <w:p w:rsidR="00EE0C8C" w:rsidRPr="00EE0C8C" w:rsidRDefault="00EE0C8C" w:rsidP="00EE0C8C">
      <w:pPr>
        <w:spacing w:after="120"/>
        <w:ind w:firstLine="1134"/>
        <w:jc w:val="both"/>
        <w:rPr>
          <w:rFonts w:ascii="Calibri" w:eastAsia="Times New Roman" w:hAnsi="Calibri" w:cs="Times New Roman"/>
          <w:lang w:eastAsia="pl-PL"/>
        </w:rPr>
      </w:pPr>
      <w:r w:rsidRPr="00EE0C8C">
        <w:rPr>
          <w:rFonts w:ascii="Calibri" w:eastAsia="Times New Roman" w:hAnsi="Calibri" w:cs="Times New Roman"/>
          <w:lang w:eastAsia="pl-PL"/>
        </w:rPr>
        <w:t>- średnia liczba dni pochmurnych w roku: 121,</w:t>
      </w:r>
    </w:p>
    <w:p w:rsidR="00EE0C8C" w:rsidRPr="00EE0C8C" w:rsidRDefault="00EE0C8C" w:rsidP="00EE0C8C">
      <w:pPr>
        <w:spacing w:after="120"/>
        <w:ind w:firstLine="1134"/>
        <w:jc w:val="both"/>
        <w:rPr>
          <w:rFonts w:ascii="Calibri" w:eastAsia="Times New Roman" w:hAnsi="Calibri" w:cs="Times New Roman"/>
          <w:lang w:eastAsia="pl-PL"/>
        </w:rPr>
      </w:pPr>
      <w:r w:rsidRPr="00EE0C8C">
        <w:rPr>
          <w:rFonts w:ascii="Calibri" w:eastAsia="Times New Roman" w:hAnsi="Calibri" w:cs="Times New Roman"/>
          <w:lang w:eastAsia="pl-PL"/>
        </w:rPr>
        <w:t>- średnia liczba dni pogodnych: 60,</w:t>
      </w:r>
    </w:p>
    <w:p w:rsidR="00EE0C8C" w:rsidRPr="00EE0C8C" w:rsidRDefault="00EE0C8C" w:rsidP="00EE0C8C">
      <w:pPr>
        <w:spacing w:after="120"/>
        <w:ind w:firstLine="1134"/>
        <w:jc w:val="both"/>
        <w:rPr>
          <w:rFonts w:ascii="Calibri" w:eastAsia="Times New Roman" w:hAnsi="Calibri" w:cs="Times New Roman"/>
          <w:lang w:eastAsia="pl-PL"/>
        </w:rPr>
      </w:pPr>
      <w:r w:rsidRPr="00EE0C8C">
        <w:rPr>
          <w:rFonts w:ascii="Calibri" w:eastAsia="Times New Roman" w:hAnsi="Calibri" w:cs="Times New Roman"/>
          <w:lang w:eastAsia="pl-PL"/>
        </w:rPr>
        <w:t>-średnia roczna suma opadów atmosferycznych 650 mm,</w:t>
      </w:r>
    </w:p>
    <w:p w:rsidR="00EE0C8C" w:rsidRPr="00EE0C8C" w:rsidRDefault="00EE0C8C" w:rsidP="00EE0C8C">
      <w:pPr>
        <w:spacing w:after="120"/>
        <w:ind w:firstLine="1134"/>
        <w:jc w:val="both"/>
        <w:rPr>
          <w:rFonts w:ascii="Calibri" w:eastAsia="Times New Roman" w:hAnsi="Calibri" w:cs="Times New Roman"/>
          <w:lang w:eastAsia="pl-PL"/>
        </w:rPr>
      </w:pPr>
      <w:r w:rsidRPr="00EE0C8C">
        <w:rPr>
          <w:rFonts w:ascii="Calibri" w:eastAsia="Times New Roman" w:hAnsi="Calibri" w:cs="Times New Roman"/>
          <w:lang w:eastAsia="pl-PL"/>
        </w:rPr>
        <w:t>-średnia długość zalegania szaty śnieżnej: 91 dni.</w:t>
      </w:r>
    </w:p>
    <w:p w:rsidR="00EE0C8C" w:rsidRPr="00EE0C8C" w:rsidRDefault="00EE0C8C" w:rsidP="00EE0C8C">
      <w:pPr>
        <w:spacing w:after="120"/>
        <w:jc w:val="both"/>
        <w:rPr>
          <w:rFonts w:ascii="Calibri" w:eastAsia="Times New Roman" w:hAnsi="Calibri" w:cs="Times New Roman"/>
          <w:lang w:eastAsia="pl-PL"/>
        </w:rPr>
      </w:pPr>
      <w:r w:rsidRPr="00EE0C8C">
        <w:rPr>
          <w:rFonts w:ascii="Calibri" w:eastAsia="Times New Roman" w:hAnsi="Calibri" w:cs="Times New Roman"/>
          <w:lang w:eastAsia="pl-PL"/>
        </w:rPr>
        <w:t>Wyniki  wieloletnich    badań    IMiGW  prowadzone  na  stacjach  w  Suchedniowie, Skarżysku Kamiennej i Starachowicach, są następujące:</w:t>
      </w:r>
    </w:p>
    <w:p w:rsidR="00EE0C8C" w:rsidRPr="00EE0C8C" w:rsidRDefault="00EE0C8C" w:rsidP="00EE0C8C">
      <w:pPr>
        <w:spacing w:after="120"/>
        <w:ind w:firstLine="1134"/>
        <w:jc w:val="both"/>
        <w:rPr>
          <w:rFonts w:ascii="Calibri" w:eastAsia="Times New Roman" w:hAnsi="Calibri" w:cs="Times New Roman"/>
          <w:lang w:eastAsia="pl-PL"/>
        </w:rPr>
      </w:pPr>
      <w:r w:rsidRPr="00EE0C8C">
        <w:rPr>
          <w:rFonts w:ascii="Calibri" w:eastAsia="Times New Roman" w:hAnsi="Calibri" w:cs="Times New Roman"/>
          <w:lang w:eastAsia="pl-PL"/>
        </w:rPr>
        <w:t xml:space="preserve">-średnia roczna temperatura powietrza:  7,1 do 7,6 </w:t>
      </w:r>
      <w:r w:rsidRPr="00EE0C8C">
        <w:rPr>
          <w:rFonts w:ascii="Calibri" w:eastAsia="Times New Roman" w:hAnsi="Calibri" w:cs="Times New Roman"/>
          <w:vertAlign w:val="superscript"/>
          <w:lang w:eastAsia="pl-PL"/>
        </w:rPr>
        <w:t>o</w:t>
      </w:r>
      <w:r w:rsidRPr="00EE0C8C">
        <w:rPr>
          <w:rFonts w:ascii="Calibri" w:eastAsia="Times New Roman" w:hAnsi="Calibri" w:cs="Times New Roman"/>
          <w:lang w:eastAsia="pl-PL"/>
        </w:rPr>
        <w:t xml:space="preserve"> C,</w:t>
      </w:r>
    </w:p>
    <w:p w:rsidR="00EE0C8C" w:rsidRPr="00EE0C8C" w:rsidRDefault="00EE0C8C" w:rsidP="00EE0C8C">
      <w:pPr>
        <w:spacing w:after="120"/>
        <w:ind w:firstLine="1134"/>
        <w:jc w:val="both"/>
        <w:rPr>
          <w:rFonts w:ascii="Calibri" w:eastAsia="Times New Roman" w:hAnsi="Calibri" w:cs="Times New Roman"/>
          <w:lang w:eastAsia="pl-PL"/>
        </w:rPr>
      </w:pPr>
      <w:r w:rsidRPr="00EE0C8C">
        <w:rPr>
          <w:rFonts w:ascii="Calibri" w:eastAsia="Times New Roman" w:hAnsi="Calibri" w:cs="Times New Roman"/>
          <w:lang w:eastAsia="pl-PL"/>
        </w:rPr>
        <w:t>-w rejonie gminy notuje się rocznie 30-34 dni gorących,</w:t>
      </w:r>
    </w:p>
    <w:p w:rsidR="00EE0C8C" w:rsidRPr="00EE0C8C" w:rsidRDefault="00EE0C8C" w:rsidP="00EE0C8C">
      <w:pPr>
        <w:spacing w:after="120"/>
        <w:ind w:firstLine="1134"/>
        <w:jc w:val="both"/>
        <w:rPr>
          <w:rFonts w:ascii="Calibri" w:eastAsia="Times New Roman" w:hAnsi="Calibri" w:cs="Times New Roman"/>
          <w:lang w:eastAsia="pl-PL"/>
        </w:rPr>
      </w:pPr>
      <w:r w:rsidRPr="00EE0C8C">
        <w:rPr>
          <w:rFonts w:ascii="Calibri" w:eastAsia="Times New Roman" w:hAnsi="Calibri" w:cs="Times New Roman"/>
          <w:lang w:eastAsia="pl-PL"/>
        </w:rPr>
        <w:t>-w  rejonie  gminy  notowanych  jest  średnio około  120  dni  z  przymrozkami(pierwsze pojawiają się na początku października,  ostatnie zanikają w połowie maja),</w:t>
      </w:r>
    </w:p>
    <w:p w:rsidR="00EE0C8C" w:rsidRPr="00EE0C8C" w:rsidRDefault="00EE0C8C" w:rsidP="00EE0C8C">
      <w:pPr>
        <w:spacing w:after="120"/>
        <w:ind w:firstLine="1134"/>
        <w:jc w:val="both"/>
        <w:rPr>
          <w:rFonts w:ascii="Calibri" w:eastAsia="Times New Roman" w:hAnsi="Calibri" w:cs="Times New Roman"/>
          <w:lang w:eastAsia="pl-PL"/>
        </w:rPr>
      </w:pPr>
      <w:r w:rsidRPr="00EE0C8C">
        <w:rPr>
          <w:rFonts w:ascii="Calibri" w:eastAsia="Times New Roman" w:hAnsi="Calibri" w:cs="Times New Roman"/>
          <w:lang w:eastAsia="pl-PL"/>
        </w:rPr>
        <w:t>-wilgotność względna powietrza wynosi średnio w roku 81 %,</w:t>
      </w:r>
    </w:p>
    <w:p w:rsidR="00EE0C8C" w:rsidRPr="00EE0C8C" w:rsidRDefault="00EE0C8C" w:rsidP="00EE0C8C">
      <w:pPr>
        <w:spacing w:after="120"/>
        <w:ind w:firstLine="1134"/>
        <w:jc w:val="both"/>
        <w:rPr>
          <w:rFonts w:ascii="Calibri" w:eastAsia="Times New Roman" w:hAnsi="Calibri" w:cs="Times New Roman"/>
          <w:lang w:eastAsia="pl-PL"/>
        </w:rPr>
      </w:pPr>
      <w:r w:rsidRPr="00EE0C8C">
        <w:rPr>
          <w:rFonts w:ascii="Calibri" w:eastAsia="Times New Roman" w:hAnsi="Calibri" w:cs="Times New Roman"/>
          <w:lang w:eastAsia="pl-PL"/>
        </w:rPr>
        <w:t>-średnia ilość dni z mgłą: 30 w roku,</w:t>
      </w:r>
    </w:p>
    <w:p w:rsidR="00EE0C8C" w:rsidRPr="00EE0C8C" w:rsidRDefault="00EE0C8C" w:rsidP="00EE0C8C">
      <w:pPr>
        <w:spacing w:after="0"/>
        <w:rPr>
          <w:rFonts w:ascii="Calibri" w:eastAsia="Times New Roman" w:hAnsi="Calibri" w:cs="Arial"/>
          <w:u w:val="single"/>
          <w:lang w:eastAsia="pl-PL"/>
        </w:rPr>
      </w:pPr>
      <w:r w:rsidRPr="00EE0C8C">
        <w:rPr>
          <w:rFonts w:ascii="Calibri" w:eastAsia="Times New Roman" w:hAnsi="Calibri" w:cs="Arial"/>
          <w:u w:val="single"/>
          <w:lang w:eastAsia="pl-PL"/>
        </w:rPr>
        <w:t xml:space="preserve">Głównymi źródłami zanieczyszczeń powietrza na obszarze gminy Mirzec </w:t>
      </w:r>
      <w:r w:rsidR="00B4612A">
        <w:rPr>
          <w:rFonts w:ascii="Calibri" w:eastAsia="Times New Roman" w:hAnsi="Calibri" w:cs="Arial"/>
          <w:u w:val="single"/>
          <w:lang w:eastAsia="pl-PL"/>
        </w:rPr>
        <w:t>są</w:t>
      </w:r>
      <w:r w:rsidRPr="00EE0C8C">
        <w:rPr>
          <w:rFonts w:ascii="Calibri" w:eastAsia="Times New Roman" w:hAnsi="Calibri" w:cs="Arial"/>
          <w:u w:val="single"/>
          <w:lang w:eastAsia="pl-PL"/>
        </w:rPr>
        <w:t>:</w:t>
      </w:r>
    </w:p>
    <w:p w:rsidR="00EE0C8C" w:rsidRPr="00EE0C8C" w:rsidRDefault="00EE0C8C" w:rsidP="00EE0C8C">
      <w:pPr>
        <w:spacing w:after="0"/>
        <w:jc w:val="both"/>
        <w:rPr>
          <w:rFonts w:ascii="Calibri" w:eastAsia="Times New Roman" w:hAnsi="Calibri" w:cs="Arial"/>
          <w:lang w:eastAsia="pl-PL"/>
        </w:rPr>
      </w:pPr>
      <w:r w:rsidRPr="00EE0C8C">
        <w:rPr>
          <w:rFonts w:ascii="Calibri" w:eastAsia="Times New Roman" w:hAnsi="Calibri" w:cs="Arial"/>
          <w:lang w:eastAsia="pl-PL"/>
        </w:rPr>
        <w:sym w:font="Symbol" w:char="F0B7"/>
      </w:r>
      <w:r w:rsidRPr="00EE0C8C">
        <w:rPr>
          <w:rFonts w:ascii="Calibri" w:eastAsia="Times New Roman" w:hAnsi="Calibri" w:cs="Arial"/>
          <w:lang w:eastAsia="pl-PL"/>
        </w:rPr>
        <w:t xml:space="preserve"> emisja komunikacyjna (głównym miejscem emisji tego typu zanieczyszczeń jest droga wojewódzka nr 744, charakteryzująca się największym natężeniem ruchu spośród dróg gminy).</w:t>
      </w:r>
    </w:p>
    <w:p w:rsidR="00EE0C8C" w:rsidRPr="00EE0C8C" w:rsidRDefault="00EE0C8C" w:rsidP="00EE0C8C">
      <w:pPr>
        <w:spacing w:after="0"/>
        <w:jc w:val="both"/>
        <w:rPr>
          <w:rFonts w:ascii="Calibri" w:eastAsia="Times New Roman" w:hAnsi="Calibri" w:cs="Arial"/>
          <w:lang w:eastAsia="pl-PL"/>
        </w:rPr>
      </w:pPr>
      <w:r w:rsidRPr="00EE0C8C">
        <w:rPr>
          <w:rFonts w:ascii="Calibri" w:eastAsia="Times New Roman" w:hAnsi="Calibri" w:cs="Arial"/>
          <w:lang w:eastAsia="pl-PL"/>
        </w:rPr>
        <w:lastRenderedPageBreak/>
        <w:sym w:font="Symbol" w:char="F0B7"/>
      </w:r>
      <w:r w:rsidRPr="00EE0C8C">
        <w:rPr>
          <w:rFonts w:ascii="Calibri" w:eastAsia="Times New Roman" w:hAnsi="Calibri" w:cs="Arial"/>
          <w:lang w:eastAsia="pl-PL"/>
        </w:rPr>
        <w:t xml:space="preserve"> emisje pochodzące z procesów energetycznego spalania paliw i z procesów technologicznych (lokalne kotłownie),</w:t>
      </w:r>
    </w:p>
    <w:p w:rsidR="00EE0C8C" w:rsidRPr="00EE0C8C" w:rsidRDefault="00EE0C8C" w:rsidP="00EE0C8C">
      <w:pPr>
        <w:spacing w:after="0"/>
        <w:rPr>
          <w:rFonts w:ascii="Calibri" w:eastAsia="Times New Roman" w:hAnsi="Calibri" w:cs="Arial"/>
          <w:lang w:eastAsia="pl-PL"/>
        </w:rPr>
      </w:pPr>
      <w:r w:rsidRPr="00EE0C8C">
        <w:rPr>
          <w:rFonts w:ascii="Calibri" w:eastAsia="Times New Roman" w:hAnsi="Calibri" w:cs="Arial"/>
          <w:lang w:eastAsia="pl-PL"/>
        </w:rPr>
        <w:sym w:font="Symbol" w:char="F0B7"/>
      </w:r>
      <w:r w:rsidRPr="00EE0C8C">
        <w:rPr>
          <w:rFonts w:ascii="Calibri" w:eastAsia="Times New Roman" w:hAnsi="Calibri" w:cs="Arial"/>
          <w:lang w:eastAsia="pl-PL"/>
        </w:rPr>
        <w:t xml:space="preserve"> emisja niska (właściciele licznych gospodarstw indywidualnych organizują systemy grzewcze we własnym zakresie, a są to przede wszystkim piece centralnego ogrzewania  na węgiel i koks). </w:t>
      </w:r>
    </w:p>
    <w:p w:rsidR="00EE0C8C" w:rsidRPr="00EE0C8C" w:rsidRDefault="00EE0C8C" w:rsidP="00EE0C8C">
      <w:pPr>
        <w:spacing w:after="0"/>
        <w:rPr>
          <w:rFonts w:ascii="Calibri" w:eastAsia="Times New Roman" w:hAnsi="Calibri" w:cs="Arial"/>
          <w:lang w:eastAsia="pl-PL"/>
        </w:rPr>
      </w:pPr>
    </w:p>
    <w:p w:rsidR="00EE0C8C" w:rsidRPr="00EE0C8C" w:rsidRDefault="00EE0C8C" w:rsidP="00EE0C8C">
      <w:pPr>
        <w:spacing w:after="0"/>
        <w:rPr>
          <w:rFonts w:ascii="Calibri" w:eastAsia="Times New Roman" w:hAnsi="Calibri" w:cs="Arial"/>
          <w:lang w:eastAsia="pl-PL"/>
        </w:rPr>
      </w:pPr>
      <w:r w:rsidRPr="00EE0C8C">
        <w:rPr>
          <w:rFonts w:ascii="Calibri" w:eastAsia="Times New Roman" w:hAnsi="Calibri" w:cs="Arial"/>
          <w:lang w:eastAsia="pl-PL"/>
        </w:rPr>
        <w:t>Obiekty które mogą wpłynąć negatywnie na stan powietrza atmosferycznego gminy Mirzec:</w:t>
      </w:r>
    </w:p>
    <w:p w:rsidR="00EE0C8C" w:rsidRPr="00EE0C8C" w:rsidRDefault="00EE0C8C" w:rsidP="00EE0C8C">
      <w:pPr>
        <w:spacing w:after="0"/>
        <w:rPr>
          <w:rFonts w:ascii="Calibri" w:eastAsia="Times New Roman" w:hAnsi="Calibri" w:cs="Arial"/>
          <w:lang w:eastAsia="pl-PL"/>
        </w:rPr>
      </w:pPr>
      <w:r w:rsidRPr="00EE0C8C">
        <w:rPr>
          <w:rFonts w:ascii="Calibri" w:eastAsia="Times New Roman" w:hAnsi="Calibri" w:cs="Arial"/>
          <w:lang w:eastAsia="pl-PL"/>
        </w:rPr>
        <w:sym w:font="Symbol" w:char="F0B7"/>
      </w:r>
      <w:r w:rsidRPr="00EE0C8C">
        <w:rPr>
          <w:rFonts w:ascii="Calibri" w:eastAsia="Times New Roman" w:hAnsi="Calibri" w:cs="Arial"/>
          <w:lang w:eastAsia="pl-PL"/>
        </w:rPr>
        <w:t xml:space="preserve"> stacje gazowe w Mircu i Mircu Majoracie,</w:t>
      </w:r>
    </w:p>
    <w:p w:rsidR="00EE0C8C" w:rsidRPr="00EE0C8C" w:rsidRDefault="00EE0C8C" w:rsidP="00EE0C8C">
      <w:pPr>
        <w:spacing w:after="0"/>
        <w:rPr>
          <w:rFonts w:ascii="Calibri" w:eastAsia="Times New Roman" w:hAnsi="Calibri" w:cs="Arial"/>
          <w:lang w:eastAsia="pl-PL"/>
        </w:rPr>
      </w:pPr>
      <w:r w:rsidRPr="00EE0C8C">
        <w:rPr>
          <w:rFonts w:ascii="Calibri" w:eastAsia="Times New Roman" w:hAnsi="Calibri" w:cs="Arial"/>
          <w:lang w:eastAsia="pl-PL"/>
        </w:rPr>
        <w:sym w:font="Symbol" w:char="F0B7"/>
      </w:r>
      <w:r w:rsidRPr="00EE0C8C">
        <w:rPr>
          <w:rFonts w:ascii="Calibri" w:eastAsia="Times New Roman" w:hAnsi="Calibri" w:cs="Arial"/>
          <w:lang w:eastAsia="pl-PL"/>
        </w:rPr>
        <w:t xml:space="preserve"> stacja paliw w Mircu. </w:t>
      </w:r>
    </w:p>
    <w:p w:rsidR="00EE0C8C" w:rsidRPr="00EE0C8C" w:rsidRDefault="00EE0C8C" w:rsidP="00EE0C8C">
      <w:pPr>
        <w:spacing w:after="0" w:line="240" w:lineRule="auto"/>
        <w:rPr>
          <w:rFonts w:ascii="Calibri" w:eastAsia="Times New Roman" w:hAnsi="Calibri" w:cs="Arial"/>
          <w:lang w:eastAsia="pl-PL"/>
        </w:rPr>
      </w:pPr>
    </w:p>
    <w:p w:rsidR="00EE0C8C" w:rsidRPr="00EE0C8C" w:rsidRDefault="00EE0C8C" w:rsidP="00EE0C8C">
      <w:pPr>
        <w:spacing w:after="0"/>
        <w:rPr>
          <w:rFonts w:ascii="Calibri" w:eastAsia="Times New Roman" w:hAnsi="Calibri" w:cs="Arial"/>
          <w:lang w:eastAsia="pl-PL"/>
        </w:rPr>
      </w:pPr>
      <w:r w:rsidRPr="00EE0C8C">
        <w:rPr>
          <w:rFonts w:ascii="Calibri" w:eastAsia="Times New Roman" w:hAnsi="Calibri" w:cs="Arial"/>
          <w:lang w:eastAsia="pl-PL"/>
        </w:rPr>
        <w:t>Brak większych zakładów na terenie gminy Mirzec powoduje, że stężenia zanieczyszczeń SO</w:t>
      </w:r>
      <w:r w:rsidRPr="00EE0C8C">
        <w:rPr>
          <w:rFonts w:ascii="Calibri" w:eastAsia="Times New Roman" w:hAnsi="Calibri" w:cs="Arial"/>
          <w:vertAlign w:val="subscript"/>
          <w:lang w:eastAsia="pl-PL"/>
        </w:rPr>
        <w:t>2</w:t>
      </w:r>
      <w:r w:rsidRPr="00EE0C8C">
        <w:rPr>
          <w:rFonts w:ascii="Calibri" w:eastAsia="Times New Roman" w:hAnsi="Calibri" w:cs="Arial"/>
          <w:lang w:eastAsia="pl-PL"/>
        </w:rPr>
        <w:t>, NO</w:t>
      </w:r>
      <w:r w:rsidRPr="00EE0C8C">
        <w:rPr>
          <w:rFonts w:ascii="Calibri" w:eastAsia="Times New Roman" w:hAnsi="Calibri" w:cs="Arial"/>
          <w:vertAlign w:val="subscript"/>
          <w:lang w:eastAsia="pl-PL"/>
        </w:rPr>
        <w:t>2</w:t>
      </w:r>
      <w:r w:rsidRPr="00EE0C8C">
        <w:rPr>
          <w:rFonts w:ascii="Calibri" w:eastAsia="Times New Roman" w:hAnsi="Calibri" w:cs="Arial"/>
          <w:lang w:eastAsia="pl-PL"/>
        </w:rPr>
        <w:br/>
        <w:t>i opadu pyłu nie przekraczają dopuszczalnych norm.</w:t>
      </w:r>
    </w:p>
    <w:p w:rsidR="00EE0C8C" w:rsidRPr="00EE0C8C" w:rsidRDefault="00EE0C8C" w:rsidP="00EE0C8C">
      <w:pPr>
        <w:rPr>
          <w:rFonts w:ascii="Calibri" w:eastAsia="Times New Roman" w:hAnsi="Calibri" w:cs="Times New Roman"/>
          <w:b/>
          <w:lang w:eastAsia="pl-PL"/>
        </w:rPr>
      </w:pPr>
    </w:p>
    <w:p w:rsidR="00EE0C8C" w:rsidRPr="00EE0C8C" w:rsidRDefault="00EE0C8C" w:rsidP="00EE0C8C">
      <w:pPr>
        <w:keepNext/>
        <w:keepLines/>
        <w:spacing w:before="200" w:after="0"/>
        <w:outlineLvl w:val="3"/>
        <w:rPr>
          <w:rFonts w:ascii="Cambria" w:eastAsia="Times New Roman" w:hAnsi="Cambria" w:cs="Times New Roman"/>
          <w:b/>
          <w:bCs/>
          <w:i/>
          <w:iCs/>
          <w:color w:val="4F81BD"/>
        </w:rPr>
      </w:pPr>
      <w:r w:rsidRPr="00EE0C8C">
        <w:rPr>
          <w:rFonts w:ascii="Cambria" w:eastAsia="Times New Roman" w:hAnsi="Cambria" w:cs="Times New Roman"/>
          <w:b/>
          <w:bCs/>
          <w:i/>
          <w:iCs/>
          <w:color w:val="4F81BD"/>
        </w:rPr>
        <w:t>WODY POWIERZCHNIOWE</w:t>
      </w:r>
    </w:p>
    <w:p w:rsidR="00EE0C8C" w:rsidRPr="00EE0C8C" w:rsidRDefault="00EE0C8C" w:rsidP="00EE0C8C">
      <w:pPr>
        <w:spacing w:after="0"/>
        <w:jc w:val="both"/>
        <w:rPr>
          <w:rFonts w:ascii="Calibri" w:eastAsia="Times New Roman" w:hAnsi="Calibri" w:cs="Times New Roman"/>
          <w:lang w:eastAsia="pl-PL"/>
        </w:rPr>
      </w:pPr>
      <w:r w:rsidRPr="00EE0C8C">
        <w:rPr>
          <w:rFonts w:ascii="Calibri" w:eastAsia="Times New Roman" w:hAnsi="Calibri" w:cs="Times New Roman"/>
          <w:lang w:eastAsia="pl-PL"/>
        </w:rPr>
        <w:t xml:space="preserve">Gmina  Mirzec  położona  jest  w  lewostronnym  dorzeczu  rzeki  Wisły,  na  obszarze zlewni  rzeki  Iłżanki  (środkowa  i  północna  część  gminy)  oraz  rzeki  Kamiennej (południowy  fragment  gminy).  Dopływami  rzeki  Iłżanki  odwadniającymi  obszar gminy  są:  rzeka  Małyszyniec,  Brodek,  Struga Zbijowska.  Dopływem rzeki Kamiennej, płynącym w obrębie gminy, jest ciek Wężyk. Obszar gminy obejmuje swym zasięgiem GZWP nr 420 Wierzbica – Ostrowiec skupiający wody górno-jurajskie </w:t>
      </w:r>
      <w:r w:rsidRPr="00EE0C8C">
        <w:rPr>
          <w:rFonts w:ascii="Calibri" w:eastAsia="Times New Roman" w:hAnsi="Calibri" w:cs="Times New Roman"/>
          <w:lang w:eastAsia="pl-PL"/>
        </w:rPr>
        <w:br/>
        <w:t xml:space="preserve">w spękaniach i szczelinach krasowych skał wapiennych. </w:t>
      </w:r>
    </w:p>
    <w:p w:rsidR="00EE0C8C" w:rsidRPr="00EE0C8C" w:rsidRDefault="00EE0C8C" w:rsidP="00EE0C8C">
      <w:pPr>
        <w:spacing w:after="0"/>
        <w:jc w:val="both"/>
        <w:rPr>
          <w:rFonts w:ascii="Calibri" w:eastAsia="Times New Roman" w:hAnsi="Calibri" w:cs="Times New Roman"/>
          <w:lang w:eastAsia="pl-PL"/>
        </w:rPr>
      </w:pPr>
      <w:r w:rsidRPr="00EE0C8C">
        <w:rPr>
          <w:rFonts w:ascii="Calibri" w:eastAsia="Times New Roman" w:hAnsi="Calibri" w:cs="Times New Roman"/>
          <w:lang w:eastAsia="pl-PL"/>
        </w:rPr>
        <w:t xml:space="preserve">          Na terenie gminy istnieje kompleks niewielkich stawów na strudze Małyszyniec we wsi Małyszyn oraz małe zbiorniki w rejonie Mirca i Gadki.</w:t>
      </w:r>
    </w:p>
    <w:p w:rsidR="00EE0C8C" w:rsidRPr="00EE0C8C" w:rsidRDefault="00EE0C8C" w:rsidP="00EE0C8C">
      <w:pPr>
        <w:spacing w:after="0"/>
        <w:ind w:firstLine="1134"/>
        <w:jc w:val="both"/>
        <w:rPr>
          <w:rFonts w:ascii="Calibri" w:eastAsia="Times New Roman" w:hAnsi="Calibri" w:cs="Times New Roman"/>
          <w:lang w:eastAsia="pl-PL"/>
        </w:rPr>
      </w:pPr>
    </w:p>
    <w:p w:rsidR="00EE0C8C" w:rsidRPr="00EE0C8C" w:rsidRDefault="00EE0C8C" w:rsidP="00EE0C8C">
      <w:pPr>
        <w:keepNext/>
        <w:keepLines/>
        <w:spacing w:before="200" w:after="0"/>
        <w:outlineLvl w:val="3"/>
        <w:rPr>
          <w:rFonts w:ascii="Cambria" w:eastAsia="Times New Roman" w:hAnsi="Cambria" w:cs="Times New Roman"/>
          <w:b/>
          <w:bCs/>
          <w:i/>
          <w:iCs/>
          <w:color w:val="4F81BD"/>
        </w:rPr>
      </w:pPr>
      <w:r w:rsidRPr="00EE0C8C">
        <w:rPr>
          <w:rFonts w:ascii="Cambria" w:eastAsia="Times New Roman" w:hAnsi="Cambria" w:cs="Times New Roman"/>
          <w:b/>
          <w:bCs/>
          <w:i/>
          <w:iCs/>
          <w:color w:val="4F81BD"/>
        </w:rPr>
        <w:t>WODY PODZIEMNE</w:t>
      </w:r>
    </w:p>
    <w:p w:rsidR="00EE0C8C" w:rsidRPr="00EE0C8C" w:rsidRDefault="00EE0C8C" w:rsidP="00EE0C8C">
      <w:pPr>
        <w:spacing w:after="0"/>
        <w:jc w:val="both"/>
        <w:rPr>
          <w:rFonts w:ascii="Calibri" w:eastAsia="Times New Roman" w:hAnsi="Calibri" w:cs="Times New Roman"/>
          <w:lang w:eastAsia="pl-PL"/>
        </w:rPr>
      </w:pPr>
      <w:r w:rsidRPr="00EE0C8C">
        <w:rPr>
          <w:rFonts w:ascii="Calibri" w:eastAsia="Times New Roman" w:hAnsi="Calibri" w:cs="Times New Roman"/>
          <w:lang w:eastAsia="pl-PL"/>
        </w:rPr>
        <w:t>Na terenie Gminy Mirzec wyróżniamy kilka rodzajów wód podziemnych:</w:t>
      </w:r>
    </w:p>
    <w:p w:rsidR="00EE0C8C" w:rsidRPr="00EE0C8C" w:rsidRDefault="00EE0C8C" w:rsidP="00EE0C8C">
      <w:pPr>
        <w:spacing w:after="0"/>
        <w:jc w:val="both"/>
        <w:rPr>
          <w:rFonts w:ascii="Calibri" w:eastAsia="Times New Roman" w:hAnsi="Calibri" w:cs="Arial"/>
          <w:lang w:eastAsia="pl-PL"/>
        </w:rPr>
      </w:pPr>
      <w:r w:rsidRPr="00EE0C8C">
        <w:rPr>
          <w:rFonts w:ascii="Calibri" w:eastAsia="Times New Roman" w:hAnsi="Calibri" w:cs="Arial"/>
          <w:lang w:eastAsia="pl-PL"/>
        </w:rPr>
        <w:sym w:font="Symbol" w:char="F0B7"/>
      </w:r>
      <w:r w:rsidRPr="00EE0C8C">
        <w:rPr>
          <w:rFonts w:ascii="Calibri" w:eastAsia="Times New Roman" w:hAnsi="Calibri" w:cs="Arial"/>
          <w:lang w:eastAsia="pl-PL"/>
        </w:rPr>
        <w:t xml:space="preserve"> płytkie wody czwartorzędowe (występują na głębokości 1,0 – 2,0 m ppt., w piaskach płytko podścielonych gliniastymi zwietrzelinami lub zwietrzelinami starszego podłoża, nie mają znaczenia dla zaopatrzenia w wodę),</w:t>
      </w:r>
    </w:p>
    <w:p w:rsidR="00EE0C8C" w:rsidRPr="00EE0C8C" w:rsidRDefault="00EE0C8C" w:rsidP="00EE0C8C">
      <w:pPr>
        <w:spacing w:after="0"/>
        <w:jc w:val="both"/>
        <w:rPr>
          <w:rFonts w:ascii="Calibri" w:eastAsia="Times New Roman" w:hAnsi="Calibri" w:cs="Arial"/>
          <w:lang w:eastAsia="pl-PL"/>
        </w:rPr>
      </w:pPr>
      <w:r w:rsidRPr="00EE0C8C">
        <w:rPr>
          <w:rFonts w:ascii="Calibri" w:eastAsia="Times New Roman" w:hAnsi="Calibri" w:cs="Arial"/>
          <w:lang w:eastAsia="pl-PL"/>
        </w:rPr>
        <w:sym w:font="Symbol" w:char="F0B7"/>
      </w:r>
      <w:r w:rsidRPr="00EE0C8C">
        <w:rPr>
          <w:rFonts w:ascii="Calibri" w:eastAsia="Times New Roman" w:hAnsi="Calibri" w:cs="Arial"/>
          <w:lang w:eastAsia="pl-PL"/>
        </w:rPr>
        <w:t xml:space="preserve"> wgłębne wody czwartorzędowe (występują na głębokości 2,0 – 5,0 m ppt. I poniżej 5,0 m, </w:t>
      </w:r>
      <w:r w:rsidRPr="00EE0C8C">
        <w:rPr>
          <w:rFonts w:ascii="Calibri" w:eastAsia="Times New Roman" w:hAnsi="Calibri" w:cs="Arial"/>
          <w:lang w:eastAsia="pl-PL"/>
        </w:rPr>
        <w:br/>
        <w:t>w piaskach i glinach wodnolodowcowych i lodowcowych, ujmowane miejscami studniami kopalnymi w rejonie miejscowości Osiny),</w:t>
      </w:r>
    </w:p>
    <w:p w:rsidR="00EE0C8C" w:rsidRPr="00EE0C8C" w:rsidRDefault="00EE0C8C" w:rsidP="00EE0C8C">
      <w:pPr>
        <w:spacing w:after="0"/>
        <w:jc w:val="both"/>
        <w:rPr>
          <w:rFonts w:ascii="Calibri" w:eastAsia="Times New Roman" w:hAnsi="Calibri" w:cs="Arial"/>
          <w:lang w:eastAsia="pl-PL"/>
        </w:rPr>
      </w:pPr>
      <w:r w:rsidRPr="00EE0C8C">
        <w:rPr>
          <w:rFonts w:ascii="Calibri" w:eastAsia="Times New Roman" w:hAnsi="Calibri" w:cs="Arial"/>
          <w:lang w:eastAsia="pl-PL"/>
        </w:rPr>
        <w:sym w:font="Symbol" w:char="F0B7"/>
      </w:r>
      <w:r w:rsidRPr="00EE0C8C">
        <w:rPr>
          <w:rFonts w:ascii="Calibri" w:eastAsia="Times New Roman" w:hAnsi="Calibri" w:cs="Arial"/>
          <w:lang w:eastAsia="pl-PL"/>
        </w:rPr>
        <w:t xml:space="preserve"> wody poziomu górno -jurajskiego (występują w północno-wschodniej części gminy w spękaniach </w:t>
      </w:r>
      <w:r w:rsidRPr="00EE0C8C">
        <w:rPr>
          <w:rFonts w:ascii="Calibri" w:eastAsia="Times New Roman" w:hAnsi="Calibri" w:cs="Arial"/>
          <w:lang w:eastAsia="pl-PL"/>
        </w:rPr>
        <w:br/>
        <w:t>i skrasowiałych wapieniach na głębokości od kilku do kilkudziesięciu metrów, tworzą szczelinowo- krasowy zbiornik, jeden z Głównych Zbiorników Wód Podziemnych Polski  – nr 420 Wierzbica -Ostrowiec. Dla GZWP</w:t>
      </w:r>
      <w:r w:rsidR="00CC5859">
        <w:rPr>
          <w:rFonts w:ascii="Calibri" w:eastAsia="Times New Roman" w:hAnsi="Calibri" w:cs="Arial"/>
          <w:lang w:eastAsia="pl-PL"/>
        </w:rPr>
        <w:t xml:space="preserve"> s</w:t>
      </w:r>
      <w:r w:rsidRPr="00EE0C8C">
        <w:rPr>
          <w:rFonts w:ascii="Calibri" w:eastAsia="Times New Roman" w:hAnsi="Calibri" w:cs="Arial"/>
          <w:lang w:eastAsia="pl-PL"/>
        </w:rPr>
        <w:t>zacunkowa zasobność tych wód wynosi ok. 130 tys. m³/dobę),</w:t>
      </w:r>
    </w:p>
    <w:p w:rsidR="00EE0C8C" w:rsidRPr="00EE0C8C" w:rsidRDefault="00EE0C8C" w:rsidP="00EE0C8C">
      <w:pPr>
        <w:spacing w:after="0"/>
        <w:jc w:val="both"/>
        <w:rPr>
          <w:rFonts w:ascii="Calibri" w:eastAsia="Times New Roman" w:hAnsi="Calibri" w:cs="Arial"/>
          <w:lang w:eastAsia="pl-PL"/>
        </w:rPr>
      </w:pPr>
      <w:r w:rsidRPr="00EE0C8C">
        <w:rPr>
          <w:rFonts w:ascii="Calibri" w:eastAsia="Times New Roman" w:hAnsi="Calibri" w:cs="Arial"/>
          <w:lang w:eastAsia="pl-PL"/>
        </w:rPr>
        <w:sym w:font="Symbol" w:char="F0B7"/>
      </w:r>
      <w:r w:rsidRPr="00EE0C8C">
        <w:rPr>
          <w:rFonts w:ascii="Calibri" w:eastAsia="Times New Roman" w:hAnsi="Calibri" w:cs="Arial"/>
          <w:lang w:eastAsia="pl-PL"/>
        </w:rPr>
        <w:t xml:space="preserve"> wody środkowo - jurajskie (występują na głębokości do 30 m w utworach piaskowców, ich zasobność waha się od 167,7 m³/h do 11,4 m³/h).</w:t>
      </w:r>
    </w:p>
    <w:p w:rsidR="00EE0C8C" w:rsidRPr="00EE0C8C" w:rsidRDefault="00EE0C8C" w:rsidP="00EE0C8C">
      <w:pPr>
        <w:spacing w:after="0"/>
        <w:jc w:val="both"/>
        <w:rPr>
          <w:rFonts w:ascii="Calibri" w:eastAsia="Times New Roman" w:hAnsi="Calibri" w:cs="Arial"/>
          <w:lang w:eastAsia="pl-PL"/>
        </w:rPr>
      </w:pPr>
      <w:r w:rsidRPr="00EE0C8C">
        <w:rPr>
          <w:rFonts w:ascii="Calibri" w:eastAsia="Times New Roman" w:hAnsi="Calibri" w:cs="Arial"/>
          <w:lang w:eastAsia="pl-PL"/>
        </w:rPr>
        <w:sym w:font="Symbol" w:char="F0B7"/>
      </w:r>
      <w:r w:rsidRPr="00EE0C8C">
        <w:rPr>
          <w:rFonts w:ascii="Calibri" w:eastAsia="Times New Roman" w:hAnsi="Calibri" w:cs="Arial"/>
          <w:lang w:eastAsia="pl-PL"/>
        </w:rPr>
        <w:t xml:space="preserve"> wody poziomu dolno -jurajskiego (występują na głębokości od kilku do kilkudziesięciu metrów. </w:t>
      </w:r>
    </w:p>
    <w:p w:rsidR="00EE0C8C" w:rsidRPr="00EE0C8C" w:rsidRDefault="00EE0C8C" w:rsidP="00EE0C8C">
      <w:pPr>
        <w:spacing w:after="0"/>
        <w:jc w:val="both"/>
        <w:rPr>
          <w:rFonts w:ascii="Calibri" w:eastAsia="Times New Roman" w:hAnsi="Calibri" w:cs="Arial"/>
          <w:lang w:eastAsia="pl-PL"/>
        </w:rPr>
      </w:pPr>
      <w:r w:rsidRPr="00EE0C8C">
        <w:rPr>
          <w:rFonts w:ascii="Calibri" w:eastAsia="Times New Roman" w:hAnsi="Calibri" w:cs="Arial"/>
          <w:lang w:eastAsia="pl-PL"/>
        </w:rPr>
        <w:t xml:space="preserve">Wody tego poziomu osiągają wydajność rzędu 6,1 m³/h (studnia nr 9 w obrębie gminy Mirzec) do </w:t>
      </w:r>
    </w:p>
    <w:p w:rsidR="00EE0C8C" w:rsidRPr="00EE0C8C" w:rsidRDefault="00EE0C8C" w:rsidP="00EE0C8C">
      <w:pPr>
        <w:spacing w:after="0"/>
        <w:rPr>
          <w:rFonts w:ascii="Calibri" w:eastAsia="Times New Roman" w:hAnsi="Calibri" w:cs="Arial"/>
          <w:lang w:eastAsia="pl-PL"/>
        </w:rPr>
      </w:pPr>
      <w:r w:rsidRPr="00EE0C8C">
        <w:rPr>
          <w:rFonts w:ascii="Calibri" w:eastAsia="Times New Roman" w:hAnsi="Calibri" w:cs="Arial"/>
          <w:lang w:eastAsia="pl-PL"/>
        </w:rPr>
        <w:t xml:space="preserve">70,5 m³/h (studnia nr 12 - Skarżysko  – Kościelne). </w:t>
      </w:r>
    </w:p>
    <w:p w:rsidR="00EE0C8C" w:rsidRPr="00EE0C8C" w:rsidRDefault="00EE0C8C" w:rsidP="00EE0C8C">
      <w:pPr>
        <w:spacing w:after="0"/>
        <w:rPr>
          <w:rFonts w:ascii="Calibri" w:eastAsia="Times New Roman" w:hAnsi="Calibri" w:cs="Arial"/>
          <w:lang w:eastAsia="pl-PL"/>
        </w:rPr>
      </w:pPr>
    </w:p>
    <w:p w:rsidR="00EE0C8C" w:rsidRPr="00EE0C8C" w:rsidRDefault="00EE0C8C" w:rsidP="00EE0C8C">
      <w:pPr>
        <w:keepNext/>
        <w:keepLines/>
        <w:spacing w:before="200" w:after="0"/>
        <w:outlineLvl w:val="3"/>
        <w:rPr>
          <w:rFonts w:ascii="Cambria" w:eastAsia="Times New Roman" w:hAnsi="Cambria" w:cs="Times New Roman"/>
          <w:b/>
          <w:bCs/>
          <w:i/>
          <w:iCs/>
          <w:color w:val="4F81BD"/>
        </w:rPr>
      </w:pPr>
      <w:r w:rsidRPr="00EE0C8C">
        <w:rPr>
          <w:rFonts w:ascii="Cambria" w:eastAsia="Times New Roman" w:hAnsi="Cambria" w:cs="Times New Roman"/>
          <w:b/>
          <w:bCs/>
          <w:i/>
          <w:iCs/>
          <w:color w:val="4F81BD"/>
        </w:rPr>
        <w:lastRenderedPageBreak/>
        <w:t>ROŚLINNOŚĆ</w:t>
      </w:r>
    </w:p>
    <w:p w:rsidR="00EE0C8C" w:rsidRPr="00EE0C8C" w:rsidRDefault="00EE0C8C" w:rsidP="00EE0C8C">
      <w:pPr>
        <w:jc w:val="both"/>
        <w:rPr>
          <w:rFonts w:ascii="Calibri" w:eastAsia="Times New Roman" w:hAnsi="Calibri" w:cs="Times New Roman"/>
          <w:lang w:eastAsia="pl-PL"/>
        </w:rPr>
      </w:pPr>
      <w:r w:rsidRPr="00EE0C8C">
        <w:rPr>
          <w:rFonts w:ascii="Calibri" w:eastAsia="Times New Roman" w:hAnsi="Calibri" w:cs="Times New Roman"/>
          <w:lang w:eastAsia="pl-PL"/>
        </w:rPr>
        <w:t xml:space="preserve">40% powierzchni Gminy Mirzec to lasy. Obszary leśne w ok. 90 % skupione są w południowej części gminy Mirzec, tworząc zwarty kompleks zwany   Puszczą Iłżecką bądź Lasami   Starachowickimi. Przeważającymi siedliskami leśnymi tego obszaru są lasy mieszane oraz występujące miejscowo, </w:t>
      </w:r>
      <w:r w:rsidRPr="00EE0C8C">
        <w:rPr>
          <w:rFonts w:ascii="Calibri" w:eastAsia="Times New Roman" w:hAnsi="Calibri" w:cs="Times New Roman"/>
          <w:lang w:eastAsia="pl-PL"/>
        </w:rPr>
        <w:br/>
        <w:t xml:space="preserve">w  obniżeniach  terenu, lasy  mieszane  wilgotne.  Lesistość  gminy  Mirzec wynosi 39,7 %. </w:t>
      </w:r>
      <w:r w:rsidRPr="00EE0C8C">
        <w:rPr>
          <w:rFonts w:ascii="Calibri" w:eastAsia="Times New Roman" w:hAnsi="Calibri" w:cs="Times New Roman"/>
          <w:lang w:eastAsia="pl-PL"/>
        </w:rPr>
        <w:br/>
        <w:t>Lasy państwowe zarządzane są przez Nadleśnictwo Starachowice. Na terenie gminy znajduje się projektowany obszar Natura 2000 -Uroczyska Lasów Starachowickich (Obszar Specjalnej Ochrony Siedlisk).</w:t>
      </w:r>
    </w:p>
    <w:p w:rsidR="00EE0C8C" w:rsidRPr="00EE0C8C" w:rsidRDefault="00EE0C8C" w:rsidP="00EE0C8C">
      <w:pPr>
        <w:jc w:val="both"/>
        <w:rPr>
          <w:rFonts w:ascii="Calibri" w:eastAsia="Times New Roman" w:hAnsi="Calibri" w:cs="Times New Roman"/>
          <w:lang w:eastAsia="pl-PL"/>
        </w:rPr>
      </w:pPr>
      <w:r w:rsidRPr="00EE0C8C">
        <w:rPr>
          <w:rFonts w:ascii="Calibri" w:eastAsia="Times New Roman" w:hAnsi="Calibri" w:cs="Times New Roman"/>
          <w:lang w:eastAsia="pl-PL"/>
        </w:rPr>
        <w:t xml:space="preserve">Uroczyska Lasów Starachowickich zabezpieczają duże kompleksy wyżynnego jodłowego boru mieszanego </w:t>
      </w:r>
      <w:r w:rsidRPr="00EE0C8C">
        <w:rPr>
          <w:rFonts w:ascii="Calibri" w:eastAsia="Times New Roman" w:hAnsi="Calibri" w:cs="Times New Roman"/>
          <w:i/>
          <w:lang w:eastAsia="pl-PL"/>
        </w:rPr>
        <w:t>Abietetum polonicum</w:t>
      </w:r>
      <w:r w:rsidRPr="00EE0C8C">
        <w:rPr>
          <w:rFonts w:ascii="Calibri" w:eastAsia="Times New Roman" w:hAnsi="Calibri" w:cs="Times New Roman"/>
          <w:lang w:eastAsia="pl-PL"/>
        </w:rPr>
        <w:t xml:space="preserve">, uznawanego za zbiorowisko endemiczne Polski, występujące jedynie w Górach Świętokrzyskich i na Roztoczu. Ponadto znajdują się tutaj rozległe płaty fitocenozy grądowej </w:t>
      </w:r>
      <w:r w:rsidRPr="00EE0C8C">
        <w:rPr>
          <w:rFonts w:ascii="Calibri" w:eastAsia="Times New Roman" w:hAnsi="Calibri" w:cs="Times New Roman"/>
          <w:i/>
          <w:lang w:eastAsia="pl-PL"/>
        </w:rPr>
        <w:t>Tilio</w:t>
      </w:r>
      <w:r w:rsidRPr="00EE0C8C">
        <w:rPr>
          <w:rFonts w:ascii="Calibri" w:eastAsia="Times New Roman" w:hAnsi="Calibri" w:cs="Times New Roman"/>
          <w:lang w:eastAsia="pl-PL"/>
        </w:rPr>
        <w:t>-</w:t>
      </w:r>
      <w:r w:rsidRPr="00EE0C8C">
        <w:rPr>
          <w:rFonts w:ascii="Calibri" w:eastAsia="Times New Roman" w:hAnsi="Calibri" w:cs="Times New Roman"/>
          <w:i/>
          <w:lang w:eastAsia="pl-PL"/>
        </w:rPr>
        <w:t>Carpinetum</w:t>
      </w:r>
      <w:r w:rsidRPr="00EE0C8C">
        <w:rPr>
          <w:rFonts w:ascii="Calibri" w:eastAsia="Times New Roman" w:hAnsi="Calibri" w:cs="Times New Roman"/>
          <w:lang w:eastAsia="pl-PL"/>
        </w:rPr>
        <w:t xml:space="preserve"> nawiązującej do ciepłych grądów na glebach lessowych. Mimo, iż ostoja ta położona jest na przedpolu Gór Świętokrzyskich to znajduje się tutaj wiele gatunków górskich.</w:t>
      </w:r>
    </w:p>
    <w:p w:rsidR="00EE0C8C" w:rsidRPr="00EE0C8C" w:rsidRDefault="00854CED" w:rsidP="00EE0C8C">
      <w:pPr>
        <w:jc w:val="both"/>
        <w:rPr>
          <w:rFonts w:ascii="Calibri" w:eastAsia="Times New Roman" w:hAnsi="Calibri" w:cs="Times New Roman"/>
          <w:lang w:eastAsia="pl-PL"/>
        </w:rPr>
      </w:pPr>
      <w:r>
        <w:rPr>
          <w:rFonts w:ascii="Calibri" w:eastAsia="Times New Roman" w:hAnsi="Calibri" w:cs="Times New Roman"/>
          <w:lang w:eastAsia="pl-PL"/>
        </w:rPr>
        <w:t>Cały obszar gminy znajduje się również w ,,Obszarze Chronionego Krajobrazu Doliny Kamiennej”.</w:t>
      </w:r>
    </w:p>
    <w:p w:rsidR="00EE0C8C" w:rsidRPr="00EE0C8C" w:rsidRDefault="00EE0C8C" w:rsidP="00EE0C8C">
      <w:pPr>
        <w:jc w:val="both"/>
        <w:rPr>
          <w:rFonts w:ascii="Calibri" w:eastAsia="Times New Roman" w:hAnsi="Calibri" w:cs="Times New Roman"/>
          <w:lang w:eastAsia="pl-PL"/>
        </w:rPr>
      </w:pPr>
      <w:r w:rsidRPr="00EE0C8C">
        <w:rPr>
          <w:rFonts w:ascii="Calibri" w:eastAsia="Times New Roman" w:hAnsi="Calibri" w:cs="Times New Roman"/>
          <w:lang w:eastAsia="pl-PL"/>
        </w:rPr>
        <w:t>Bioróżnorodność kompleksów leśnych spełnia funkcje biotopotwórcze, klimatotwórcze, wodochronne i glebochronne. Znaczne powierzchnie zajmują siedliska boru mieszanego wilgotnego, boru wilgotnego, oraz niewielkie skupiska boru bagiennego i olsu. Spośród siedlisk leśnych, najbardziej cennymi  są siedliska lasu mieszanego świeżego, lasu świeżego oraz lasu mieszanego wilgotnego.</w:t>
      </w:r>
    </w:p>
    <w:p w:rsidR="00EE0C8C" w:rsidRPr="00EE0C8C" w:rsidRDefault="00EE0C8C" w:rsidP="00EE0C8C">
      <w:pPr>
        <w:spacing w:after="120"/>
        <w:jc w:val="both"/>
        <w:rPr>
          <w:rFonts w:ascii="Calibri" w:eastAsia="Times New Roman" w:hAnsi="Calibri" w:cs="Times New Roman"/>
          <w:lang w:eastAsia="pl-PL"/>
        </w:rPr>
      </w:pPr>
      <w:r w:rsidRPr="00EE0C8C">
        <w:rPr>
          <w:rFonts w:ascii="Calibri" w:eastAsia="Times New Roman" w:hAnsi="Calibri" w:cs="Times New Roman"/>
          <w:lang w:eastAsia="pl-PL"/>
        </w:rPr>
        <w:t>Procentowy udział w ogólnej powierzchni lasów państwowych kształtuje się następująco:</w:t>
      </w:r>
    </w:p>
    <w:p w:rsidR="00EE0C8C" w:rsidRPr="00EE0C8C" w:rsidRDefault="00EE0C8C" w:rsidP="00EE0C8C">
      <w:pPr>
        <w:spacing w:after="120"/>
        <w:ind w:firstLine="1134"/>
        <w:jc w:val="both"/>
        <w:rPr>
          <w:rFonts w:ascii="Calibri" w:eastAsia="Times New Roman" w:hAnsi="Calibri" w:cs="Times New Roman"/>
          <w:lang w:eastAsia="pl-PL"/>
        </w:rPr>
      </w:pPr>
      <w:r w:rsidRPr="00EE0C8C">
        <w:rPr>
          <w:rFonts w:ascii="Calibri" w:eastAsia="Times New Roman" w:hAnsi="Calibri" w:cs="Times New Roman"/>
          <w:lang w:eastAsia="pl-PL"/>
        </w:rPr>
        <w:t>- las mieszany świeży: 20,5 %</w:t>
      </w:r>
    </w:p>
    <w:p w:rsidR="00EE0C8C" w:rsidRPr="00EE0C8C" w:rsidRDefault="00EE0C8C" w:rsidP="00EE0C8C">
      <w:pPr>
        <w:spacing w:after="120"/>
        <w:ind w:firstLine="1134"/>
        <w:jc w:val="both"/>
        <w:rPr>
          <w:rFonts w:ascii="Calibri" w:eastAsia="Times New Roman" w:hAnsi="Calibri" w:cs="Times New Roman"/>
          <w:lang w:eastAsia="pl-PL"/>
        </w:rPr>
      </w:pPr>
      <w:r w:rsidRPr="00EE0C8C">
        <w:rPr>
          <w:rFonts w:ascii="Calibri" w:eastAsia="Times New Roman" w:hAnsi="Calibri" w:cs="Times New Roman"/>
          <w:lang w:eastAsia="pl-PL"/>
        </w:rPr>
        <w:t>- las świeży: 3,1 %</w:t>
      </w:r>
    </w:p>
    <w:p w:rsidR="00EE0C8C" w:rsidRPr="00EE0C8C" w:rsidRDefault="00EE0C8C" w:rsidP="00EE0C8C">
      <w:pPr>
        <w:spacing w:after="120"/>
        <w:ind w:firstLine="1134"/>
        <w:jc w:val="both"/>
        <w:rPr>
          <w:rFonts w:ascii="Calibri" w:eastAsia="Times New Roman" w:hAnsi="Calibri" w:cs="Times New Roman"/>
          <w:lang w:eastAsia="pl-PL"/>
        </w:rPr>
      </w:pPr>
      <w:r w:rsidRPr="00EE0C8C">
        <w:rPr>
          <w:rFonts w:ascii="Calibri" w:eastAsia="Times New Roman" w:hAnsi="Calibri" w:cs="Times New Roman"/>
          <w:lang w:eastAsia="pl-PL"/>
        </w:rPr>
        <w:t>- las mieszany wilgotny: 0,2 %</w:t>
      </w:r>
    </w:p>
    <w:p w:rsidR="00EE0C8C" w:rsidRPr="00EE0C8C" w:rsidRDefault="00EE0C8C" w:rsidP="00EE0C8C">
      <w:pPr>
        <w:jc w:val="both"/>
        <w:rPr>
          <w:rFonts w:ascii="Calibri" w:eastAsia="Times New Roman" w:hAnsi="Calibri" w:cs="Times New Roman"/>
          <w:lang w:eastAsia="pl-PL"/>
        </w:rPr>
      </w:pPr>
      <w:r w:rsidRPr="00EE0C8C">
        <w:rPr>
          <w:rFonts w:ascii="Calibri" w:eastAsia="Times New Roman" w:hAnsi="Calibri" w:cs="Times New Roman"/>
          <w:lang w:eastAsia="pl-PL"/>
        </w:rPr>
        <w:t xml:space="preserve">Drobne połaci drzew występujące na pozostałym obszarze (siedliska boru świeżego i wilgotnego) należą do indywidualnych właścicieli i nie mają wykorzystania gospodarczego. </w:t>
      </w:r>
    </w:p>
    <w:p w:rsidR="00EE0C8C" w:rsidRPr="00EE0C8C" w:rsidRDefault="00EE0C8C" w:rsidP="00EE0C8C">
      <w:pPr>
        <w:jc w:val="both"/>
        <w:rPr>
          <w:rFonts w:ascii="Calibri" w:eastAsia="Times New Roman" w:hAnsi="Calibri" w:cs="Times New Roman"/>
          <w:lang w:eastAsia="pl-PL"/>
        </w:rPr>
      </w:pPr>
      <w:r w:rsidRPr="00EE0C8C">
        <w:rPr>
          <w:rFonts w:ascii="Calibri" w:eastAsia="Times New Roman" w:hAnsi="Calibri" w:cs="Times New Roman"/>
          <w:lang w:eastAsia="pl-PL"/>
        </w:rPr>
        <w:t xml:space="preserve">Dominującym  typem  drzewostanu  występującym  w  lasach  świeżych  jest drzewostan  jodłowy </w:t>
      </w:r>
      <w:r w:rsidRPr="00EE0C8C">
        <w:rPr>
          <w:rFonts w:ascii="Calibri" w:eastAsia="Times New Roman" w:hAnsi="Calibri" w:cs="Times New Roman"/>
          <w:lang w:eastAsia="pl-PL"/>
        </w:rPr>
        <w:br/>
        <w:t xml:space="preserve">z  domieszką  dębu,  sosny  i  brzozy  o  słabo  wyraźnej  piętrowości.  W  lasach  mieszanych dominuje drzewostan   sosnowo - jodłowy  z  domieszką  brzozy,  w  lasach  mieszanych  świeżych drzewostan </w:t>
      </w:r>
      <w:r w:rsidRPr="00EE0C8C">
        <w:rPr>
          <w:rFonts w:ascii="Calibri" w:eastAsia="Times New Roman" w:hAnsi="Calibri" w:cs="Times New Roman"/>
          <w:lang w:eastAsia="pl-PL"/>
        </w:rPr>
        <w:br/>
        <w:t xml:space="preserve">z domieszką dębu, a w lasach mieszanych wilgotnych: świerku  i  olchy.  W  tych  lasach  widoczna  jest wielopiętrowość  drzewostanu. Wymienione  wyżej  siedliska  występują na  żyznych  glebach. Siedliska średnio żyzne zajmują bory: bór mieszany świeży, bór mieszany wilgotny (to siedliska  sosnowo - liściaste z domieszką dębu,  jodły, klonu, świerku i olchy). Siedliska ubogie, świeże bądź nadmiernie uwilgotnione zajmują: bór świeży i bór wilgotny (drzewostan sosnowy </w:t>
      </w:r>
      <w:r w:rsidRPr="00EE0C8C">
        <w:rPr>
          <w:rFonts w:ascii="Calibri" w:eastAsia="Times New Roman" w:hAnsi="Calibri" w:cs="Times New Roman"/>
          <w:lang w:eastAsia="pl-PL"/>
        </w:rPr>
        <w:br/>
        <w:t xml:space="preserve">z domieszką brzozy lub olchy). Piaski głębokie i luźne o bardzo niskim poziomie wód gruntowych, występujące na niewielkiej powierzchni gminy Mirzec, porasta bór suchy. Tereny bagienne zajęte są przez bór bagienny (poziom wód gruntowych pokrywa się z linią powierzchniową gruntu). Siedliska te nie są przydatne na cele turystyczno - rekreacyjne, spełniają rolę wodochronną. </w:t>
      </w:r>
    </w:p>
    <w:p w:rsidR="00EE0C8C" w:rsidRPr="00EE0C8C" w:rsidRDefault="00EE0C8C" w:rsidP="00EE0C8C">
      <w:pPr>
        <w:jc w:val="both"/>
        <w:rPr>
          <w:rFonts w:ascii="Calibri" w:eastAsia="Times New Roman" w:hAnsi="Calibri" w:cs="Times New Roman"/>
          <w:lang w:eastAsia="pl-PL"/>
        </w:rPr>
      </w:pPr>
      <w:r w:rsidRPr="00EE0C8C">
        <w:rPr>
          <w:rFonts w:ascii="Calibri" w:eastAsia="Times New Roman" w:hAnsi="Calibri" w:cs="Times New Roman"/>
          <w:lang w:eastAsia="pl-PL"/>
        </w:rPr>
        <w:t>Procentowy udział tych siedlisk w ogólnej powierzchni lasów państwowych przedstawia się następująco:</w:t>
      </w:r>
    </w:p>
    <w:p w:rsidR="00EE0C8C" w:rsidRPr="00EE0C8C" w:rsidRDefault="00EE0C8C" w:rsidP="00EE0C8C">
      <w:pPr>
        <w:spacing w:after="0" w:line="240" w:lineRule="auto"/>
        <w:rPr>
          <w:rFonts w:ascii="Calibri" w:eastAsia="Times New Roman" w:hAnsi="Calibri" w:cs="Arial"/>
          <w:lang w:eastAsia="pl-PL"/>
        </w:rPr>
      </w:pPr>
      <w:r w:rsidRPr="00EE0C8C">
        <w:rPr>
          <w:rFonts w:ascii="Calibri" w:eastAsia="Times New Roman" w:hAnsi="Calibri" w:cs="Arial"/>
          <w:lang w:eastAsia="pl-PL"/>
        </w:rPr>
        <w:lastRenderedPageBreak/>
        <w:sym w:font="Symbol" w:char="F0B7"/>
      </w:r>
      <w:r w:rsidRPr="00EE0C8C">
        <w:rPr>
          <w:rFonts w:ascii="Calibri" w:eastAsia="Times New Roman" w:hAnsi="Calibri" w:cs="Arial"/>
          <w:lang w:eastAsia="pl-PL"/>
        </w:rPr>
        <w:t xml:space="preserve"> bór suchy: 0,1 % </w:t>
      </w:r>
    </w:p>
    <w:p w:rsidR="00EE0C8C" w:rsidRPr="00EE0C8C" w:rsidRDefault="00EE0C8C" w:rsidP="00EE0C8C">
      <w:pPr>
        <w:spacing w:after="0" w:line="240" w:lineRule="auto"/>
        <w:rPr>
          <w:rFonts w:ascii="Calibri" w:eastAsia="Times New Roman" w:hAnsi="Calibri" w:cs="Arial"/>
          <w:lang w:eastAsia="pl-PL"/>
        </w:rPr>
      </w:pPr>
      <w:r w:rsidRPr="00EE0C8C">
        <w:rPr>
          <w:rFonts w:ascii="Calibri" w:eastAsia="Times New Roman" w:hAnsi="Calibri" w:cs="Arial"/>
          <w:lang w:eastAsia="pl-PL"/>
        </w:rPr>
        <w:sym w:font="Symbol" w:char="F0B7"/>
      </w:r>
      <w:r w:rsidRPr="00EE0C8C">
        <w:rPr>
          <w:rFonts w:ascii="Calibri" w:eastAsia="Times New Roman" w:hAnsi="Calibri" w:cs="Arial"/>
          <w:lang w:eastAsia="pl-PL"/>
        </w:rPr>
        <w:t xml:space="preserve"> bór świeży: 20,0 % </w:t>
      </w:r>
    </w:p>
    <w:p w:rsidR="00EE0C8C" w:rsidRPr="00EE0C8C" w:rsidRDefault="00EE0C8C" w:rsidP="00EE0C8C">
      <w:pPr>
        <w:spacing w:after="0" w:line="240" w:lineRule="auto"/>
        <w:rPr>
          <w:rFonts w:ascii="Calibri" w:eastAsia="Times New Roman" w:hAnsi="Calibri" w:cs="Arial"/>
          <w:lang w:eastAsia="pl-PL"/>
        </w:rPr>
      </w:pPr>
      <w:r w:rsidRPr="00EE0C8C">
        <w:rPr>
          <w:rFonts w:ascii="Calibri" w:eastAsia="Times New Roman" w:hAnsi="Calibri" w:cs="Arial"/>
          <w:lang w:eastAsia="pl-PL"/>
        </w:rPr>
        <w:sym w:font="Symbol" w:char="F0B7"/>
      </w:r>
      <w:r w:rsidRPr="00EE0C8C">
        <w:rPr>
          <w:rFonts w:ascii="Calibri" w:eastAsia="Times New Roman" w:hAnsi="Calibri" w:cs="Arial"/>
          <w:lang w:eastAsia="pl-PL"/>
        </w:rPr>
        <w:t xml:space="preserve"> bór wilgotny i bór bagienny: 18,0 % </w:t>
      </w:r>
    </w:p>
    <w:p w:rsidR="00EE0C8C" w:rsidRPr="00EE0C8C" w:rsidRDefault="00EE0C8C" w:rsidP="00EE0C8C">
      <w:pPr>
        <w:spacing w:after="0" w:line="240" w:lineRule="auto"/>
        <w:rPr>
          <w:rFonts w:ascii="Calibri" w:eastAsia="Times New Roman" w:hAnsi="Calibri" w:cs="Arial"/>
          <w:lang w:eastAsia="pl-PL"/>
        </w:rPr>
      </w:pPr>
      <w:r w:rsidRPr="00EE0C8C">
        <w:rPr>
          <w:rFonts w:ascii="Calibri" w:eastAsia="Times New Roman" w:hAnsi="Calibri" w:cs="Arial"/>
          <w:lang w:eastAsia="pl-PL"/>
        </w:rPr>
        <w:sym w:font="Symbol" w:char="F0B7"/>
      </w:r>
      <w:r w:rsidRPr="00EE0C8C">
        <w:rPr>
          <w:rFonts w:ascii="Calibri" w:eastAsia="Times New Roman" w:hAnsi="Calibri" w:cs="Arial"/>
          <w:lang w:eastAsia="pl-PL"/>
        </w:rPr>
        <w:t xml:space="preserve"> bór mieszany świeży: 16,6% </w:t>
      </w:r>
    </w:p>
    <w:p w:rsidR="00EE0C8C" w:rsidRPr="00EE0C8C" w:rsidRDefault="00EE0C8C" w:rsidP="00EE0C8C">
      <w:pPr>
        <w:spacing w:after="0" w:line="240" w:lineRule="auto"/>
        <w:rPr>
          <w:rFonts w:ascii="Calibri" w:eastAsia="Times New Roman" w:hAnsi="Calibri" w:cs="Arial"/>
          <w:lang w:eastAsia="pl-PL"/>
        </w:rPr>
      </w:pPr>
      <w:r w:rsidRPr="00EE0C8C">
        <w:rPr>
          <w:rFonts w:ascii="Calibri" w:eastAsia="Times New Roman" w:hAnsi="Calibri" w:cs="Arial"/>
          <w:lang w:eastAsia="pl-PL"/>
        </w:rPr>
        <w:sym w:font="Symbol" w:char="F0B7"/>
      </w:r>
      <w:r w:rsidRPr="00EE0C8C">
        <w:rPr>
          <w:rFonts w:ascii="Calibri" w:eastAsia="Times New Roman" w:hAnsi="Calibri" w:cs="Arial"/>
          <w:lang w:eastAsia="pl-PL"/>
        </w:rPr>
        <w:t xml:space="preserve"> bór mieszany wilgotny: 21,5 %</w:t>
      </w:r>
    </w:p>
    <w:p w:rsidR="00EE0C8C" w:rsidRPr="00EE0C8C" w:rsidRDefault="00EE0C8C" w:rsidP="00EE0C8C">
      <w:pPr>
        <w:ind w:firstLine="708"/>
        <w:jc w:val="both"/>
        <w:rPr>
          <w:rFonts w:ascii="Calibri" w:eastAsia="Times New Roman" w:hAnsi="Calibri" w:cs="Times New Roman"/>
          <w:lang w:eastAsia="pl-PL"/>
        </w:rPr>
      </w:pPr>
    </w:p>
    <w:p w:rsidR="00EE0C8C" w:rsidRPr="00EE0C8C" w:rsidRDefault="00EE0C8C" w:rsidP="00EE0C8C">
      <w:pPr>
        <w:jc w:val="both"/>
        <w:rPr>
          <w:rFonts w:ascii="Calibri" w:eastAsia="Times New Roman" w:hAnsi="Calibri" w:cs="Times New Roman"/>
          <w:lang w:eastAsia="pl-PL"/>
        </w:rPr>
      </w:pPr>
      <w:r w:rsidRPr="00EE0C8C">
        <w:rPr>
          <w:rFonts w:ascii="Calibri" w:eastAsia="Times New Roman" w:hAnsi="Calibri" w:cs="Times New Roman"/>
          <w:lang w:eastAsia="pl-PL"/>
        </w:rPr>
        <w:t>Na obszarze gminy ustanowione zostały 3 pomniki przyrody:</w:t>
      </w:r>
    </w:p>
    <w:p w:rsidR="00EE0C8C" w:rsidRPr="00EE0C8C" w:rsidRDefault="00EE0C8C" w:rsidP="00EE0C8C">
      <w:pPr>
        <w:jc w:val="both"/>
        <w:rPr>
          <w:rFonts w:ascii="Calibri" w:eastAsia="Times New Roman" w:hAnsi="Calibri" w:cs="Times New Roman"/>
          <w:lang w:eastAsia="pl-PL"/>
        </w:rPr>
      </w:pPr>
      <w:r w:rsidRPr="00EE0C8C">
        <w:rPr>
          <w:rFonts w:ascii="Calibri" w:eastAsia="Times New Roman" w:hAnsi="Calibri" w:cs="Times New Roman"/>
          <w:lang w:eastAsia="pl-PL"/>
        </w:rPr>
        <w:t>• dąb szypułkowy w Mircu liczący około 300 lat, położony na południe od zabudowań Wsi Mirzec  II; obwód pnia wynosi 4,30 m, wysokość 25,0 m,</w:t>
      </w:r>
    </w:p>
    <w:p w:rsidR="00EE0C8C" w:rsidRPr="00EE0C8C" w:rsidRDefault="00EE0C8C" w:rsidP="00EE0C8C">
      <w:pPr>
        <w:jc w:val="both"/>
        <w:rPr>
          <w:rFonts w:ascii="Calibri" w:eastAsia="Times New Roman" w:hAnsi="Calibri" w:cs="Times New Roman"/>
          <w:lang w:eastAsia="pl-PL"/>
        </w:rPr>
      </w:pPr>
      <w:r w:rsidRPr="00EE0C8C">
        <w:rPr>
          <w:rFonts w:ascii="Calibri" w:eastAsia="Times New Roman" w:hAnsi="Calibri" w:cs="Times New Roman"/>
          <w:lang w:eastAsia="pl-PL"/>
        </w:rPr>
        <w:t>• źródło we wsi Gadka, z którego wypływa kilka źródeł szczelinowych,</w:t>
      </w:r>
    </w:p>
    <w:p w:rsidR="00EE0C8C" w:rsidRPr="00EE0C8C" w:rsidRDefault="00EE0C8C" w:rsidP="00EE0C8C">
      <w:pPr>
        <w:jc w:val="both"/>
        <w:rPr>
          <w:rFonts w:ascii="Calibri" w:eastAsia="Times New Roman" w:hAnsi="Calibri" w:cs="Times New Roman"/>
          <w:lang w:eastAsia="pl-PL"/>
        </w:rPr>
      </w:pPr>
      <w:r w:rsidRPr="00EE0C8C">
        <w:rPr>
          <w:rFonts w:ascii="Calibri" w:eastAsia="Times New Roman" w:hAnsi="Calibri" w:cs="Times New Roman"/>
          <w:lang w:eastAsia="pl-PL"/>
        </w:rPr>
        <w:t>• dawna kopalnia odkrywkowa rud żelaza "Mikołaj" czynna do 1952r., w Tychowie Starym (północna ściana - długość 150 m, wysokość 15 m).</w:t>
      </w:r>
    </w:p>
    <w:p w:rsidR="00EE0C8C" w:rsidRPr="00EE0C8C" w:rsidRDefault="00EE0C8C" w:rsidP="00EE0C8C">
      <w:pPr>
        <w:jc w:val="both"/>
        <w:rPr>
          <w:rFonts w:ascii="Calibri" w:eastAsia="Times New Roman" w:hAnsi="Calibri" w:cs="Times New Roman"/>
          <w:lang w:eastAsia="pl-PL"/>
        </w:rPr>
      </w:pPr>
      <w:r w:rsidRPr="00EE0C8C">
        <w:rPr>
          <w:rFonts w:ascii="Calibri" w:eastAsia="Times New Roman" w:hAnsi="Calibri" w:cs="Times New Roman"/>
          <w:lang w:eastAsia="pl-PL"/>
        </w:rPr>
        <w:t>Objęciem ochroną proponuje się również:</w:t>
      </w:r>
    </w:p>
    <w:p w:rsidR="00EE0C8C" w:rsidRPr="00EE0C8C" w:rsidRDefault="00EE0C8C" w:rsidP="00EE0C8C">
      <w:pPr>
        <w:jc w:val="both"/>
        <w:rPr>
          <w:rFonts w:ascii="Calibri" w:eastAsia="Times New Roman" w:hAnsi="Calibri" w:cs="Times New Roman"/>
          <w:lang w:eastAsia="pl-PL"/>
        </w:rPr>
      </w:pPr>
      <w:r w:rsidRPr="00EE0C8C">
        <w:rPr>
          <w:rFonts w:ascii="Calibri" w:eastAsia="Times New Roman" w:hAnsi="Calibri" w:cs="Times New Roman"/>
          <w:lang w:eastAsia="pl-PL"/>
        </w:rPr>
        <w:t>- grupy drzew w obrębie pozostałości parku podworskiego  w  Mircu (drzewa oznakowane są jako pomniki przyrody, nie wpisane są jednak do wojewódzkiego rejestru pomników),</w:t>
      </w:r>
    </w:p>
    <w:p w:rsidR="00EE0C8C" w:rsidRPr="00EE0C8C" w:rsidRDefault="00EE0C8C" w:rsidP="00EE0C8C">
      <w:pPr>
        <w:jc w:val="both"/>
        <w:rPr>
          <w:rFonts w:ascii="Calibri" w:eastAsia="Times New Roman" w:hAnsi="Calibri" w:cs="Times New Roman"/>
          <w:lang w:eastAsia="pl-PL"/>
        </w:rPr>
      </w:pPr>
      <w:r w:rsidRPr="00EE0C8C">
        <w:rPr>
          <w:rFonts w:ascii="Calibri" w:eastAsia="Times New Roman" w:hAnsi="Calibri" w:cs="Times New Roman"/>
          <w:lang w:eastAsia="pl-PL"/>
        </w:rPr>
        <w:t xml:space="preserve">- wyrobiska  i  hałdy  będące  pozostałością  po  eksploatowanych  w  przeszłości rudach żelaza </w:t>
      </w:r>
      <w:r w:rsidRPr="00EE0C8C">
        <w:rPr>
          <w:rFonts w:ascii="Calibri" w:eastAsia="Times New Roman" w:hAnsi="Calibri" w:cs="Times New Roman"/>
          <w:lang w:eastAsia="pl-PL"/>
        </w:rPr>
        <w:br/>
        <w:t>w Mircu Czerwonej.</w:t>
      </w:r>
    </w:p>
    <w:p w:rsidR="00EE0C8C" w:rsidRPr="00EE0C8C" w:rsidRDefault="00EE0C8C" w:rsidP="00EE0C8C">
      <w:pPr>
        <w:keepNext/>
        <w:keepLines/>
        <w:spacing w:before="200" w:after="0"/>
        <w:outlineLvl w:val="3"/>
        <w:rPr>
          <w:rFonts w:ascii="Cambria" w:eastAsia="Times New Roman" w:hAnsi="Cambria" w:cs="Times New Roman"/>
          <w:b/>
          <w:bCs/>
          <w:i/>
          <w:iCs/>
          <w:color w:val="4F81BD"/>
        </w:rPr>
      </w:pPr>
      <w:r w:rsidRPr="00EE0C8C">
        <w:rPr>
          <w:rFonts w:ascii="Cambria" w:eastAsia="Times New Roman" w:hAnsi="Cambria" w:cs="Times New Roman"/>
          <w:b/>
          <w:bCs/>
          <w:i/>
          <w:iCs/>
          <w:color w:val="4F81BD"/>
        </w:rPr>
        <w:t>GLEBY</w:t>
      </w:r>
    </w:p>
    <w:p w:rsidR="00EE0C8C" w:rsidRPr="00EE0C8C" w:rsidRDefault="00EE0C8C" w:rsidP="00EE0C8C">
      <w:pPr>
        <w:jc w:val="both"/>
        <w:rPr>
          <w:rFonts w:ascii="Calibri" w:eastAsia="Times New Roman" w:hAnsi="Calibri" w:cs="Times New Roman"/>
          <w:lang w:eastAsia="pl-PL"/>
        </w:rPr>
      </w:pPr>
      <w:r w:rsidRPr="00EE0C8C">
        <w:rPr>
          <w:rFonts w:ascii="Calibri" w:eastAsia="Times New Roman" w:hAnsi="Calibri" w:cs="Times New Roman"/>
          <w:lang w:eastAsia="pl-PL"/>
        </w:rPr>
        <w:t>W Gminie Mirzec gleby zostały wykształcone z utworów pochodzenia lodowcowego: piasków, glin</w:t>
      </w:r>
      <w:r w:rsidRPr="00EE0C8C">
        <w:rPr>
          <w:rFonts w:ascii="Calibri" w:eastAsia="Times New Roman" w:hAnsi="Calibri" w:cs="Times New Roman"/>
          <w:lang w:eastAsia="pl-PL"/>
        </w:rPr>
        <w:br/>
        <w:t xml:space="preserve"> i pyłów. Utwory te charakteryzują się przewagą gleb piaszczystych o średniej i  słabej  przydatności rolniczej.  Lokalnie,  w  obniżeniach  terenu,  występują  gleby  hydrogeniczne  powstałe  </w:t>
      </w:r>
      <w:r w:rsidRPr="00EE0C8C">
        <w:rPr>
          <w:rFonts w:ascii="Calibri" w:eastAsia="Times New Roman" w:hAnsi="Calibri" w:cs="Times New Roman"/>
          <w:lang w:eastAsia="pl-PL"/>
        </w:rPr>
        <w:br/>
        <w:t>w  warunkach nadmiernego uwilgotnienia, do których zalicza się gleby murszowe i torfowe.</w:t>
      </w:r>
    </w:p>
    <w:p w:rsidR="00EE0C8C" w:rsidRPr="00EE0C8C" w:rsidRDefault="00EE0C8C" w:rsidP="00EE0C8C">
      <w:pPr>
        <w:jc w:val="both"/>
        <w:rPr>
          <w:rFonts w:ascii="Calibri" w:eastAsia="Times New Roman" w:hAnsi="Calibri" w:cs="Times New Roman"/>
          <w:lang w:eastAsia="pl-PL"/>
        </w:rPr>
      </w:pPr>
      <w:r w:rsidRPr="00EE0C8C">
        <w:rPr>
          <w:rFonts w:ascii="Calibri" w:eastAsia="Times New Roman" w:hAnsi="Calibri" w:cs="Times New Roman"/>
          <w:lang w:eastAsia="pl-PL"/>
        </w:rPr>
        <w:t>Na obszarze gminy Mirzec dominują gleby klasy IV i V klasyfikacji bonitacyjnej. Głównie są to gleby  pseudobielicowe,  znacznie  zakwaszone,  ubogie  w  składniki  odżywcze  dla  roślin,  wymagające nawożenia.</w:t>
      </w:r>
    </w:p>
    <w:p w:rsidR="00EE0C8C" w:rsidRPr="00EE0C8C" w:rsidRDefault="00EE0C8C" w:rsidP="00EE0C8C">
      <w:pPr>
        <w:keepNext/>
        <w:keepLines/>
        <w:spacing w:before="200" w:after="0"/>
        <w:outlineLvl w:val="3"/>
        <w:rPr>
          <w:rFonts w:ascii="Cambria" w:eastAsia="Times New Roman" w:hAnsi="Cambria" w:cs="Times New Roman"/>
          <w:b/>
          <w:bCs/>
          <w:i/>
          <w:iCs/>
          <w:color w:val="4F81BD"/>
        </w:rPr>
      </w:pPr>
      <w:r w:rsidRPr="00EE0C8C">
        <w:rPr>
          <w:rFonts w:ascii="Cambria" w:eastAsia="Times New Roman" w:hAnsi="Cambria" w:cs="Times New Roman"/>
          <w:b/>
          <w:bCs/>
          <w:i/>
          <w:iCs/>
          <w:color w:val="4F81BD"/>
        </w:rPr>
        <w:t>ZASOBY NATURALNE</w:t>
      </w:r>
    </w:p>
    <w:p w:rsidR="00EE0C8C" w:rsidRPr="00EE0C8C" w:rsidRDefault="00EE0C8C" w:rsidP="00EE0C8C">
      <w:pPr>
        <w:jc w:val="both"/>
        <w:rPr>
          <w:rFonts w:ascii="Calibri" w:eastAsia="Times New Roman" w:hAnsi="Calibri" w:cs="Times New Roman"/>
          <w:lang w:eastAsia="pl-PL"/>
        </w:rPr>
      </w:pPr>
      <w:r w:rsidRPr="00EE0C8C">
        <w:rPr>
          <w:rFonts w:ascii="Calibri" w:eastAsia="Times New Roman" w:hAnsi="Calibri" w:cs="Times New Roman"/>
          <w:lang w:eastAsia="pl-PL"/>
        </w:rPr>
        <w:t>Posiadane przez Gminę Mirzec zasoby surowców o znaczeniu gospodarczym:</w:t>
      </w:r>
    </w:p>
    <w:p w:rsidR="00EE0C8C" w:rsidRPr="00EE0C8C" w:rsidRDefault="00EE0C8C" w:rsidP="00EE0C8C">
      <w:pPr>
        <w:spacing w:after="0" w:line="240" w:lineRule="auto"/>
        <w:rPr>
          <w:rFonts w:ascii="Calibri" w:eastAsia="Times New Roman" w:hAnsi="Calibri" w:cs="Arial"/>
          <w:lang w:eastAsia="pl-PL"/>
        </w:rPr>
      </w:pPr>
      <w:r w:rsidRPr="00EE0C8C">
        <w:rPr>
          <w:rFonts w:ascii="Calibri" w:eastAsia="Times New Roman" w:hAnsi="Calibri" w:cs="Arial"/>
          <w:lang w:eastAsia="pl-PL"/>
        </w:rPr>
        <w:sym w:font="Symbol" w:char="F0B7"/>
      </w:r>
      <w:r w:rsidRPr="00EE0C8C">
        <w:rPr>
          <w:rFonts w:ascii="Calibri" w:eastAsia="Times New Roman" w:hAnsi="Calibri" w:cs="Arial"/>
          <w:lang w:eastAsia="pl-PL"/>
        </w:rPr>
        <w:t xml:space="preserve"> dolno - jurajskie syderyty (rejon Mirca),</w:t>
      </w:r>
    </w:p>
    <w:p w:rsidR="00EE0C8C" w:rsidRPr="00EE0C8C" w:rsidRDefault="00EE0C8C" w:rsidP="00EE0C8C">
      <w:pPr>
        <w:spacing w:after="0" w:line="240" w:lineRule="auto"/>
        <w:rPr>
          <w:rFonts w:ascii="Calibri" w:eastAsia="Times New Roman" w:hAnsi="Calibri" w:cs="Arial"/>
          <w:lang w:eastAsia="pl-PL"/>
        </w:rPr>
      </w:pPr>
      <w:r w:rsidRPr="00EE0C8C">
        <w:rPr>
          <w:rFonts w:ascii="Calibri" w:eastAsia="Times New Roman" w:hAnsi="Calibri" w:cs="Arial"/>
          <w:lang w:eastAsia="pl-PL"/>
        </w:rPr>
        <w:sym w:font="Symbol" w:char="F0B7"/>
      </w:r>
      <w:r w:rsidRPr="00EE0C8C">
        <w:rPr>
          <w:rFonts w:ascii="Calibri" w:eastAsia="Times New Roman" w:hAnsi="Calibri" w:cs="Arial"/>
          <w:lang w:eastAsia="pl-PL"/>
        </w:rPr>
        <w:t xml:space="preserve"> dolno - jurajskie piaskowce (rejon Mirca),</w:t>
      </w:r>
    </w:p>
    <w:p w:rsidR="00EE0C8C" w:rsidRPr="00EE0C8C" w:rsidRDefault="00EE0C8C" w:rsidP="00EE0C8C">
      <w:pPr>
        <w:spacing w:after="0" w:line="240" w:lineRule="auto"/>
        <w:rPr>
          <w:rFonts w:ascii="Calibri" w:eastAsia="Times New Roman" w:hAnsi="Calibri" w:cs="Arial"/>
          <w:lang w:eastAsia="pl-PL"/>
        </w:rPr>
      </w:pPr>
      <w:r w:rsidRPr="00EE0C8C">
        <w:rPr>
          <w:rFonts w:ascii="Calibri" w:eastAsia="Times New Roman" w:hAnsi="Calibri" w:cs="Arial"/>
          <w:lang w:eastAsia="pl-PL"/>
        </w:rPr>
        <w:sym w:font="Symbol" w:char="F0B7"/>
      </w:r>
      <w:r w:rsidRPr="00EE0C8C">
        <w:rPr>
          <w:rFonts w:ascii="Calibri" w:eastAsia="Times New Roman" w:hAnsi="Calibri" w:cs="Arial"/>
          <w:lang w:eastAsia="pl-PL"/>
        </w:rPr>
        <w:t xml:space="preserve"> środkowo - jurajskie piaski kwarcowe żelaziste (w pasie od Trębowca do Małyszyna),</w:t>
      </w:r>
    </w:p>
    <w:p w:rsidR="00EE0C8C" w:rsidRPr="00EE0C8C" w:rsidRDefault="00EE0C8C" w:rsidP="00EE0C8C">
      <w:pPr>
        <w:spacing w:after="0" w:line="240" w:lineRule="auto"/>
        <w:rPr>
          <w:rFonts w:ascii="Calibri" w:eastAsia="Times New Roman" w:hAnsi="Calibri" w:cs="Arial"/>
          <w:lang w:eastAsia="pl-PL"/>
        </w:rPr>
      </w:pPr>
      <w:r w:rsidRPr="00EE0C8C">
        <w:rPr>
          <w:rFonts w:ascii="Calibri" w:eastAsia="Times New Roman" w:hAnsi="Calibri" w:cs="Arial"/>
          <w:lang w:eastAsia="pl-PL"/>
        </w:rPr>
        <w:sym w:font="Symbol" w:char="F0B7"/>
      </w:r>
      <w:r w:rsidRPr="00EE0C8C">
        <w:rPr>
          <w:rFonts w:ascii="Calibri" w:eastAsia="Times New Roman" w:hAnsi="Calibri" w:cs="Arial"/>
          <w:lang w:eastAsia="pl-PL"/>
        </w:rPr>
        <w:t xml:space="preserve"> piaski i żwiry czwartorzędowe (w pobliżu miejscowości: Osiny, Jagodne) — piaski eoliczne (płatami na terenie całej gminy),</w:t>
      </w:r>
    </w:p>
    <w:p w:rsidR="00EE0C8C" w:rsidRPr="00EE0C8C" w:rsidRDefault="00EE0C8C" w:rsidP="00EE0C8C">
      <w:pPr>
        <w:spacing w:after="0" w:line="240" w:lineRule="auto"/>
        <w:rPr>
          <w:rFonts w:ascii="Calibri" w:eastAsia="Times New Roman" w:hAnsi="Calibri" w:cs="Arial"/>
          <w:lang w:eastAsia="pl-PL"/>
        </w:rPr>
      </w:pPr>
      <w:r w:rsidRPr="00EE0C8C">
        <w:rPr>
          <w:rFonts w:ascii="Calibri" w:eastAsia="Times New Roman" w:hAnsi="Calibri" w:cs="Arial"/>
          <w:lang w:eastAsia="pl-PL"/>
        </w:rPr>
        <w:sym w:font="Symbol" w:char="F0B7"/>
      </w:r>
      <w:r w:rsidRPr="00EE0C8C">
        <w:rPr>
          <w:rFonts w:ascii="Calibri" w:eastAsia="Times New Roman" w:hAnsi="Calibri" w:cs="Arial"/>
          <w:lang w:eastAsia="pl-PL"/>
        </w:rPr>
        <w:t xml:space="preserve"> torfy: w dolinach strugi Brodek i Małyszyniec. </w:t>
      </w:r>
    </w:p>
    <w:p w:rsidR="00EE0C8C" w:rsidRPr="00EE0C8C" w:rsidRDefault="00EE0C8C" w:rsidP="00EE0C8C">
      <w:pPr>
        <w:spacing w:after="0" w:line="240" w:lineRule="auto"/>
        <w:rPr>
          <w:rFonts w:ascii="Calibri" w:eastAsia="Times New Roman" w:hAnsi="Calibri" w:cs="Arial"/>
          <w:lang w:eastAsia="pl-PL"/>
        </w:rPr>
      </w:pPr>
    </w:p>
    <w:p w:rsidR="00EE0C8C" w:rsidRPr="00EE0C8C" w:rsidRDefault="00EE0C8C" w:rsidP="00EE0C8C">
      <w:pPr>
        <w:spacing w:after="0" w:line="240" w:lineRule="auto"/>
        <w:jc w:val="both"/>
        <w:rPr>
          <w:rFonts w:ascii="Calibri" w:eastAsia="Times New Roman" w:hAnsi="Calibri" w:cs="Arial"/>
          <w:lang w:eastAsia="pl-PL"/>
        </w:rPr>
      </w:pPr>
      <w:r w:rsidRPr="00EE0C8C">
        <w:rPr>
          <w:rFonts w:ascii="Calibri" w:eastAsia="Times New Roman" w:hAnsi="Calibri" w:cs="Arial"/>
          <w:lang w:eastAsia="pl-PL"/>
        </w:rPr>
        <w:t>Na dzień dzisiejszy wydobycie tych surowców odbywa się nielegalnie, w ramach zaspokajania indywidualnych potrzeb mieszkańców Gminy Mirzec.</w:t>
      </w:r>
    </w:p>
    <w:p w:rsidR="00EE0C8C" w:rsidRPr="00EE0C8C" w:rsidRDefault="00EE0C8C" w:rsidP="00EE0C8C">
      <w:pPr>
        <w:ind w:firstLine="1134"/>
        <w:jc w:val="both"/>
        <w:rPr>
          <w:rFonts w:ascii="Calibri" w:eastAsia="Times New Roman" w:hAnsi="Calibri" w:cs="Times New Roman"/>
          <w:lang w:eastAsia="pl-PL"/>
        </w:rPr>
      </w:pPr>
    </w:p>
    <w:p w:rsidR="00EE0C8C" w:rsidRPr="00EE0C8C" w:rsidRDefault="00EE0C8C" w:rsidP="00A76BDB">
      <w:pPr>
        <w:pStyle w:val="Nagwek2"/>
        <w:rPr>
          <w:lang w:eastAsia="pl-PL"/>
        </w:rPr>
      </w:pPr>
      <w:bookmarkStart w:id="42" w:name="_Toc439077754"/>
      <w:bookmarkStart w:id="43" w:name="_Toc449963537"/>
      <w:bookmarkStart w:id="44" w:name="_Toc450562479"/>
      <w:r w:rsidRPr="00EE0C8C">
        <w:rPr>
          <w:lang w:eastAsia="pl-PL"/>
        </w:rPr>
        <w:lastRenderedPageBreak/>
        <w:t>2.1.5. ANALIZA ZASOBU MIESZKANIOWEGO GMINY MIRZEC</w:t>
      </w:r>
      <w:bookmarkEnd w:id="42"/>
      <w:bookmarkEnd w:id="43"/>
      <w:bookmarkEnd w:id="44"/>
    </w:p>
    <w:p w:rsidR="00EE0C8C" w:rsidRPr="00EE0C8C" w:rsidRDefault="00EE0C8C" w:rsidP="00EE0C8C">
      <w:pPr>
        <w:keepNext/>
        <w:keepLines/>
        <w:spacing w:before="200" w:after="0"/>
        <w:outlineLvl w:val="2"/>
        <w:rPr>
          <w:rFonts w:ascii="Cambria" w:eastAsia="Times New Roman" w:hAnsi="Cambria" w:cs="Times New Roman"/>
          <w:b/>
          <w:bCs/>
          <w:color w:val="4F81BD"/>
          <w:lang w:eastAsia="pl-PL"/>
        </w:rPr>
      </w:pPr>
    </w:p>
    <w:p w:rsidR="00EE0C8C" w:rsidRDefault="00EE0C8C" w:rsidP="00EE0C8C">
      <w:pPr>
        <w:jc w:val="both"/>
        <w:rPr>
          <w:rFonts w:ascii="Calibri" w:eastAsia="Times New Roman" w:hAnsi="Calibri" w:cs="Times New Roman"/>
          <w:lang w:eastAsia="pl-PL"/>
        </w:rPr>
      </w:pPr>
      <w:r w:rsidRPr="00EE0C8C">
        <w:rPr>
          <w:rFonts w:ascii="Calibri" w:eastAsia="Times New Roman" w:hAnsi="Calibri" w:cs="Times New Roman"/>
          <w:lang w:eastAsia="pl-PL"/>
        </w:rPr>
        <w:t>Zasoby mieszkaniowe Gminy Mirzec na przestrzeni kilku lat ulegały tendencji wzrostowej. Na koniec 2014 r. było 2220 mieszkań, przeciętna powierzchnia użytkowa mieszkania wynosi 88,7 m² (w tym na 1 osobę – 23,5 m</w:t>
      </w:r>
      <w:r w:rsidRPr="00EE0C8C">
        <w:rPr>
          <w:rFonts w:ascii="Calibri" w:eastAsia="Times New Roman" w:hAnsi="Calibri" w:cs="Times New Roman"/>
          <w:vertAlign w:val="superscript"/>
          <w:lang w:eastAsia="pl-PL"/>
        </w:rPr>
        <w:t>2</w:t>
      </w:r>
      <w:r w:rsidRPr="00EE0C8C">
        <w:rPr>
          <w:rFonts w:ascii="Calibri" w:eastAsia="Times New Roman" w:hAnsi="Calibri" w:cs="Times New Roman"/>
          <w:lang w:eastAsia="pl-PL"/>
        </w:rPr>
        <w:t>).</w:t>
      </w:r>
    </w:p>
    <w:p w:rsidR="00EE0C8C" w:rsidRPr="00EE0C8C" w:rsidRDefault="00EE0C8C" w:rsidP="00EE0C8C">
      <w:pPr>
        <w:jc w:val="both"/>
        <w:rPr>
          <w:rFonts w:ascii="Calibri" w:eastAsia="Times New Roman" w:hAnsi="Calibri" w:cs="Times New Roman"/>
          <w:lang w:eastAsia="pl-PL"/>
        </w:rPr>
      </w:pPr>
    </w:p>
    <w:tbl>
      <w:tblPr>
        <w:tblW w:w="9406" w:type="dxa"/>
        <w:tblInd w:w="55" w:type="dxa"/>
        <w:tblCellMar>
          <w:left w:w="70" w:type="dxa"/>
          <w:right w:w="70" w:type="dxa"/>
        </w:tblCellMar>
        <w:tblLook w:val="04A0" w:firstRow="1" w:lastRow="0" w:firstColumn="1" w:lastColumn="0" w:noHBand="0" w:noVBand="1"/>
      </w:tblPr>
      <w:tblGrid>
        <w:gridCol w:w="4960"/>
        <w:gridCol w:w="1587"/>
        <w:gridCol w:w="953"/>
        <w:gridCol w:w="953"/>
        <w:gridCol w:w="953"/>
      </w:tblGrid>
      <w:tr w:rsidR="00EE0C8C" w:rsidRPr="00EE0C8C" w:rsidTr="00A76BDB">
        <w:trPr>
          <w:trHeight w:val="249"/>
        </w:trPr>
        <w:tc>
          <w:tcPr>
            <w:tcW w:w="4960" w:type="dxa"/>
            <w:tcBorders>
              <w:top w:val="single" w:sz="4" w:space="0" w:color="000000"/>
              <w:left w:val="single" w:sz="4" w:space="0" w:color="000000"/>
              <w:bottom w:val="single" w:sz="4" w:space="0" w:color="000000"/>
              <w:right w:val="single" w:sz="4" w:space="0" w:color="000000"/>
            </w:tcBorders>
            <w:shd w:val="clear" w:color="000000" w:fill="008080"/>
            <w:noWrap/>
            <w:vAlign w:val="center"/>
            <w:hideMark/>
          </w:tcPr>
          <w:p w:rsidR="00EE0C8C" w:rsidRPr="00EE0C8C" w:rsidRDefault="00EE0C8C" w:rsidP="00EE0C8C">
            <w:pPr>
              <w:spacing w:after="0" w:line="240" w:lineRule="auto"/>
              <w:jc w:val="center"/>
              <w:rPr>
                <w:rFonts w:ascii="Arial" w:eastAsia="Times New Roman" w:hAnsi="Arial" w:cs="Arial"/>
                <w:b/>
                <w:bCs/>
                <w:color w:val="FFFFFF"/>
                <w:sz w:val="20"/>
                <w:szCs w:val="20"/>
                <w:lang w:eastAsia="pl-PL"/>
              </w:rPr>
            </w:pPr>
            <w:r w:rsidRPr="00EE0C8C">
              <w:rPr>
                <w:rFonts w:ascii="Arial" w:eastAsia="Times New Roman" w:hAnsi="Arial" w:cs="Arial"/>
                <w:b/>
                <w:bCs/>
                <w:color w:val="FFFFFF"/>
                <w:sz w:val="20"/>
                <w:szCs w:val="20"/>
                <w:lang w:eastAsia="pl-PL"/>
              </w:rPr>
              <w:t> </w:t>
            </w:r>
          </w:p>
        </w:tc>
        <w:tc>
          <w:tcPr>
            <w:tcW w:w="1587" w:type="dxa"/>
            <w:tcBorders>
              <w:top w:val="single" w:sz="4" w:space="0" w:color="000000"/>
              <w:left w:val="nil"/>
              <w:bottom w:val="single" w:sz="4" w:space="0" w:color="000000"/>
              <w:right w:val="single" w:sz="4" w:space="0" w:color="000000"/>
            </w:tcBorders>
            <w:shd w:val="clear" w:color="000000" w:fill="008080"/>
            <w:noWrap/>
            <w:vAlign w:val="center"/>
            <w:hideMark/>
          </w:tcPr>
          <w:p w:rsidR="00EE0C8C" w:rsidRPr="00EE0C8C" w:rsidRDefault="00EE0C8C" w:rsidP="00EE0C8C">
            <w:pPr>
              <w:spacing w:after="0" w:line="240" w:lineRule="auto"/>
              <w:jc w:val="center"/>
              <w:rPr>
                <w:rFonts w:ascii="Arial" w:eastAsia="Times New Roman" w:hAnsi="Arial" w:cs="Arial"/>
                <w:b/>
                <w:bCs/>
                <w:color w:val="FFFFFF"/>
                <w:sz w:val="20"/>
                <w:szCs w:val="20"/>
                <w:lang w:eastAsia="pl-PL"/>
              </w:rPr>
            </w:pPr>
            <w:r w:rsidRPr="00EE0C8C">
              <w:rPr>
                <w:rFonts w:ascii="Arial" w:eastAsia="Times New Roman" w:hAnsi="Arial" w:cs="Arial"/>
                <w:b/>
                <w:bCs/>
                <w:color w:val="FFFFFF"/>
                <w:sz w:val="20"/>
                <w:szCs w:val="20"/>
                <w:lang w:eastAsia="pl-PL"/>
              </w:rPr>
              <w:t>Jednostka miary</w:t>
            </w:r>
          </w:p>
        </w:tc>
        <w:tc>
          <w:tcPr>
            <w:tcW w:w="953" w:type="dxa"/>
            <w:tcBorders>
              <w:top w:val="single" w:sz="4" w:space="0" w:color="000000"/>
              <w:left w:val="nil"/>
              <w:bottom w:val="single" w:sz="4" w:space="0" w:color="000000"/>
              <w:right w:val="single" w:sz="4" w:space="0" w:color="000000"/>
            </w:tcBorders>
            <w:shd w:val="clear" w:color="000000" w:fill="008080"/>
            <w:noWrap/>
            <w:vAlign w:val="center"/>
            <w:hideMark/>
          </w:tcPr>
          <w:p w:rsidR="00EE0C8C" w:rsidRPr="00EE0C8C" w:rsidRDefault="00EE0C8C" w:rsidP="00EE0C8C">
            <w:pPr>
              <w:spacing w:after="0" w:line="240" w:lineRule="auto"/>
              <w:jc w:val="center"/>
              <w:rPr>
                <w:rFonts w:ascii="Arial" w:eastAsia="Times New Roman" w:hAnsi="Arial" w:cs="Arial"/>
                <w:b/>
                <w:bCs/>
                <w:color w:val="FFFFFF"/>
                <w:sz w:val="20"/>
                <w:szCs w:val="20"/>
                <w:lang w:eastAsia="pl-PL"/>
              </w:rPr>
            </w:pPr>
            <w:r w:rsidRPr="00EE0C8C">
              <w:rPr>
                <w:rFonts w:ascii="Arial" w:eastAsia="Times New Roman" w:hAnsi="Arial" w:cs="Arial"/>
                <w:b/>
                <w:bCs/>
                <w:color w:val="FFFFFF"/>
                <w:sz w:val="20"/>
                <w:szCs w:val="20"/>
                <w:lang w:eastAsia="pl-PL"/>
              </w:rPr>
              <w:t>2012</w:t>
            </w:r>
          </w:p>
        </w:tc>
        <w:tc>
          <w:tcPr>
            <w:tcW w:w="953" w:type="dxa"/>
            <w:tcBorders>
              <w:top w:val="single" w:sz="4" w:space="0" w:color="000000"/>
              <w:left w:val="nil"/>
              <w:bottom w:val="single" w:sz="4" w:space="0" w:color="000000"/>
              <w:right w:val="single" w:sz="4" w:space="0" w:color="000000"/>
            </w:tcBorders>
            <w:shd w:val="clear" w:color="000000" w:fill="008080"/>
            <w:noWrap/>
            <w:vAlign w:val="center"/>
            <w:hideMark/>
          </w:tcPr>
          <w:p w:rsidR="00EE0C8C" w:rsidRPr="00EE0C8C" w:rsidRDefault="00EE0C8C" w:rsidP="00EE0C8C">
            <w:pPr>
              <w:spacing w:after="0" w:line="240" w:lineRule="auto"/>
              <w:jc w:val="center"/>
              <w:rPr>
                <w:rFonts w:ascii="Arial" w:eastAsia="Times New Roman" w:hAnsi="Arial" w:cs="Arial"/>
                <w:b/>
                <w:bCs/>
                <w:color w:val="FFFFFF"/>
                <w:sz w:val="20"/>
                <w:szCs w:val="20"/>
                <w:lang w:eastAsia="pl-PL"/>
              </w:rPr>
            </w:pPr>
            <w:r w:rsidRPr="00EE0C8C">
              <w:rPr>
                <w:rFonts w:ascii="Arial" w:eastAsia="Times New Roman" w:hAnsi="Arial" w:cs="Arial"/>
                <w:b/>
                <w:bCs/>
                <w:color w:val="FFFFFF"/>
                <w:sz w:val="20"/>
                <w:szCs w:val="20"/>
                <w:lang w:eastAsia="pl-PL"/>
              </w:rPr>
              <w:t>2013</w:t>
            </w:r>
          </w:p>
        </w:tc>
        <w:tc>
          <w:tcPr>
            <w:tcW w:w="953" w:type="dxa"/>
            <w:tcBorders>
              <w:top w:val="single" w:sz="4" w:space="0" w:color="000000"/>
              <w:left w:val="nil"/>
              <w:bottom w:val="single" w:sz="4" w:space="0" w:color="000000"/>
              <w:right w:val="single" w:sz="4" w:space="0" w:color="000000"/>
            </w:tcBorders>
            <w:shd w:val="clear" w:color="000000" w:fill="008080"/>
            <w:noWrap/>
            <w:vAlign w:val="center"/>
            <w:hideMark/>
          </w:tcPr>
          <w:p w:rsidR="00EE0C8C" w:rsidRPr="00EE0C8C" w:rsidRDefault="00EE0C8C" w:rsidP="00EE0C8C">
            <w:pPr>
              <w:spacing w:after="0" w:line="240" w:lineRule="auto"/>
              <w:jc w:val="center"/>
              <w:rPr>
                <w:rFonts w:ascii="Arial" w:eastAsia="Times New Roman" w:hAnsi="Arial" w:cs="Arial"/>
                <w:b/>
                <w:bCs/>
                <w:color w:val="FFFFFF"/>
                <w:sz w:val="20"/>
                <w:szCs w:val="20"/>
                <w:lang w:eastAsia="pl-PL"/>
              </w:rPr>
            </w:pPr>
            <w:r w:rsidRPr="00EE0C8C">
              <w:rPr>
                <w:rFonts w:ascii="Arial" w:eastAsia="Times New Roman" w:hAnsi="Arial" w:cs="Arial"/>
                <w:b/>
                <w:bCs/>
                <w:color w:val="FFFFFF"/>
                <w:sz w:val="20"/>
                <w:szCs w:val="20"/>
                <w:lang w:eastAsia="pl-PL"/>
              </w:rPr>
              <w:t>2014</w:t>
            </w:r>
          </w:p>
        </w:tc>
      </w:tr>
      <w:tr w:rsidR="00EE0C8C" w:rsidRPr="00EE0C8C" w:rsidTr="00A76BDB">
        <w:trPr>
          <w:trHeight w:val="249"/>
        </w:trPr>
        <w:tc>
          <w:tcPr>
            <w:tcW w:w="9405" w:type="dxa"/>
            <w:gridSpan w:val="5"/>
            <w:tcBorders>
              <w:top w:val="single" w:sz="4" w:space="0" w:color="000000"/>
              <w:left w:val="single" w:sz="4" w:space="0" w:color="000000"/>
              <w:bottom w:val="single" w:sz="4" w:space="0" w:color="000000"/>
              <w:right w:val="single" w:sz="4" w:space="0" w:color="000000"/>
            </w:tcBorders>
            <w:shd w:val="clear" w:color="000000" w:fill="008080"/>
            <w:noWrap/>
            <w:vAlign w:val="center"/>
            <w:hideMark/>
          </w:tcPr>
          <w:p w:rsidR="00EE0C8C" w:rsidRPr="00EE0C8C" w:rsidRDefault="00EE0C8C" w:rsidP="00EE0C8C">
            <w:pPr>
              <w:spacing w:after="0" w:line="240" w:lineRule="auto"/>
              <w:rPr>
                <w:rFonts w:ascii="Arial" w:eastAsia="Times New Roman" w:hAnsi="Arial" w:cs="Arial"/>
                <w:b/>
                <w:bCs/>
                <w:color w:val="FFFFFF"/>
                <w:sz w:val="20"/>
                <w:szCs w:val="20"/>
                <w:lang w:eastAsia="pl-PL"/>
              </w:rPr>
            </w:pPr>
            <w:r w:rsidRPr="00EE0C8C">
              <w:rPr>
                <w:rFonts w:ascii="Arial" w:eastAsia="Times New Roman" w:hAnsi="Arial" w:cs="Arial"/>
                <w:b/>
                <w:bCs/>
                <w:color w:val="FFFFFF"/>
                <w:sz w:val="20"/>
                <w:szCs w:val="20"/>
                <w:lang w:eastAsia="pl-PL"/>
              </w:rPr>
              <w:t>ZASOBY MIESZKANIOWE</w:t>
            </w:r>
          </w:p>
        </w:tc>
      </w:tr>
      <w:tr w:rsidR="00EE0C8C" w:rsidRPr="00EE0C8C" w:rsidTr="00A76BDB">
        <w:trPr>
          <w:trHeight w:val="249"/>
        </w:trPr>
        <w:tc>
          <w:tcPr>
            <w:tcW w:w="9405" w:type="dxa"/>
            <w:gridSpan w:val="5"/>
            <w:tcBorders>
              <w:top w:val="single" w:sz="4" w:space="0" w:color="000000"/>
              <w:left w:val="single" w:sz="4" w:space="0" w:color="000000"/>
              <w:bottom w:val="single" w:sz="4" w:space="0" w:color="000000"/>
              <w:right w:val="single" w:sz="4" w:space="0" w:color="000000"/>
            </w:tcBorders>
            <w:shd w:val="clear" w:color="000000" w:fill="33CCCC"/>
            <w:noWrap/>
            <w:vAlign w:val="center"/>
            <w:hideMark/>
          </w:tcPr>
          <w:p w:rsidR="00EE0C8C" w:rsidRPr="00EE0C8C" w:rsidRDefault="00EE0C8C" w:rsidP="00EE0C8C">
            <w:pPr>
              <w:spacing w:after="0" w:line="240" w:lineRule="auto"/>
              <w:rPr>
                <w:rFonts w:ascii="Arial" w:eastAsia="Times New Roman" w:hAnsi="Arial" w:cs="Arial"/>
                <w:b/>
                <w:bCs/>
                <w:color w:val="008080"/>
                <w:sz w:val="20"/>
                <w:szCs w:val="20"/>
                <w:lang w:eastAsia="pl-PL"/>
              </w:rPr>
            </w:pPr>
            <w:r w:rsidRPr="00EE0C8C">
              <w:rPr>
                <w:rFonts w:ascii="Arial" w:eastAsia="Times New Roman" w:hAnsi="Arial" w:cs="Arial"/>
                <w:b/>
                <w:bCs/>
                <w:color w:val="008080"/>
                <w:sz w:val="20"/>
                <w:szCs w:val="20"/>
                <w:lang w:eastAsia="pl-PL"/>
              </w:rPr>
              <w:t>Zasoby mieszkaniowe gmin (komunalne)</w:t>
            </w:r>
          </w:p>
        </w:tc>
      </w:tr>
      <w:tr w:rsidR="00EE0C8C" w:rsidRPr="00EE0C8C" w:rsidTr="00A76BDB">
        <w:trPr>
          <w:trHeight w:val="249"/>
        </w:trPr>
        <w:tc>
          <w:tcPr>
            <w:tcW w:w="9405" w:type="dxa"/>
            <w:gridSpan w:val="5"/>
            <w:tcBorders>
              <w:top w:val="single" w:sz="4" w:space="0" w:color="000000"/>
              <w:left w:val="single" w:sz="4" w:space="0" w:color="000000"/>
              <w:bottom w:val="single" w:sz="4" w:space="0" w:color="000000"/>
              <w:right w:val="single" w:sz="4" w:space="0" w:color="000000"/>
            </w:tcBorders>
            <w:shd w:val="clear" w:color="000000" w:fill="808080"/>
            <w:noWrap/>
            <w:vAlign w:val="center"/>
            <w:hideMark/>
          </w:tcPr>
          <w:p w:rsidR="00EE0C8C" w:rsidRPr="00EE0C8C" w:rsidRDefault="00EE0C8C" w:rsidP="00EE0C8C">
            <w:pPr>
              <w:spacing w:after="0" w:line="240" w:lineRule="auto"/>
              <w:rPr>
                <w:rFonts w:ascii="Arial" w:eastAsia="Times New Roman" w:hAnsi="Arial" w:cs="Arial"/>
                <w:color w:val="000000"/>
                <w:sz w:val="20"/>
                <w:szCs w:val="20"/>
                <w:lang w:eastAsia="pl-PL"/>
              </w:rPr>
            </w:pPr>
            <w:r w:rsidRPr="00EE0C8C">
              <w:rPr>
                <w:rFonts w:ascii="Arial" w:eastAsia="Times New Roman" w:hAnsi="Arial" w:cs="Arial"/>
                <w:color w:val="000000"/>
                <w:sz w:val="20"/>
                <w:szCs w:val="20"/>
                <w:lang w:eastAsia="pl-PL"/>
              </w:rPr>
              <w:t>mieszkania ogółem</w:t>
            </w:r>
          </w:p>
        </w:tc>
      </w:tr>
      <w:tr w:rsidR="00EE0C8C" w:rsidRPr="00EE0C8C" w:rsidTr="00A76BDB">
        <w:trPr>
          <w:trHeight w:val="249"/>
        </w:trPr>
        <w:tc>
          <w:tcPr>
            <w:tcW w:w="496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100" w:firstLine="200"/>
              <w:rPr>
                <w:rFonts w:ascii="Arial" w:eastAsia="Times New Roman" w:hAnsi="Arial" w:cs="Arial"/>
                <w:sz w:val="20"/>
                <w:szCs w:val="20"/>
                <w:lang w:eastAsia="pl-PL"/>
              </w:rPr>
            </w:pPr>
            <w:r w:rsidRPr="00EE0C8C">
              <w:rPr>
                <w:rFonts w:ascii="Arial" w:eastAsia="Times New Roman" w:hAnsi="Arial" w:cs="Arial"/>
                <w:sz w:val="20"/>
                <w:szCs w:val="20"/>
                <w:lang w:eastAsia="pl-PL"/>
              </w:rPr>
              <w:t>mieszkania</w:t>
            </w:r>
          </w:p>
        </w:tc>
        <w:tc>
          <w:tcPr>
            <w:tcW w:w="1587"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w:t>
            </w:r>
          </w:p>
        </w:tc>
        <w:tc>
          <w:tcPr>
            <w:tcW w:w="953"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w:t>
            </w:r>
          </w:p>
        </w:tc>
        <w:tc>
          <w:tcPr>
            <w:tcW w:w="953"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3</w:t>
            </w:r>
          </w:p>
        </w:tc>
        <w:tc>
          <w:tcPr>
            <w:tcW w:w="953"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w:t>
            </w:r>
          </w:p>
        </w:tc>
      </w:tr>
      <w:tr w:rsidR="00EE0C8C" w:rsidRPr="00EE0C8C" w:rsidTr="00A76BDB">
        <w:trPr>
          <w:trHeight w:val="249"/>
        </w:trPr>
        <w:tc>
          <w:tcPr>
            <w:tcW w:w="496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100" w:firstLine="200"/>
              <w:rPr>
                <w:rFonts w:ascii="Arial" w:eastAsia="Times New Roman" w:hAnsi="Arial" w:cs="Arial"/>
                <w:sz w:val="20"/>
                <w:szCs w:val="20"/>
                <w:lang w:eastAsia="pl-PL"/>
              </w:rPr>
            </w:pPr>
            <w:r w:rsidRPr="00EE0C8C">
              <w:rPr>
                <w:rFonts w:ascii="Arial" w:eastAsia="Times New Roman" w:hAnsi="Arial" w:cs="Arial"/>
                <w:sz w:val="20"/>
                <w:szCs w:val="20"/>
                <w:lang w:eastAsia="pl-PL"/>
              </w:rPr>
              <w:t>powierzchnia użytkowa mieszkań</w:t>
            </w:r>
          </w:p>
        </w:tc>
        <w:tc>
          <w:tcPr>
            <w:tcW w:w="1587"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m2</w:t>
            </w:r>
          </w:p>
        </w:tc>
        <w:tc>
          <w:tcPr>
            <w:tcW w:w="953"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w:t>
            </w:r>
          </w:p>
        </w:tc>
        <w:tc>
          <w:tcPr>
            <w:tcW w:w="953"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228</w:t>
            </w:r>
          </w:p>
        </w:tc>
        <w:tc>
          <w:tcPr>
            <w:tcW w:w="953"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w:t>
            </w:r>
          </w:p>
        </w:tc>
      </w:tr>
      <w:tr w:rsidR="00EE0C8C" w:rsidRPr="00EE0C8C" w:rsidTr="00A76BDB">
        <w:trPr>
          <w:trHeight w:val="249"/>
        </w:trPr>
        <w:tc>
          <w:tcPr>
            <w:tcW w:w="9405" w:type="dxa"/>
            <w:gridSpan w:val="5"/>
            <w:tcBorders>
              <w:top w:val="single" w:sz="4" w:space="0" w:color="000000"/>
              <w:left w:val="single" w:sz="4" w:space="0" w:color="000000"/>
              <w:bottom w:val="single" w:sz="4" w:space="0" w:color="000000"/>
              <w:right w:val="single" w:sz="4" w:space="0" w:color="000000"/>
            </w:tcBorders>
            <w:shd w:val="clear" w:color="000000" w:fill="33CCCC"/>
            <w:noWrap/>
            <w:vAlign w:val="center"/>
            <w:hideMark/>
          </w:tcPr>
          <w:p w:rsidR="00EE0C8C" w:rsidRPr="00EE0C8C" w:rsidRDefault="00EE0C8C" w:rsidP="00EE0C8C">
            <w:pPr>
              <w:spacing w:after="0" w:line="240" w:lineRule="auto"/>
              <w:rPr>
                <w:rFonts w:ascii="Arial" w:eastAsia="Times New Roman" w:hAnsi="Arial" w:cs="Arial"/>
                <w:b/>
                <w:bCs/>
                <w:color w:val="008080"/>
                <w:sz w:val="20"/>
                <w:szCs w:val="20"/>
                <w:lang w:eastAsia="pl-PL"/>
              </w:rPr>
            </w:pPr>
            <w:r w:rsidRPr="00EE0C8C">
              <w:rPr>
                <w:rFonts w:ascii="Arial" w:eastAsia="Times New Roman" w:hAnsi="Arial" w:cs="Arial"/>
                <w:b/>
                <w:bCs/>
                <w:color w:val="008080"/>
                <w:sz w:val="20"/>
                <w:szCs w:val="20"/>
                <w:lang w:eastAsia="pl-PL"/>
              </w:rPr>
              <w:t>Zasoby mieszkaniowe</w:t>
            </w:r>
          </w:p>
        </w:tc>
      </w:tr>
      <w:tr w:rsidR="00EE0C8C" w:rsidRPr="00EE0C8C" w:rsidTr="00A76BDB">
        <w:trPr>
          <w:trHeight w:val="249"/>
        </w:trPr>
        <w:tc>
          <w:tcPr>
            <w:tcW w:w="9405" w:type="dxa"/>
            <w:gridSpan w:val="5"/>
            <w:tcBorders>
              <w:top w:val="single" w:sz="4" w:space="0" w:color="000000"/>
              <w:left w:val="single" w:sz="4" w:space="0" w:color="000000"/>
              <w:bottom w:val="single" w:sz="4" w:space="0" w:color="000000"/>
              <w:right w:val="single" w:sz="4" w:space="0" w:color="000000"/>
            </w:tcBorders>
            <w:shd w:val="clear" w:color="000000" w:fill="808080"/>
            <w:noWrap/>
            <w:vAlign w:val="center"/>
            <w:hideMark/>
          </w:tcPr>
          <w:p w:rsidR="00EE0C8C" w:rsidRPr="00EE0C8C" w:rsidRDefault="00EE0C8C" w:rsidP="00EE0C8C">
            <w:pPr>
              <w:spacing w:after="0" w:line="240" w:lineRule="auto"/>
              <w:rPr>
                <w:rFonts w:ascii="Arial" w:eastAsia="Times New Roman" w:hAnsi="Arial" w:cs="Arial"/>
                <w:color w:val="000000"/>
                <w:sz w:val="20"/>
                <w:szCs w:val="20"/>
                <w:lang w:eastAsia="pl-PL"/>
              </w:rPr>
            </w:pPr>
            <w:r w:rsidRPr="00EE0C8C">
              <w:rPr>
                <w:rFonts w:ascii="Arial" w:eastAsia="Times New Roman" w:hAnsi="Arial" w:cs="Arial"/>
                <w:color w:val="000000"/>
                <w:sz w:val="20"/>
                <w:szCs w:val="20"/>
                <w:lang w:eastAsia="pl-PL"/>
              </w:rPr>
              <w:t>ogółem</w:t>
            </w:r>
          </w:p>
        </w:tc>
      </w:tr>
      <w:tr w:rsidR="00EE0C8C" w:rsidRPr="00EE0C8C" w:rsidTr="00A76BDB">
        <w:trPr>
          <w:trHeight w:val="249"/>
        </w:trPr>
        <w:tc>
          <w:tcPr>
            <w:tcW w:w="496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100" w:firstLine="200"/>
              <w:rPr>
                <w:rFonts w:ascii="Arial" w:eastAsia="Times New Roman" w:hAnsi="Arial" w:cs="Arial"/>
                <w:sz w:val="20"/>
                <w:szCs w:val="20"/>
                <w:lang w:eastAsia="pl-PL"/>
              </w:rPr>
            </w:pPr>
            <w:r w:rsidRPr="00EE0C8C">
              <w:rPr>
                <w:rFonts w:ascii="Arial" w:eastAsia="Times New Roman" w:hAnsi="Arial" w:cs="Arial"/>
                <w:sz w:val="20"/>
                <w:szCs w:val="20"/>
                <w:lang w:eastAsia="pl-PL"/>
              </w:rPr>
              <w:t>mieszkania</w:t>
            </w:r>
          </w:p>
        </w:tc>
        <w:tc>
          <w:tcPr>
            <w:tcW w:w="1587"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w:t>
            </w:r>
          </w:p>
        </w:tc>
        <w:tc>
          <w:tcPr>
            <w:tcW w:w="953"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2204</w:t>
            </w:r>
          </w:p>
        </w:tc>
        <w:tc>
          <w:tcPr>
            <w:tcW w:w="953"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2213</w:t>
            </w:r>
          </w:p>
        </w:tc>
        <w:tc>
          <w:tcPr>
            <w:tcW w:w="953"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2220</w:t>
            </w:r>
          </w:p>
        </w:tc>
      </w:tr>
      <w:tr w:rsidR="00EE0C8C" w:rsidRPr="00EE0C8C" w:rsidTr="00A76BDB">
        <w:trPr>
          <w:trHeight w:val="249"/>
        </w:trPr>
        <w:tc>
          <w:tcPr>
            <w:tcW w:w="496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100" w:firstLine="200"/>
              <w:rPr>
                <w:rFonts w:ascii="Arial" w:eastAsia="Times New Roman" w:hAnsi="Arial" w:cs="Arial"/>
                <w:sz w:val="20"/>
                <w:szCs w:val="20"/>
                <w:lang w:eastAsia="pl-PL"/>
              </w:rPr>
            </w:pPr>
            <w:r w:rsidRPr="00EE0C8C">
              <w:rPr>
                <w:rFonts w:ascii="Arial" w:eastAsia="Times New Roman" w:hAnsi="Arial" w:cs="Arial"/>
                <w:sz w:val="20"/>
                <w:szCs w:val="20"/>
                <w:lang w:eastAsia="pl-PL"/>
              </w:rPr>
              <w:t>izby</w:t>
            </w:r>
          </w:p>
        </w:tc>
        <w:tc>
          <w:tcPr>
            <w:tcW w:w="1587"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w:t>
            </w:r>
          </w:p>
        </w:tc>
        <w:tc>
          <w:tcPr>
            <w:tcW w:w="953"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9009</w:t>
            </w:r>
          </w:p>
        </w:tc>
        <w:tc>
          <w:tcPr>
            <w:tcW w:w="953"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9060</w:t>
            </w:r>
          </w:p>
        </w:tc>
        <w:tc>
          <w:tcPr>
            <w:tcW w:w="953"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9096</w:t>
            </w:r>
          </w:p>
        </w:tc>
      </w:tr>
      <w:tr w:rsidR="00EE0C8C" w:rsidRPr="00EE0C8C" w:rsidTr="00A76BDB">
        <w:trPr>
          <w:trHeight w:val="249"/>
        </w:trPr>
        <w:tc>
          <w:tcPr>
            <w:tcW w:w="496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100" w:firstLine="200"/>
              <w:rPr>
                <w:rFonts w:ascii="Arial" w:eastAsia="Times New Roman" w:hAnsi="Arial" w:cs="Arial"/>
                <w:sz w:val="20"/>
                <w:szCs w:val="20"/>
                <w:lang w:eastAsia="pl-PL"/>
              </w:rPr>
            </w:pPr>
            <w:r w:rsidRPr="00EE0C8C">
              <w:rPr>
                <w:rFonts w:ascii="Arial" w:eastAsia="Times New Roman" w:hAnsi="Arial" w:cs="Arial"/>
                <w:sz w:val="20"/>
                <w:szCs w:val="20"/>
                <w:lang w:eastAsia="pl-PL"/>
              </w:rPr>
              <w:t>powierzchnia użytkowa mieszkań</w:t>
            </w:r>
          </w:p>
        </w:tc>
        <w:tc>
          <w:tcPr>
            <w:tcW w:w="1587"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m2</w:t>
            </w:r>
          </w:p>
        </w:tc>
        <w:tc>
          <w:tcPr>
            <w:tcW w:w="953"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194924</w:t>
            </w:r>
          </w:p>
        </w:tc>
        <w:tc>
          <w:tcPr>
            <w:tcW w:w="953"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195958</w:t>
            </w:r>
          </w:p>
        </w:tc>
        <w:tc>
          <w:tcPr>
            <w:tcW w:w="953"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196891</w:t>
            </w:r>
          </w:p>
        </w:tc>
      </w:tr>
      <w:tr w:rsidR="00EE0C8C" w:rsidRPr="00EE0C8C" w:rsidTr="00A76BDB">
        <w:trPr>
          <w:trHeight w:val="249"/>
        </w:trPr>
        <w:tc>
          <w:tcPr>
            <w:tcW w:w="9405" w:type="dxa"/>
            <w:gridSpan w:val="5"/>
            <w:tcBorders>
              <w:top w:val="single" w:sz="4" w:space="0" w:color="000000"/>
              <w:left w:val="single" w:sz="4" w:space="0" w:color="000000"/>
              <w:bottom w:val="single" w:sz="4" w:space="0" w:color="000000"/>
              <w:right w:val="single" w:sz="4" w:space="0" w:color="000000"/>
            </w:tcBorders>
            <w:shd w:val="clear" w:color="000000" w:fill="808080"/>
            <w:noWrap/>
            <w:vAlign w:val="center"/>
            <w:hideMark/>
          </w:tcPr>
          <w:p w:rsidR="00EE0C8C" w:rsidRPr="00EE0C8C" w:rsidRDefault="00EE0C8C" w:rsidP="00EE0C8C">
            <w:pPr>
              <w:spacing w:after="0" w:line="240" w:lineRule="auto"/>
              <w:rPr>
                <w:rFonts w:ascii="Arial" w:eastAsia="Times New Roman" w:hAnsi="Arial" w:cs="Arial"/>
                <w:color w:val="000000"/>
                <w:sz w:val="20"/>
                <w:szCs w:val="20"/>
                <w:lang w:eastAsia="pl-PL"/>
              </w:rPr>
            </w:pPr>
            <w:r w:rsidRPr="00EE0C8C">
              <w:rPr>
                <w:rFonts w:ascii="Arial" w:eastAsia="Times New Roman" w:hAnsi="Arial" w:cs="Arial"/>
                <w:color w:val="000000"/>
                <w:sz w:val="20"/>
                <w:szCs w:val="20"/>
                <w:lang w:eastAsia="pl-PL"/>
              </w:rPr>
              <w:t>na wsi</w:t>
            </w:r>
          </w:p>
        </w:tc>
      </w:tr>
      <w:tr w:rsidR="00EE0C8C" w:rsidRPr="00EE0C8C" w:rsidTr="00A76BDB">
        <w:trPr>
          <w:trHeight w:val="249"/>
        </w:trPr>
        <w:tc>
          <w:tcPr>
            <w:tcW w:w="496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100" w:firstLine="200"/>
              <w:rPr>
                <w:rFonts w:ascii="Arial" w:eastAsia="Times New Roman" w:hAnsi="Arial" w:cs="Arial"/>
                <w:sz w:val="20"/>
                <w:szCs w:val="20"/>
                <w:lang w:eastAsia="pl-PL"/>
              </w:rPr>
            </w:pPr>
            <w:r w:rsidRPr="00EE0C8C">
              <w:rPr>
                <w:rFonts w:ascii="Arial" w:eastAsia="Times New Roman" w:hAnsi="Arial" w:cs="Arial"/>
                <w:sz w:val="20"/>
                <w:szCs w:val="20"/>
                <w:lang w:eastAsia="pl-PL"/>
              </w:rPr>
              <w:t>mieszkania</w:t>
            </w:r>
          </w:p>
        </w:tc>
        <w:tc>
          <w:tcPr>
            <w:tcW w:w="1587"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w:t>
            </w:r>
          </w:p>
        </w:tc>
        <w:tc>
          <w:tcPr>
            <w:tcW w:w="953"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2204</w:t>
            </w:r>
          </w:p>
        </w:tc>
        <w:tc>
          <w:tcPr>
            <w:tcW w:w="953"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2213</w:t>
            </w:r>
          </w:p>
        </w:tc>
        <w:tc>
          <w:tcPr>
            <w:tcW w:w="953"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2220</w:t>
            </w:r>
          </w:p>
        </w:tc>
      </w:tr>
      <w:tr w:rsidR="00EE0C8C" w:rsidRPr="00EE0C8C" w:rsidTr="00A76BDB">
        <w:trPr>
          <w:trHeight w:val="249"/>
        </w:trPr>
        <w:tc>
          <w:tcPr>
            <w:tcW w:w="496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100" w:firstLine="200"/>
              <w:rPr>
                <w:rFonts w:ascii="Arial" w:eastAsia="Times New Roman" w:hAnsi="Arial" w:cs="Arial"/>
                <w:sz w:val="20"/>
                <w:szCs w:val="20"/>
                <w:lang w:eastAsia="pl-PL"/>
              </w:rPr>
            </w:pPr>
            <w:r w:rsidRPr="00EE0C8C">
              <w:rPr>
                <w:rFonts w:ascii="Arial" w:eastAsia="Times New Roman" w:hAnsi="Arial" w:cs="Arial"/>
                <w:sz w:val="20"/>
                <w:szCs w:val="20"/>
                <w:lang w:eastAsia="pl-PL"/>
              </w:rPr>
              <w:t>izby</w:t>
            </w:r>
          </w:p>
        </w:tc>
        <w:tc>
          <w:tcPr>
            <w:tcW w:w="1587"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w:t>
            </w:r>
          </w:p>
        </w:tc>
        <w:tc>
          <w:tcPr>
            <w:tcW w:w="953"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9009</w:t>
            </w:r>
          </w:p>
        </w:tc>
        <w:tc>
          <w:tcPr>
            <w:tcW w:w="953"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9060</w:t>
            </w:r>
          </w:p>
        </w:tc>
        <w:tc>
          <w:tcPr>
            <w:tcW w:w="953"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9096</w:t>
            </w:r>
          </w:p>
        </w:tc>
      </w:tr>
      <w:tr w:rsidR="00EE0C8C" w:rsidRPr="00EE0C8C" w:rsidTr="00A76BDB">
        <w:trPr>
          <w:trHeight w:val="249"/>
        </w:trPr>
        <w:tc>
          <w:tcPr>
            <w:tcW w:w="496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100" w:firstLine="200"/>
              <w:rPr>
                <w:rFonts w:ascii="Arial" w:eastAsia="Times New Roman" w:hAnsi="Arial" w:cs="Arial"/>
                <w:sz w:val="20"/>
                <w:szCs w:val="20"/>
                <w:lang w:eastAsia="pl-PL"/>
              </w:rPr>
            </w:pPr>
            <w:r w:rsidRPr="00EE0C8C">
              <w:rPr>
                <w:rFonts w:ascii="Arial" w:eastAsia="Times New Roman" w:hAnsi="Arial" w:cs="Arial"/>
                <w:sz w:val="20"/>
                <w:szCs w:val="20"/>
                <w:lang w:eastAsia="pl-PL"/>
              </w:rPr>
              <w:t>powierzchnia użytkowa mieszkań</w:t>
            </w:r>
          </w:p>
        </w:tc>
        <w:tc>
          <w:tcPr>
            <w:tcW w:w="1587"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m2</w:t>
            </w:r>
          </w:p>
        </w:tc>
        <w:tc>
          <w:tcPr>
            <w:tcW w:w="953"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194924</w:t>
            </w:r>
          </w:p>
        </w:tc>
        <w:tc>
          <w:tcPr>
            <w:tcW w:w="953"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195958</w:t>
            </w:r>
          </w:p>
        </w:tc>
        <w:tc>
          <w:tcPr>
            <w:tcW w:w="953"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196891</w:t>
            </w:r>
          </w:p>
        </w:tc>
      </w:tr>
      <w:tr w:rsidR="00EE0C8C" w:rsidRPr="00EE0C8C" w:rsidTr="00A76BDB">
        <w:trPr>
          <w:trHeight w:val="249"/>
        </w:trPr>
        <w:tc>
          <w:tcPr>
            <w:tcW w:w="9405" w:type="dxa"/>
            <w:gridSpan w:val="5"/>
            <w:tcBorders>
              <w:top w:val="single" w:sz="4" w:space="0" w:color="000000"/>
              <w:left w:val="single" w:sz="4" w:space="0" w:color="000000"/>
              <w:bottom w:val="single" w:sz="4" w:space="0" w:color="000000"/>
              <w:right w:val="single" w:sz="4" w:space="0" w:color="000000"/>
            </w:tcBorders>
            <w:shd w:val="clear" w:color="000000" w:fill="33CCCC"/>
            <w:noWrap/>
            <w:vAlign w:val="center"/>
            <w:hideMark/>
          </w:tcPr>
          <w:p w:rsidR="00EE0C8C" w:rsidRPr="00EE0C8C" w:rsidRDefault="00EE0C8C" w:rsidP="00EE0C8C">
            <w:pPr>
              <w:spacing w:after="0" w:line="240" w:lineRule="auto"/>
              <w:rPr>
                <w:rFonts w:ascii="Arial" w:eastAsia="Times New Roman" w:hAnsi="Arial" w:cs="Arial"/>
                <w:b/>
                <w:bCs/>
                <w:color w:val="008080"/>
                <w:sz w:val="20"/>
                <w:szCs w:val="20"/>
                <w:lang w:eastAsia="pl-PL"/>
              </w:rPr>
            </w:pPr>
            <w:r w:rsidRPr="00EE0C8C">
              <w:rPr>
                <w:rFonts w:ascii="Arial" w:eastAsia="Times New Roman" w:hAnsi="Arial" w:cs="Arial"/>
                <w:b/>
                <w:bCs/>
                <w:color w:val="008080"/>
                <w:sz w:val="20"/>
                <w:szCs w:val="20"/>
                <w:lang w:eastAsia="pl-PL"/>
              </w:rPr>
              <w:t>Mieszkania niezamieszkane w zasobie gminy (pustostany)</w:t>
            </w:r>
          </w:p>
        </w:tc>
      </w:tr>
      <w:tr w:rsidR="00EE0C8C" w:rsidRPr="00EE0C8C" w:rsidTr="00A76BDB">
        <w:trPr>
          <w:trHeight w:val="249"/>
        </w:trPr>
        <w:tc>
          <w:tcPr>
            <w:tcW w:w="496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rPr>
                <w:rFonts w:ascii="Arial" w:eastAsia="Times New Roman" w:hAnsi="Arial" w:cs="Arial"/>
                <w:sz w:val="20"/>
                <w:szCs w:val="20"/>
                <w:lang w:eastAsia="pl-PL"/>
              </w:rPr>
            </w:pPr>
            <w:r w:rsidRPr="00EE0C8C">
              <w:rPr>
                <w:rFonts w:ascii="Arial" w:eastAsia="Times New Roman" w:hAnsi="Arial" w:cs="Arial"/>
                <w:sz w:val="20"/>
                <w:szCs w:val="20"/>
                <w:lang w:eastAsia="pl-PL"/>
              </w:rPr>
              <w:t>ogółem</w:t>
            </w:r>
          </w:p>
        </w:tc>
        <w:tc>
          <w:tcPr>
            <w:tcW w:w="1587"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w:t>
            </w:r>
          </w:p>
        </w:tc>
        <w:tc>
          <w:tcPr>
            <w:tcW w:w="953"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w:t>
            </w:r>
          </w:p>
        </w:tc>
        <w:tc>
          <w:tcPr>
            <w:tcW w:w="953"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w:t>
            </w:r>
          </w:p>
        </w:tc>
        <w:tc>
          <w:tcPr>
            <w:tcW w:w="953"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w:t>
            </w:r>
          </w:p>
        </w:tc>
      </w:tr>
      <w:tr w:rsidR="00EE0C8C" w:rsidRPr="00EE0C8C" w:rsidTr="00A76BDB">
        <w:trPr>
          <w:trHeight w:val="249"/>
        </w:trPr>
        <w:tc>
          <w:tcPr>
            <w:tcW w:w="9405" w:type="dxa"/>
            <w:gridSpan w:val="5"/>
            <w:tcBorders>
              <w:top w:val="single" w:sz="4" w:space="0" w:color="000000"/>
              <w:left w:val="single" w:sz="4" w:space="0" w:color="000000"/>
              <w:bottom w:val="single" w:sz="4" w:space="0" w:color="000000"/>
              <w:right w:val="single" w:sz="4" w:space="0" w:color="000000"/>
            </w:tcBorders>
            <w:shd w:val="clear" w:color="000000" w:fill="33CCCC"/>
            <w:noWrap/>
            <w:vAlign w:val="center"/>
            <w:hideMark/>
          </w:tcPr>
          <w:p w:rsidR="00EE0C8C" w:rsidRPr="00EE0C8C" w:rsidRDefault="00EE0C8C" w:rsidP="00EE0C8C">
            <w:pPr>
              <w:spacing w:after="0" w:line="240" w:lineRule="auto"/>
              <w:rPr>
                <w:rFonts w:ascii="Arial" w:eastAsia="Times New Roman" w:hAnsi="Arial" w:cs="Arial"/>
                <w:b/>
                <w:bCs/>
                <w:color w:val="008080"/>
                <w:sz w:val="20"/>
                <w:szCs w:val="20"/>
                <w:lang w:eastAsia="pl-PL"/>
              </w:rPr>
            </w:pPr>
            <w:r w:rsidRPr="00EE0C8C">
              <w:rPr>
                <w:rFonts w:ascii="Arial" w:eastAsia="Times New Roman" w:hAnsi="Arial" w:cs="Arial"/>
                <w:b/>
                <w:bCs/>
                <w:color w:val="008080"/>
                <w:sz w:val="20"/>
                <w:szCs w:val="20"/>
                <w:lang w:eastAsia="pl-PL"/>
              </w:rPr>
              <w:t>Budynki mieszkalne w gminie</w:t>
            </w:r>
          </w:p>
        </w:tc>
      </w:tr>
      <w:tr w:rsidR="00EE0C8C" w:rsidRPr="00EE0C8C" w:rsidTr="00A76BDB">
        <w:trPr>
          <w:trHeight w:val="249"/>
        </w:trPr>
        <w:tc>
          <w:tcPr>
            <w:tcW w:w="496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rPr>
                <w:rFonts w:ascii="Arial" w:eastAsia="Times New Roman" w:hAnsi="Arial" w:cs="Arial"/>
                <w:sz w:val="20"/>
                <w:szCs w:val="20"/>
                <w:lang w:eastAsia="pl-PL"/>
              </w:rPr>
            </w:pPr>
            <w:r w:rsidRPr="00EE0C8C">
              <w:rPr>
                <w:rFonts w:ascii="Arial" w:eastAsia="Times New Roman" w:hAnsi="Arial" w:cs="Arial"/>
                <w:sz w:val="20"/>
                <w:szCs w:val="20"/>
                <w:lang w:eastAsia="pl-PL"/>
              </w:rPr>
              <w:t>ogółem</w:t>
            </w:r>
          </w:p>
        </w:tc>
        <w:tc>
          <w:tcPr>
            <w:tcW w:w="1587"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w:t>
            </w:r>
          </w:p>
        </w:tc>
        <w:tc>
          <w:tcPr>
            <w:tcW w:w="953"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2174</w:t>
            </w:r>
          </w:p>
        </w:tc>
        <w:tc>
          <w:tcPr>
            <w:tcW w:w="953"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2182</w:t>
            </w:r>
          </w:p>
        </w:tc>
        <w:tc>
          <w:tcPr>
            <w:tcW w:w="953"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2189</w:t>
            </w:r>
          </w:p>
        </w:tc>
      </w:tr>
    </w:tbl>
    <w:p w:rsidR="00EE0C8C" w:rsidRPr="00EE0C8C" w:rsidRDefault="00EE0C8C" w:rsidP="00EE0C8C">
      <w:pPr>
        <w:jc w:val="center"/>
        <w:rPr>
          <w:rFonts w:ascii="Calibri" w:eastAsia="Times New Roman" w:hAnsi="Calibri" w:cs="Times New Roman"/>
          <w:i/>
          <w:lang w:eastAsia="pl-PL"/>
        </w:rPr>
      </w:pPr>
      <w:r w:rsidRPr="00EE0C8C">
        <w:rPr>
          <w:rFonts w:ascii="Calibri" w:eastAsia="Times New Roman" w:hAnsi="Calibri" w:cs="Times New Roman"/>
          <w:i/>
          <w:lang w:eastAsia="pl-PL"/>
        </w:rPr>
        <w:t>(Źródło: Bank Danych Lokalnych)</w:t>
      </w:r>
    </w:p>
    <w:p w:rsidR="00EE0C8C" w:rsidRPr="00EE0C8C" w:rsidRDefault="00EE0C8C" w:rsidP="00A76BDB">
      <w:pPr>
        <w:pStyle w:val="Nagwek2"/>
        <w:rPr>
          <w:lang w:eastAsia="pl-PL"/>
        </w:rPr>
      </w:pPr>
      <w:bookmarkStart w:id="45" w:name="_Toc439077755"/>
      <w:bookmarkStart w:id="46" w:name="_Toc449963538"/>
      <w:bookmarkStart w:id="47" w:name="_Toc450562480"/>
      <w:r w:rsidRPr="00EE0C8C">
        <w:rPr>
          <w:lang w:eastAsia="pl-PL"/>
        </w:rPr>
        <w:t>2.1.6. ZASOBY INFRASTRUKTURY TECHNICZNEJ GMINY MIRZEC</w:t>
      </w:r>
      <w:bookmarkEnd w:id="45"/>
      <w:bookmarkEnd w:id="46"/>
      <w:bookmarkEnd w:id="47"/>
      <w:r w:rsidRPr="00EE0C8C">
        <w:rPr>
          <w:lang w:eastAsia="pl-PL"/>
        </w:rPr>
        <w:tab/>
      </w:r>
    </w:p>
    <w:p w:rsidR="00EE0C8C" w:rsidRPr="00EE0C8C" w:rsidRDefault="00EE0C8C" w:rsidP="00EE0C8C">
      <w:pPr>
        <w:keepNext/>
        <w:keepLines/>
        <w:spacing w:before="200" w:after="0"/>
        <w:outlineLvl w:val="2"/>
        <w:rPr>
          <w:rFonts w:ascii="Cambria" w:eastAsia="Times New Roman" w:hAnsi="Cambria" w:cs="Times New Roman"/>
          <w:b/>
          <w:bCs/>
          <w:color w:val="4F81BD"/>
          <w:lang w:eastAsia="pl-PL"/>
        </w:rPr>
      </w:pPr>
    </w:p>
    <w:p w:rsidR="00EE0C8C" w:rsidRPr="00EE0C8C" w:rsidRDefault="00EE0C8C" w:rsidP="00EE0C8C">
      <w:pPr>
        <w:jc w:val="both"/>
        <w:rPr>
          <w:rFonts w:ascii="Calibri" w:eastAsia="Times New Roman" w:hAnsi="Calibri" w:cs="Times New Roman"/>
          <w:lang w:eastAsia="pl-PL"/>
        </w:rPr>
      </w:pPr>
      <w:r w:rsidRPr="00EE0C8C">
        <w:rPr>
          <w:rFonts w:ascii="Calibri" w:eastAsia="Times New Roman" w:hAnsi="Calibri" w:cs="Times New Roman"/>
          <w:lang w:eastAsia="pl-PL"/>
        </w:rPr>
        <w:t>Gmina Mirzec posiada wodociągi, sieć telefoniczną, gazową, dobrze rozwiniętą sieć drogową, oświetlenie drogowe.</w:t>
      </w:r>
    </w:p>
    <w:tbl>
      <w:tblPr>
        <w:tblW w:w="9480" w:type="dxa"/>
        <w:tblInd w:w="55" w:type="dxa"/>
        <w:tblCellMar>
          <w:left w:w="70" w:type="dxa"/>
          <w:right w:w="70" w:type="dxa"/>
        </w:tblCellMar>
        <w:tblLook w:val="04A0" w:firstRow="1" w:lastRow="0" w:firstColumn="1" w:lastColumn="0" w:noHBand="0" w:noVBand="1"/>
      </w:tblPr>
      <w:tblGrid>
        <w:gridCol w:w="5000"/>
        <w:gridCol w:w="1600"/>
        <w:gridCol w:w="960"/>
        <w:gridCol w:w="960"/>
        <w:gridCol w:w="960"/>
      </w:tblGrid>
      <w:tr w:rsidR="00EE0C8C" w:rsidRPr="00EE0C8C" w:rsidTr="00A76BDB">
        <w:trPr>
          <w:trHeight w:val="255"/>
        </w:trPr>
        <w:tc>
          <w:tcPr>
            <w:tcW w:w="5000" w:type="dxa"/>
            <w:tcBorders>
              <w:top w:val="single" w:sz="4" w:space="0" w:color="000000"/>
              <w:left w:val="single" w:sz="4" w:space="0" w:color="000000"/>
              <w:bottom w:val="single" w:sz="4" w:space="0" w:color="000000"/>
              <w:right w:val="single" w:sz="4" w:space="0" w:color="000000"/>
            </w:tcBorders>
            <w:shd w:val="clear" w:color="000000" w:fill="008080"/>
            <w:noWrap/>
            <w:vAlign w:val="center"/>
            <w:hideMark/>
          </w:tcPr>
          <w:p w:rsidR="00EE0C8C" w:rsidRPr="00EE0C8C" w:rsidRDefault="00EE0C8C" w:rsidP="00EE0C8C">
            <w:pPr>
              <w:spacing w:after="0" w:line="240" w:lineRule="auto"/>
              <w:jc w:val="center"/>
              <w:rPr>
                <w:rFonts w:ascii="Arial" w:eastAsia="Times New Roman" w:hAnsi="Arial" w:cs="Arial"/>
                <w:b/>
                <w:bCs/>
                <w:color w:val="FFFFFF"/>
                <w:sz w:val="20"/>
                <w:szCs w:val="20"/>
                <w:lang w:eastAsia="pl-PL"/>
              </w:rPr>
            </w:pPr>
            <w:r w:rsidRPr="00EE0C8C">
              <w:rPr>
                <w:rFonts w:ascii="Arial" w:eastAsia="Times New Roman" w:hAnsi="Arial" w:cs="Arial"/>
                <w:b/>
                <w:bCs/>
                <w:color w:val="FFFFFF"/>
                <w:sz w:val="20"/>
                <w:szCs w:val="20"/>
                <w:lang w:eastAsia="pl-PL"/>
              </w:rPr>
              <w:t> </w:t>
            </w:r>
          </w:p>
        </w:tc>
        <w:tc>
          <w:tcPr>
            <w:tcW w:w="1600" w:type="dxa"/>
            <w:tcBorders>
              <w:top w:val="single" w:sz="4" w:space="0" w:color="000000"/>
              <w:left w:val="nil"/>
              <w:bottom w:val="single" w:sz="4" w:space="0" w:color="000000"/>
              <w:right w:val="single" w:sz="4" w:space="0" w:color="000000"/>
            </w:tcBorders>
            <w:shd w:val="clear" w:color="000000" w:fill="008080"/>
            <w:noWrap/>
            <w:vAlign w:val="center"/>
            <w:hideMark/>
          </w:tcPr>
          <w:p w:rsidR="00EE0C8C" w:rsidRPr="00EE0C8C" w:rsidRDefault="00EE0C8C" w:rsidP="00EE0C8C">
            <w:pPr>
              <w:spacing w:after="0" w:line="240" w:lineRule="auto"/>
              <w:jc w:val="center"/>
              <w:rPr>
                <w:rFonts w:ascii="Arial" w:eastAsia="Times New Roman" w:hAnsi="Arial" w:cs="Arial"/>
                <w:b/>
                <w:bCs/>
                <w:color w:val="FFFFFF"/>
                <w:sz w:val="20"/>
                <w:szCs w:val="20"/>
                <w:lang w:eastAsia="pl-PL"/>
              </w:rPr>
            </w:pPr>
            <w:r w:rsidRPr="00EE0C8C">
              <w:rPr>
                <w:rFonts w:ascii="Arial" w:eastAsia="Times New Roman" w:hAnsi="Arial" w:cs="Arial"/>
                <w:b/>
                <w:bCs/>
                <w:color w:val="FFFFFF"/>
                <w:sz w:val="20"/>
                <w:szCs w:val="20"/>
                <w:lang w:eastAsia="pl-PL"/>
              </w:rPr>
              <w:t>Jednostka miary</w:t>
            </w:r>
          </w:p>
        </w:tc>
        <w:tc>
          <w:tcPr>
            <w:tcW w:w="960" w:type="dxa"/>
            <w:tcBorders>
              <w:top w:val="single" w:sz="4" w:space="0" w:color="000000"/>
              <w:left w:val="nil"/>
              <w:bottom w:val="single" w:sz="4" w:space="0" w:color="000000"/>
              <w:right w:val="single" w:sz="4" w:space="0" w:color="000000"/>
            </w:tcBorders>
            <w:shd w:val="clear" w:color="000000" w:fill="008080"/>
            <w:noWrap/>
            <w:vAlign w:val="center"/>
            <w:hideMark/>
          </w:tcPr>
          <w:p w:rsidR="00EE0C8C" w:rsidRPr="00EE0C8C" w:rsidRDefault="00EE0C8C" w:rsidP="00EE0C8C">
            <w:pPr>
              <w:spacing w:after="0" w:line="240" w:lineRule="auto"/>
              <w:jc w:val="center"/>
              <w:rPr>
                <w:rFonts w:ascii="Arial" w:eastAsia="Times New Roman" w:hAnsi="Arial" w:cs="Arial"/>
                <w:b/>
                <w:bCs/>
                <w:color w:val="FFFFFF"/>
                <w:sz w:val="20"/>
                <w:szCs w:val="20"/>
                <w:lang w:eastAsia="pl-PL"/>
              </w:rPr>
            </w:pPr>
            <w:r w:rsidRPr="00EE0C8C">
              <w:rPr>
                <w:rFonts w:ascii="Arial" w:eastAsia="Times New Roman" w:hAnsi="Arial" w:cs="Arial"/>
                <w:b/>
                <w:bCs/>
                <w:color w:val="FFFFFF"/>
                <w:sz w:val="20"/>
                <w:szCs w:val="20"/>
                <w:lang w:eastAsia="pl-PL"/>
              </w:rPr>
              <w:t>2012</w:t>
            </w:r>
          </w:p>
        </w:tc>
        <w:tc>
          <w:tcPr>
            <w:tcW w:w="960" w:type="dxa"/>
            <w:tcBorders>
              <w:top w:val="single" w:sz="4" w:space="0" w:color="000000"/>
              <w:left w:val="nil"/>
              <w:bottom w:val="single" w:sz="4" w:space="0" w:color="000000"/>
              <w:right w:val="single" w:sz="4" w:space="0" w:color="000000"/>
            </w:tcBorders>
            <w:shd w:val="clear" w:color="000000" w:fill="008080"/>
            <w:noWrap/>
            <w:vAlign w:val="center"/>
            <w:hideMark/>
          </w:tcPr>
          <w:p w:rsidR="00EE0C8C" w:rsidRPr="00EE0C8C" w:rsidRDefault="00EE0C8C" w:rsidP="00EE0C8C">
            <w:pPr>
              <w:spacing w:after="0" w:line="240" w:lineRule="auto"/>
              <w:jc w:val="center"/>
              <w:rPr>
                <w:rFonts w:ascii="Arial" w:eastAsia="Times New Roman" w:hAnsi="Arial" w:cs="Arial"/>
                <w:b/>
                <w:bCs/>
                <w:color w:val="FFFFFF"/>
                <w:sz w:val="20"/>
                <w:szCs w:val="20"/>
                <w:lang w:eastAsia="pl-PL"/>
              </w:rPr>
            </w:pPr>
            <w:r w:rsidRPr="00EE0C8C">
              <w:rPr>
                <w:rFonts w:ascii="Arial" w:eastAsia="Times New Roman" w:hAnsi="Arial" w:cs="Arial"/>
                <w:b/>
                <w:bCs/>
                <w:color w:val="FFFFFF"/>
                <w:sz w:val="20"/>
                <w:szCs w:val="20"/>
                <w:lang w:eastAsia="pl-PL"/>
              </w:rPr>
              <w:t>2013</w:t>
            </w:r>
          </w:p>
        </w:tc>
        <w:tc>
          <w:tcPr>
            <w:tcW w:w="960" w:type="dxa"/>
            <w:tcBorders>
              <w:top w:val="single" w:sz="4" w:space="0" w:color="000000"/>
              <w:left w:val="nil"/>
              <w:bottom w:val="single" w:sz="4" w:space="0" w:color="000000"/>
              <w:right w:val="single" w:sz="4" w:space="0" w:color="000000"/>
            </w:tcBorders>
            <w:shd w:val="clear" w:color="000000" w:fill="008080"/>
            <w:noWrap/>
            <w:vAlign w:val="center"/>
            <w:hideMark/>
          </w:tcPr>
          <w:p w:rsidR="00EE0C8C" w:rsidRPr="00EE0C8C" w:rsidRDefault="00EE0C8C" w:rsidP="00EE0C8C">
            <w:pPr>
              <w:spacing w:after="0" w:line="240" w:lineRule="auto"/>
              <w:jc w:val="center"/>
              <w:rPr>
                <w:rFonts w:ascii="Arial" w:eastAsia="Times New Roman" w:hAnsi="Arial" w:cs="Arial"/>
                <w:b/>
                <w:bCs/>
                <w:color w:val="FFFFFF"/>
                <w:sz w:val="20"/>
                <w:szCs w:val="20"/>
                <w:lang w:eastAsia="pl-PL"/>
              </w:rPr>
            </w:pPr>
            <w:r w:rsidRPr="00EE0C8C">
              <w:rPr>
                <w:rFonts w:ascii="Arial" w:eastAsia="Times New Roman" w:hAnsi="Arial" w:cs="Arial"/>
                <w:b/>
                <w:bCs/>
                <w:color w:val="FFFFFF"/>
                <w:sz w:val="20"/>
                <w:szCs w:val="20"/>
                <w:lang w:eastAsia="pl-PL"/>
              </w:rPr>
              <w:t>2014</w:t>
            </w:r>
          </w:p>
        </w:tc>
      </w:tr>
      <w:tr w:rsidR="00EE0C8C" w:rsidRPr="00EE0C8C" w:rsidTr="00A76BDB">
        <w:trPr>
          <w:trHeight w:val="255"/>
        </w:trPr>
        <w:tc>
          <w:tcPr>
            <w:tcW w:w="9480" w:type="dxa"/>
            <w:gridSpan w:val="5"/>
            <w:tcBorders>
              <w:top w:val="single" w:sz="4" w:space="0" w:color="000000"/>
              <w:left w:val="single" w:sz="4" w:space="0" w:color="000000"/>
              <w:bottom w:val="single" w:sz="4" w:space="0" w:color="000000"/>
              <w:right w:val="single" w:sz="4" w:space="0" w:color="000000"/>
            </w:tcBorders>
            <w:shd w:val="clear" w:color="000000" w:fill="33CCCC"/>
            <w:noWrap/>
            <w:vAlign w:val="center"/>
            <w:hideMark/>
          </w:tcPr>
          <w:p w:rsidR="00EE0C8C" w:rsidRPr="00EE0C8C" w:rsidRDefault="00EE0C8C" w:rsidP="00EE0C8C">
            <w:pPr>
              <w:spacing w:after="0" w:line="240" w:lineRule="auto"/>
              <w:rPr>
                <w:rFonts w:ascii="Arial" w:eastAsia="Times New Roman" w:hAnsi="Arial" w:cs="Arial"/>
                <w:b/>
                <w:bCs/>
                <w:color w:val="008080"/>
                <w:sz w:val="20"/>
                <w:szCs w:val="20"/>
                <w:lang w:eastAsia="pl-PL"/>
              </w:rPr>
            </w:pPr>
            <w:r w:rsidRPr="00EE0C8C">
              <w:rPr>
                <w:rFonts w:ascii="Arial" w:eastAsia="Times New Roman" w:hAnsi="Arial" w:cs="Arial"/>
                <w:b/>
                <w:bCs/>
                <w:color w:val="008080"/>
                <w:sz w:val="20"/>
                <w:szCs w:val="20"/>
                <w:lang w:eastAsia="pl-PL"/>
              </w:rPr>
              <w:t>Mieszkania wyposażone w instalacje techniczno-sanitarne</w:t>
            </w:r>
          </w:p>
        </w:tc>
      </w:tr>
      <w:tr w:rsidR="00EE0C8C" w:rsidRPr="00EE0C8C" w:rsidTr="00A76BDB">
        <w:trPr>
          <w:trHeight w:val="255"/>
        </w:trPr>
        <w:tc>
          <w:tcPr>
            <w:tcW w:w="9480" w:type="dxa"/>
            <w:gridSpan w:val="5"/>
            <w:tcBorders>
              <w:top w:val="single" w:sz="4" w:space="0" w:color="000000"/>
              <w:left w:val="single" w:sz="4" w:space="0" w:color="000000"/>
              <w:bottom w:val="single" w:sz="4" w:space="0" w:color="000000"/>
              <w:right w:val="single" w:sz="4" w:space="0" w:color="000000"/>
            </w:tcBorders>
            <w:shd w:val="clear" w:color="000000" w:fill="808080"/>
            <w:noWrap/>
            <w:vAlign w:val="center"/>
            <w:hideMark/>
          </w:tcPr>
          <w:p w:rsidR="00EE0C8C" w:rsidRPr="00EE0C8C" w:rsidRDefault="00EE0C8C" w:rsidP="00EE0C8C">
            <w:pPr>
              <w:spacing w:after="0" w:line="240" w:lineRule="auto"/>
              <w:rPr>
                <w:rFonts w:ascii="Arial" w:eastAsia="Times New Roman" w:hAnsi="Arial" w:cs="Arial"/>
                <w:color w:val="000000"/>
                <w:sz w:val="20"/>
                <w:szCs w:val="20"/>
                <w:lang w:eastAsia="pl-PL"/>
              </w:rPr>
            </w:pPr>
            <w:r w:rsidRPr="00EE0C8C">
              <w:rPr>
                <w:rFonts w:ascii="Arial" w:eastAsia="Times New Roman" w:hAnsi="Arial" w:cs="Arial"/>
                <w:color w:val="000000"/>
                <w:sz w:val="20"/>
                <w:szCs w:val="20"/>
                <w:lang w:eastAsia="pl-PL"/>
              </w:rPr>
              <w:t>ogółem</w:t>
            </w:r>
          </w:p>
        </w:tc>
      </w:tr>
      <w:tr w:rsidR="00EE0C8C" w:rsidRPr="00EE0C8C" w:rsidTr="00A76BDB">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100" w:firstLine="200"/>
              <w:rPr>
                <w:rFonts w:ascii="Arial" w:eastAsia="Times New Roman" w:hAnsi="Arial" w:cs="Arial"/>
                <w:sz w:val="20"/>
                <w:szCs w:val="20"/>
                <w:lang w:eastAsia="pl-PL"/>
              </w:rPr>
            </w:pPr>
            <w:r w:rsidRPr="00EE0C8C">
              <w:rPr>
                <w:rFonts w:ascii="Arial" w:eastAsia="Times New Roman" w:hAnsi="Arial" w:cs="Arial"/>
                <w:sz w:val="20"/>
                <w:szCs w:val="20"/>
                <w:lang w:eastAsia="pl-PL"/>
              </w:rPr>
              <w:t>wodociąg</w:t>
            </w:r>
          </w:p>
        </w:tc>
        <w:tc>
          <w:tcPr>
            <w:tcW w:w="1600"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1980</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1989</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1996</w:t>
            </w:r>
          </w:p>
        </w:tc>
      </w:tr>
      <w:tr w:rsidR="00EE0C8C" w:rsidRPr="00EE0C8C" w:rsidTr="00A76BDB">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100" w:firstLine="200"/>
              <w:rPr>
                <w:rFonts w:ascii="Arial" w:eastAsia="Times New Roman" w:hAnsi="Arial" w:cs="Arial"/>
                <w:sz w:val="20"/>
                <w:szCs w:val="20"/>
                <w:lang w:eastAsia="pl-PL"/>
              </w:rPr>
            </w:pPr>
            <w:r w:rsidRPr="00EE0C8C">
              <w:rPr>
                <w:rFonts w:ascii="Arial" w:eastAsia="Times New Roman" w:hAnsi="Arial" w:cs="Arial"/>
                <w:sz w:val="20"/>
                <w:szCs w:val="20"/>
                <w:lang w:eastAsia="pl-PL"/>
              </w:rPr>
              <w:t>ustęp spłukiwany</w:t>
            </w:r>
          </w:p>
        </w:tc>
        <w:tc>
          <w:tcPr>
            <w:tcW w:w="1600"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1787</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1796</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1803</w:t>
            </w:r>
          </w:p>
        </w:tc>
      </w:tr>
      <w:tr w:rsidR="00EE0C8C" w:rsidRPr="00EE0C8C" w:rsidTr="00A76BDB">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100" w:firstLine="200"/>
              <w:rPr>
                <w:rFonts w:ascii="Arial" w:eastAsia="Times New Roman" w:hAnsi="Arial" w:cs="Arial"/>
                <w:sz w:val="20"/>
                <w:szCs w:val="20"/>
                <w:lang w:eastAsia="pl-PL"/>
              </w:rPr>
            </w:pPr>
            <w:r w:rsidRPr="00EE0C8C">
              <w:rPr>
                <w:rFonts w:ascii="Arial" w:eastAsia="Times New Roman" w:hAnsi="Arial" w:cs="Arial"/>
                <w:sz w:val="20"/>
                <w:szCs w:val="20"/>
                <w:lang w:eastAsia="pl-PL"/>
              </w:rPr>
              <w:t>łazienka</w:t>
            </w:r>
          </w:p>
        </w:tc>
        <w:tc>
          <w:tcPr>
            <w:tcW w:w="1600"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1703</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1712</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1719</w:t>
            </w:r>
          </w:p>
        </w:tc>
      </w:tr>
      <w:tr w:rsidR="00EE0C8C" w:rsidRPr="00EE0C8C" w:rsidTr="00A76BDB">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100" w:firstLine="200"/>
              <w:rPr>
                <w:rFonts w:ascii="Arial" w:eastAsia="Times New Roman" w:hAnsi="Arial" w:cs="Arial"/>
                <w:sz w:val="20"/>
                <w:szCs w:val="20"/>
                <w:lang w:eastAsia="pl-PL"/>
              </w:rPr>
            </w:pPr>
            <w:r w:rsidRPr="00EE0C8C">
              <w:rPr>
                <w:rFonts w:ascii="Arial" w:eastAsia="Times New Roman" w:hAnsi="Arial" w:cs="Arial"/>
                <w:sz w:val="20"/>
                <w:szCs w:val="20"/>
                <w:lang w:eastAsia="pl-PL"/>
              </w:rPr>
              <w:t>centralne ogrzewanie</w:t>
            </w:r>
          </w:p>
        </w:tc>
        <w:tc>
          <w:tcPr>
            <w:tcW w:w="1600"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1663</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1672</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1679</w:t>
            </w:r>
          </w:p>
        </w:tc>
      </w:tr>
      <w:tr w:rsidR="00EE0C8C" w:rsidRPr="00EE0C8C" w:rsidTr="00A76BDB">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100" w:firstLine="200"/>
              <w:rPr>
                <w:rFonts w:ascii="Arial" w:eastAsia="Times New Roman" w:hAnsi="Arial" w:cs="Arial"/>
                <w:sz w:val="20"/>
                <w:szCs w:val="20"/>
                <w:lang w:eastAsia="pl-PL"/>
              </w:rPr>
            </w:pPr>
            <w:r w:rsidRPr="00EE0C8C">
              <w:rPr>
                <w:rFonts w:ascii="Arial" w:eastAsia="Times New Roman" w:hAnsi="Arial" w:cs="Arial"/>
                <w:sz w:val="20"/>
                <w:szCs w:val="20"/>
                <w:lang w:eastAsia="pl-PL"/>
              </w:rPr>
              <w:t>gaz sieciowy</w:t>
            </w:r>
          </w:p>
        </w:tc>
        <w:tc>
          <w:tcPr>
            <w:tcW w:w="1600"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441</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443</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445</w:t>
            </w:r>
          </w:p>
        </w:tc>
      </w:tr>
      <w:tr w:rsidR="00EE0C8C" w:rsidRPr="00EE0C8C" w:rsidTr="00A76BDB">
        <w:trPr>
          <w:trHeight w:val="255"/>
        </w:trPr>
        <w:tc>
          <w:tcPr>
            <w:tcW w:w="9480" w:type="dxa"/>
            <w:gridSpan w:val="5"/>
            <w:tcBorders>
              <w:top w:val="single" w:sz="4" w:space="0" w:color="000000"/>
              <w:left w:val="single" w:sz="4" w:space="0" w:color="000000"/>
              <w:bottom w:val="single" w:sz="4" w:space="0" w:color="000000"/>
              <w:right w:val="single" w:sz="4" w:space="0" w:color="000000"/>
            </w:tcBorders>
            <w:shd w:val="clear" w:color="000000" w:fill="808080"/>
            <w:noWrap/>
            <w:vAlign w:val="center"/>
            <w:hideMark/>
          </w:tcPr>
          <w:p w:rsidR="00EE0C8C" w:rsidRPr="00EE0C8C" w:rsidRDefault="00EE0C8C" w:rsidP="00EE0C8C">
            <w:pPr>
              <w:spacing w:after="0" w:line="240" w:lineRule="auto"/>
              <w:rPr>
                <w:rFonts w:ascii="Arial" w:eastAsia="Times New Roman" w:hAnsi="Arial" w:cs="Arial"/>
                <w:color w:val="000000"/>
                <w:sz w:val="20"/>
                <w:szCs w:val="20"/>
                <w:lang w:eastAsia="pl-PL"/>
              </w:rPr>
            </w:pPr>
            <w:r w:rsidRPr="00EE0C8C">
              <w:rPr>
                <w:rFonts w:ascii="Arial" w:eastAsia="Times New Roman" w:hAnsi="Arial" w:cs="Arial"/>
                <w:color w:val="000000"/>
                <w:sz w:val="20"/>
                <w:szCs w:val="20"/>
                <w:lang w:eastAsia="pl-PL"/>
              </w:rPr>
              <w:t>na wsi</w:t>
            </w:r>
          </w:p>
        </w:tc>
      </w:tr>
      <w:tr w:rsidR="00EE0C8C" w:rsidRPr="00EE0C8C" w:rsidTr="00A76BDB">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100" w:firstLine="200"/>
              <w:rPr>
                <w:rFonts w:ascii="Arial" w:eastAsia="Times New Roman" w:hAnsi="Arial" w:cs="Arial"/>
                <w:sz w:val="20"/>
                <w:szCs w:val="20"/>
                <w:lang w:eastAsia="pl-PL"/>
              </w:rPr>
            </w:pPr>
            <w:r w:rsidRPr="00EE0C8C">
              <w:rPr>
                <w:rFonts w:ascii="Arial" w:eastAsia="Times New Roman" w:hAnsi="Arial" w:cs="Arial"/>
                <w:sz w:val="20"/>
                <w:szCs w:val="20"/>
                <w:lang w:eastAsia="pl-PL"/>
              </w:rPr>
              <w:t>wodociąg</w:t>
            </w:r>
          </w:p>
        </w:tc>
        <w:tc>
          <w:tcPr>
            <w:tcW w:w="1600"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1980</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1989</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1996</w:t>
            </w:r>
          </w:p>
        </w:tc>
      </w:tr>
      <w:tr w:rsidR="00EE0C8C" w:rsidRPr="00EE0C8C" w:rsidTr="00A76BDB">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100" w:firstLine="200"/>
              <w:rPr>
                <w:rFonts w:ascii="Arial" w:eastAsia="Times New Roman" w:hAnsi="Arial" w:cs="Arial"/>
                <w:sz w:val="20"/>
                <w:szCs w:val="20"/>
                <w:lang w:eastAsia="pl-PL"/>
              </w:rPr>
            </w:pPr>
            <w:r w:rsidRPr="00EE0C8C">
              <w:rPr>
                <w:rFonts w:ascii="Arial" w:eastAsia="Times New Roman" w:hAnsi="Arial" w:cs="Arial"/>
                <w:sz w:val="20"/>
                <w:szCs w:val="20"/>
                <w:lang w:eastAsia="pl-PL"/>
              </w:rPr>
              <w:t>ustęp spłukiwany</w:t>
            </w:r>
          </w:p>
        </w:tc>
        <w:tc>
          <w:tcPr>
            <w:tcW w:w="1600"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1787</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1796</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1803</w:t>
            </w:r>
          </w:p>
        </w:tc>
      </w:tr>
      <w:tr w:rsidR="00EE0C8C" w:rsidRPr="00EE0C8C" w:rsidTr="00A76BDB">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100" w:firstLine="200"/>
              <w:rPr>
                <w:rFonts w:ascii="Arial" w:eastAsia="Times New Roman" w:hAnsi="Arial" w:cs="Arial"/>
                <w:sz w:val="20"/>
                <w:szCs w:val="20"/>
                <w:lang w:eastAsia="pl-PL"/>
              </w:rPr>
            </w:pPr>
            <w:r w:rsidRPr="00EE0C8C">
              <w:rPr>
                <w:rFonts w:ascii="Arial" w:eastAsia="Times New Roman" w:hAnsi="Arial" w:cs="Arial"/>
                <w:sz w:val="20"/>
                <w:szCs w:val="20"/>
                <w:lang w:eastAsia="pl-PL"/>
              </w:rPr>
              <w:t>łazienka</w:t>
            </w:r>
          </w:p>
        </w:tc>
        <w:tc>
          <w:tcPr>
            <w:tcW w:w="1600"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1703</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1712</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1719</w:t>
            </w:r>
          </w:p>
        </w:tc>
      </w:tr>
      <w:tr w:rsidR="00EE0C8C" w:rsidRPr="00EE0C8C" w:rsidTr="00A76BDB">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100" w:firstLine="200"/>
              <w:rPr>
                <w:rFonts w:ascii="Arial" w:eastAsia="Times New Roman" w:hAnsi="Arial" w:cs="Arial"/>
                <w:sz w:val="20"/>
                <w:szCs w:val="20"/>
                <w:lang w:eastAsia="pl-PL"/>
              </w:rPr>
            </w:pPr>
            <w:r w:rsidRPr="00EE0C8C">
              <w:rPr>
                <w:rFonts w:ascii="Arial" w:eastAsia="Times New Roman" w:hAnsi="Arial" w:cs="Arial"/>
                <w:sz w:val="20"/>
                <w:szCs w:val="20"/>
                <w:lang w:eastAsia="pl-PL"/>
              </w:rPr>
              <w:t>centralne ogrzewanie</w:t>
            </w:r>
          </w:p>
        </w:tc>
        <w:tc>
          <w:tcPr>
            <w:tcW w:w="1600"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1663</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1672</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1679</w:t>
            </w:r>
          </w:p>
        </w:tc>
      </w:tr>
      <w:tr w:rsidR="00EE0C8C" w:rsidRPr="00EE0C8C" w:rsidTr="00A76BDB">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100" w:firstLine="200"/>
              <w:rPr>
                <w:rFonts w:ascii="Arial" w:eastAsia="Times New Roman" w:hAnsi="Arial" w:cs="Arial"/>
                <w:sz w:val="20"/>
                <w:szCs w:val="20"/>
                <w:lang w:eastAsia="pl-PL"/>
              </w:rPr>
            </w:pPr>
            <w:r w:rsidRPr="00EE0C8C">
              <w:rPr>
                <w:rFonts w:ascii="Arial" w:eastAsia="Times New Roman" w:hAnsi="Arial" w:cs="Arial"/>
                <w:sz w:val="20"/>
                <w:szCs w:val="20"/>
                <w:lang w:eastAsia="pl-PL"/>
              </w:rPr>
              <w:t>gaz sieciowy</w:t>
            </w:r>
          </w:p>
        </w:tc>
        <w:tc>
          <w:tcPr>
            <w:tcW w:w="1600"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441</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443</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445</w:t>
            </w:r>
          </w:p>
        </w:tc>
      </w:tr>
      <w:tr w:rsidR="00EE0C8C" w:rsidRPr="00EE0C8C" w:rsidTr="00A76BDB">
        <w:trPr>
          <w:trHeight w:val="255"/>
        </w:trPr>
        <w:tc>
          <w:tcPr>
            <w:tcW w:w="9480" w:type="dxa"/>
            <w:gridSpan w:val="5"/>
            <w:tcBorders>
              <w:top w:val="single" w:sz="4" w:space="0" w:color="000000"/>
              <w:left w:val="single" w:sz="4" w:space="0" w:color="000000"/>
              <w:bottom w:val="single" w:sz="4" w:space="0" w:color="000000"/>
              <w:right w:val="single" w:sz="4" w:space="0" w:color="000000"/>
            </w:tcBorders>
            <w:shd w:val="clear" w:color="000000" w:fill="33CCCC"/>
            <w:noWrap/>
            <w:vAlign w:val="center"/>
            <w:hideMark/>
          </w:tcPr>
          <w:p w:rsidR="00EE0C8C" w:rsidRPr="00EE0C8C" w:rsidRDefault="00EE0C8C" w:rsidP="00EE0C8C">
            <w:pPr>
              <w:spacing w:after="0" w:line="240" w:lineRule="auto"/>
              <w:rPr>
                <w:rFonts w:ascii="Arial" w:eastAsia="Times New Roman" w:hAnsi="Arial" w:cs="Arial"/>
                <w:b/>
                <w:bCs/>
                <w:color w:val="008080"/>
                <w:sz w:val="20"/>
                <w:szCs w:val="20"/>
                <w:lang w:eastAsia="pl-PL"/>
              </w:rPr>
            </w:pPr>
            <w:r w:rsidRPr="00EE0C8C">
              <w:rPr>
                <w:rFonts w:ascii="Arial" w:eastAsia="Times New Roman" w:hAnsi="Arial" w:cs="Arial"/>
                <w:b/>
                <w:bCs/>
                <w:color w:val="008080"/>
                <w:sz w:val="20"/>
                <w:szCs w:val="20"/>
                <w:lang w:eastAsia="pl-PL"/>
              </w:rPr>
              <w:lastRenderedPageBreak/>
              <w:t>Mieszkania wyposażone w instalacje - w % ogółu mieszkań</w:t>
            </w:r>
          </w:p>
        </w:tc>
      </w:tr>
      <w:tr w:rsidR="00EE0C8C" w:rsidRPr="00EE0C8C" w:rsidTr="00A76BDB">
        <w:trPr>
          <w:trHeight w:val="255"/>
        </w:trPr>
        <w:tc>
          <w:tcPr>
            <w:tcW w:w="9480" w:type="dxa"/>
            <w:gridSpan w:val="5"/>
            <w:tcBorders>
              <w:top w:val="single" w:sz="4" w:space="0" w:color="000000"/>
              <w:left w:val="single" w:sz="4" w:space="0" w:color="000000"/>
              <w:bottom w:val="single" w:sz="4" w:space="0" w:color="000000"/>
              <w:right w:val="single" w:sz="4" w:space="0" w:color="000000"/>
            </w:tcBorders>
            <w:shd w:val="clear" w:color="000000" w:fill="808080"/>
            <w:noWrap/>
            <w:vAlign w:val="center"/>
            <w:hideMark/>
          </w:tcPr>
          <w:p w:rsidR="00EE0C8C" w:rsidRPr="00EE0C8C" w:rsidRDefault="00EE0C8C" w:rsidP="00EE0C8C">
            <w:pPr>
              <w:spacing w:after="0" w:line="240" w:lineRule="auto"/>
              <w:rPr>
                <w:rFonts w:ascii="Arial" w:eastAsia="Times New Roman" w:hAnsi="Arial" w:cs="Arial"/>
                <w:color w:val="000000"/>
                <w:sz w:val="20"/>
                <w:szCs w:val="20"/>
                <w:lang w:eastAsia="pl-PL"/>
              </w:rPr>
            </w:pPr>
            <w:r w:rsidRPr="00EE0C8C">
              <w:rPr>
                <w:rFonts w:ascii="Arial" w:eastAsia="Times New Roman" w:hAnsi="Arial" w:cs="Arial"/>
                <w:color w:val="000000"/>
                <w:sz w:val="20"/>
                <w:szCs w:val="20"/>
                <w:lang w:eastAsia="pl-PL"/>
              </w:rPr>
              <w:t>na wsi</w:t>
            </w:r>
          </w:p>
        </w:tc>
      </w:tr>
      <w:tr w:rsidR="00EE0C8C" w:rsidRPr="00EE0C8C" w:rsidTr="00A76BDB">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100" w:firstLine="200"/>
              <w:rPr>
                <w:rFonts w:ascii="Arial" w:eastAsia="Times New Roman" w:hAnsi="Arial" w:cs="Arial"/>
                <w:sz w:val="20"/>
                <w:szCs w:val="20"/>
                <w:lang w:eastAsia="pl-PL"/>
              </w:rPr>
            </w:pPr>
            <w:r w:rsidRPr="00EE0C8C">
              <w:rPr>
                <w:rFonts w:ascii="Arial" w:eastAsia="Times New Roman" w:hAnsi="Arial" w:cs="Arial"/>
                <w:sz w:val="20"/>
                <w:szCs w:val="20"/>
                <w:lang w:eastAsia="pl-PL"/>
              </w:rPr>
              <w:t>wodociąg</w:t>
            </w:r>
          </w:p>
        </w:tc>
        <w:tc>
          <w:tcPr>
            <w:tcW w:w="1600"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89,8</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89,9</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89,9</w:t>
            </w:r>
          </w:p>
        </w:tc>
      </w:tr>
      <w:tr w:rsidR="00EE0C8C" w:rsidRPr="00EE0C8C" w:rsidTr="00A76BDB">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100" w:firstLine="200"/>
              <w:rPr>
                <w:rFonts w:ascii="Arial" w:eastAsia="Times New Roman" w:hAnsi="Arial" w:cs="Arial"/>
                <w:sz w:val="20"/>
                <w:szCs w:val="20"/>
                <w:lang w:eastAsia="pl-PL"/>
              </w:rPr>
            </w:pPr>
            <w:r w:rsidRPr="00EE0C8C">
              <w:rPr>
                <w:rFonts w:ascii="Arial" w:eastAsia="Times New Roman" w:hAnsi="Arial" w:cs="Arial"/>
                <w:sz w:val="20"/>
                <w:szCs w:val="20"/>
                <w:lang w:eastAsia="pl-PL"/>
              </w:rPr>
              <w:t>łazienka</w:t>
            </w:r>
          </w:p>
        </w:tc>
        <w:tc>
          <w:tcPr>
            <w:tcW w:w="1600"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77,3</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77,4</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77,4</w:t>
            </w:r>
          </w:p>
        </w:tc>
      </w:tr>
      <w:tr w:rsidR="00EE0C8C" w:rsidRPr="00EE0C8C" w:rsidTr="00A76BDB">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100" w:firstLine="200"/>
              <w:rPr>
                <w:rFonts w:ascii="Arial" w:eastAsia="Times New Roman" w:hAnsi="Arial" w:cs="Arial"/>
                <w:sz w:val="20"/>
                <w:szCs w:val="20"/>
                <w:lang w:eastAsia="pl-PL"/>
              </w:rPr>
            </w:pPr>
            <w:r w:rsidRPr="00EE0C8C">
              <w:rPr>
                <w:rFonts w:ascii="Arial" w:eastAsia="Times New Roman" w:hAnsi="Arial" w:cs="Arial"/>
                <w:sz w:val="20"/>
                <w:szCs w:val="20"/>
                <w:lang w:eastAsia="pl-PL"/>
              </w:rPr>
              <w:t>centralne ogrzewanie</w:t>
            </w:r>
          </w:p>
        </w:tc>
        <w:tc>
          <w:tcPr>
            <w:tcW w:w="1600"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75,5</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75,6</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75,6</w:t>
            </w:r>
          </w:p>
        </w:tc>
      </w:tr>
      <w:tr w:rsidR="00EE0C8C" w:rsidRPr="00EE0C8C" w:rsidTr="00A76BDB">
        <w:trPr>
          <w:trHeight w:val="255"/>
        </w:trPr>
        <w:tc>
          <w:tcPr>
            <w:tcW w:w="9480" w:type="dxa"/>
            <w:gridSpan w:val="5"/>
            <w:tcBorders>
              <w:top w:val="single" w:sz="4" w:space="0" w:color="000000"/>
              <w:left w:val="single" w:sz="4" w:space="0" w:color="000000"/>
              <w:bottom w:val="single" w:sz="4" w:space="0" w:color="000000"/>
              <w:right w:val="single" w:sz="4" w:space="0" w:color="000000"/>
            </w:tcBorders>
            <w:shd w:val="clear" w:color="000000" w:fill="008080"/>
            <w:noWrap/>
            <w:vAlign w:val="center"/>
            <w:hideMark/>
          </w:tcPr>
          <w:p w:rsidR="00EE0C8C" w:rsidRPr="00EE0C8C" w:rsidRDefault="00EE0C8C" w:rsidP="00EE0C8C">
            <w:pPr>
              <w:spacing w:after="0" w:line="240" w:lineRule="auto"/>
              <w:rPr>
                <w:rFonts w:ascii="Arial" w:eastAsia="Times New Roman" w:hAnsi="Arial" w:cs="Arial"/>
                <w:b/>
                <w:bCs/>
                <w:color w:val="FFFFFF"/>
                <w:sz w:val="20"/>
                <w:szCs w:val="20"/>
                <w:lang w:eastAsia="pl-PL"/>
              </w:rPr>
            </w:pPr>
            <w:r w:rsidRPr="00EE0C8C">
              <w:rPr>
                <w:rFonts w:ascii="Arial" w:eastAsia="Times New Roman" w:hAnsi="Arial" w:cs="Arial"/>
                <w:b/>
                <w:bCs/>
                <w:color w:val="FFFFFF"/>
                <w:sz w:val="20"/>
                <w:szCs w:val="20"/>
                <w:lang w:eastAsia="pl-PL"/>
              </w:rPr>
              <w:t>URZĄDZENIA SIECIOWE</w:t>
            </w:r>
          </w:p>
        </w:tc>
      </w:tr>
      <w:tr w:rsidR="00EE0C8C" w:rsidRPr="00EE0C8C" w:rsidTr="00A76BDB">
        <w:trPr>
          <w:trHeight w:val="255"/>
        </w:trPr>
        <w:tc>
          <w:tcPr>
            <w:tcW w:w="9480" w:type="dxa"/>
            <w:gridSpan w:val="5"/>
            <w:tcBorders>
              <w:top w:val="single" w:sz="4" w:space="0" w:color="000000"/>
              <w:left w:val="single" w:sz="4" w:space="0" w:color="000000"/>
              <w:bottom w:val="single" w:sz="4" w:space="0" w:color="000000"/>
              <w:right w:val="single" w:sz="4" w:space="0" w:color="000000"/>
            </w:tcBorders>
            <w:shd w:val="clear" w:color="000000" w:fill="33CCCC"/>
            <w:noWrap/>
            <w:vAlign w:val="center"/>
            <w:hideMark/>
          </w:tcPr>
          <w:p w:rsidR="00EE0C8C" w:rsidRPr="00EE0C8C" w:rsidRDefault="00EE0C8C" w:rsidP="00EE0C8C">
            <w:pPr>
              <w:spacing w:after="0" w:line="240" w:lineRule="auto"/>
              <w:rPr>
                <w:rFonts w:ascii="Arial" w:eastAsia="Times New Roman" w:hAnsi="Arial" w:cs="Arial"/>
                <w:b/>
                <w:bCs/>
                <w:color w:val="008080"/>
                <w:sz w:val="20"/>
                <w:szCs w:val="20"/>
                <w:lang w:eastAsia="pl-PL"/>
              </w:rPr>
            </w:pPr>
            <w:r w:rsidRPr="00EE0C8C">
              <w:rPr>
                <w:rFonts w:ascii="Arial" w:eastAsia="Times New Roman" w:hAnsi="Arial" w:cs="Arial"/>
                <w:b/>
                <w:bCs/>
                <w:color w:val="008080"/>
                <w:sz w:val="20"/>
                <w:szCs w:val="20"/>
                <w:lang w:eastAsia="pl-PL"/>
              </w:rPr>
              <w:t>Wodociągi</w:t>
            </w:r>
          </w:p>
        </w:tc>
      </w:tr>
      <w:tr w:rsidR="00EE0C8C" w:rsidRPr="00EE0C8C" w:rsidTr="00A76BDB">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rPr>
                <w:rFonts w:ascii="Arial" w:eastAsia="Times New Roman" w:hAnsi="Arial" w:cs="Arial"/>
                <w:sz w:val="20"/>
                <w:szCs w:val="20"/>
                <w:lang w:eastAsia="pl-PL"/>
              </w:rPr>
            </w:pPr>
            <w:r w:rsidRPr="00EE0C8C">
              <w:rPr>
                <w:rFonts w:ascii="Arial" w:eastAsia="Times New Roman" w:hAnsi="Arial" w:cs="Arial"/>
                <w:sz w:val="20"/>
                <w:szCs w:val="20"/>
                <w:lang w:eastAsia="pl-PL"/>
              </w:rPr>
              <w:t>długość czynnej sieci rozdzielczej</w:t>
            </w:r>
          </w:p>
        </w:tc>
        <w:tc>
          <w:tcPr>
            <w:tcW w:w="1600"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km</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99,1</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99,1</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99,1</w:t>
            </w:r>
          </w:p>
        </w:tc>
      </w:tr>
      <w:tr w:rsidR="00EE0C8C" w:rsidRPr="00EE0C8C" w:rsidTr="00A76BDB">
        <w:trPr>
          <w:trHeight w:val="510"/>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rPr>
                <w:rFonts w:ascii="Arial" w:eastAsia="Times New Roman" w:hAnsi="Arial" w:cs="Arial"/>
                <w:sz w:val="20"/>
                <w:szCs w:val="20"/>
                <w:lang w:eastAsia="pl-PL"/>
              </w:rPr>
            </w:pPr>
            <w:r w:rsidRPr="00EE0C8C">
              <w:rPr>
                <w:rFonts w:ascii="Arial" w:eastAsia="Times New Roman" w:hAnsi="Arial" w:cs="Arial"/>
                <w:sz w:val="20"/>
                <w:szCs w:val="20"/>
                <w:lang w:eastAsia="pl-PL"/>
              </w:rPr>
              <w:t>przyłącza prowadzące do budynków mieszkalnych i zbiorowego zamieszkania</w:t>
            </w:r>
          </w:p>
        </w:tc>
        <w:tc>
          <w:tcPr>
            <w:tcW w:w="1600"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szt.</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2039</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2055</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2071</w:t>
            </w:r>
          </w:p>
        </w:tc>
      </w:tr>
      <w:tr w:rsidR="00EE0C8C" w:rsidRPr="00EE0C8C" w:rsidTr="00A76BDB">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rPr>
                <w:rFonts w:ascii="Arial" w:eastAsia="Times New Roman" w:hAnsi="Arial" w:cs="Arial"/>
                <w:sz w:val="20"/>
                <w:szCs w:val="20"/>
                <w:lang w:eastAsia="pl-PL"/>
              </w:rPr>
            </w:pPr>
            <w:r w:rsidRPr="00EE0C8C">
              <w:rPr>
                <w:rFonts w:ascii="Arial" w:eastAsia="Times New Roman" w:hAnsi="Arial" w:cs="Arial"/>
                <w:sz w:val="20"/>
                <w:szCs w:val="20"/>
                <w:lang w:eastAsia="pl-PL"/>
              </w:rPr>
              <w:t>woda dostarczona gospodarstwom domowym</w:t>
            </w:r>
          </w:p>
        </w:tc>
        <w:tc>
          <w:tcPr>
            <w:tcW w:w="1600"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dam3</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166,0</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180,1</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164,0</w:t>
            </w:r>
          </w:p>
        </w:tc>
      </w:tr>
      <w:tr w:rsidR="00EE0C8C" w:rsidRPr="00EE0C8C" w:rsidTr="00A76BDB">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rPr>
                <w:rFonts w:ascii="Arial" w:eastAsia="Times New Roman" w:hAnsi="Arial" w:cs="Arial"/>
                <w:sz w:val="20"/>
                <w:szCs w:val="20"/>
                <w:lang w:eastAsia="pl-PL"/>
              </w:rPr>
            </w:pPr>
            <w:r w:rsidRPr="00EE0C8C">
              <w:rPr>
                <w:rFonts w:ascii="Arial" w:eastAsia="Times New Roman" w:hAnsi="Arial" w:cs="Arial"/>
                <w:sz w:val="20"/>
                <w:szCs w:val="20"/>
                <w:lang w:eastAsia="pl-PL"/>
              </w:rPr>
              <w:t>ludność korzystająca z sieci wodociągowej</w:t>
            </w:r>
          </w:p>
        </w:tc>
        <w:tc>
          <w:tcPr>
            <w:tcW w:w="1600"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osoba</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7719</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7699</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7973</w:t>
            </w:r>
          </w:p>
        </w:tc>
      </w:tr>
      <w:tr w:rsidR="00EE0C8C" w:rsidRPr="00EE0C8C" w:rsidTr="00A76BDB">
        <w:trPr>
          <w:trHeight w:val="510"/>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rPr>
                <w:rFonts w:ascii="Arial" w:eastAsia="Times New Roman" w:hAnsi="Arial" w:cs="Arial"/>
                <w:sz w:val="20"/>
                <w:szCs w:val="20"/>
                <w:lang w:eastAsia="pl-PL"/>
              </w:rPr>
            </w:pPr>
            <w:r w:rsidRPr="00EE0C8C">
              <w:rPr>
                <w:rFonts w:ascii="Arial" w:eastAsia="Times New Roman" w:hAnsi="Arial" w:cs="Arial"/>
                <w:sz w:val="20"/>
                <w:szCs w:val="20"/>
                <w:lang w:eastAsia="pl-PL"/>
              </w:rPr>
              <w:t>zużycie wody w gospodarstwach domowych ogółem na 1 mieszkańca</w:t>
            </w:r>
          </w:p>
        </w:tc>
        <w:tc>
          <w:tcPr>
            <w:tcW w:w="1600"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m3</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19,7</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21,4</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19,5</w:t>
            </w:r>
          </w:p>
        </w:tc>
      </w:tr>
      <w:tr w:rsidR="00EE0C8C" w:rsidRPr="00EE0C8C" w:rsidTr="00A76BDB">
        <w:trPr>
          <w:trHeight w:val="510"/>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rPr>
                <w:rFonts w:ascii="Arial" w:eastAsia="Times New Roman" w:hAnsi="Arial" w:cs="Arial"/>
                <w:sz w:val="20"/>
                <w:szCs w:val="20"/>
                <w:lang w:eastAsia="pl-PL"/>
              </w:rPr>
            </w:pPr>
            <w:r w:rsidRPr="00EE0C8C">
              <w:rPr>
                <w:rFonts w:ascii="Arial" w:eastAsia="Times New Roman" w:hAnsi="Arial" w:cs="Arial"/>
                <w:sz w:val="20"/>
                <w:szCs w:val="20"/>
                <w:lang w:eastAsia="pl-PL"/>
              </w:rPr>
              <w:t>zużycie wody w gospodarstwach domowych w miastach na 1 mieszkańca</w:t>
            </w:r>
          </w:p>
        </w:tc>
        <w:tc>
          <w:tcPr>
            <w:tcW w:w="1600"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m3</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0,0</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0,0</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0,0</w:t>
            </w:r>
          </w:p>
        </w:tc>
      </w:tr>
      <w:tr w:rsidR="00EE0C8C" w:rsidRPr="00EE0C8C" w:rsidTr="00A76BDB">
        <w:trPr>
          <w:trHeight w:val="510"/>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rPr>
                <w:rFonts w:ascii="Arial" w:eastAsia="Times New Roman" w:hAnsi="Arial" w:cs="Arial"/>
                <w:sz w:val="20"/>
                <w:szCs w:val="20"/>
                <w:lang w:eastAsia="pl-PL"/>
              </w:rPr>
            </w:pPr>
            <w:r w:rsidRPr="00EE0C8C">
              <w:rPr>
                <w:rFonts w:ascii="Arial" w:eastAsia="Times New Roman" w:hAnsi="Arial" w:cs="Arial"/>
                <w:sz w:val="20"/>
                <w:szCs w:val="20"/>
                <w:lang w:eastAsia="pl-PL"/>
              </w:rPr>
              <w:t>zużycie wody w gospodarstwach domowych na wsi na 1 mieszkańca</w:t>
            </w:r>
          </w:p>
        </w:tc>
        <w:tc>
          <w:tcPr>
            <w:tcW w:w="1600"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m3</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19,7</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21,4</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19,5</w:t>
            </w:r>
          </w:p>
        </w:tc>
      </w:tr>
      <w:tr w:rsidR="00EE0C8C" w:rsidRPr="00EE0C8C" w:rsidTr="00A76BDB">
        <w:trPr>
          <w:trHeight w:val="255"/>
        </w:trPr>
        <w:tc>
          <w:tcPr>
            <w:tcW w:w="9480" w:type="dxa"/>
            <w:gridSpan w:val="5"/>
            <w:tcBorders>
              <w:top w:val="single" w:sz="4" w:space="0" w:color="000000"/>
              <w:left w:val="single" w:sz="4" w:space="0" w:color="000000"/>
              <w:bottom w:val="single" w:sz="4" w:space="0" w:color="000000"/>
              <w:right w:val="single" w:sz="4" w:space="0" w:color="000000"/>
            </w:tcBorders>
            <w:shd w:val="clear" w:color="000000" w:fill="33CCCC"/>
            <w:noWrap/>
            <w:vAlign w:val="center"/>
            <w:hideMark/>
          </w:tcPr>
          <w:p w:rsidR="00EE0C8C" w:rsidRPr="00EE0C8C" w:rsidRDefault="00EE0C8C" w:rsidP="00EE0C8C">
            <w:pPr>
              <w:spacing w:after="0" w:line="240" w:lineRule="auto"/>
              <w:rPr>
                <w:rFonts w:ascii="Arial" w:eastAsia="Times New Roman" w:hAnsi="Arial" w:cs="Arial"/>
                <w:b/>
                <w:bCs/>
                <w:color w:val="008080"/>
                <w:sz w:val="20"/>
                <w:szCs w:val="20"/>
                <w:lang w:eastAsia="pl-PL"/>
              </w:rPr>
            </w:pPr>
            <w:r w:rsidRPr="00EE0C8C">
              <w:rPr>
                <w:rFonts w:ascii="Arial" w:eastAsia="Times New Roman" w:hAnsi="Arial" w:cs="Arial"/>
                <w:b/>
                <w:bCs/>
                <w:color w:val="008080"/>
                <w:sz w:val="20"/>
                <w:szCs w:val="20"/>
                <w:lang w:eastAsia="pl-PL"/>
              </w:rPr>
              <w:t>Kanalizacja</w:t>
            </w:r>
          </w:p>
        </w:tc>
      </w:tr>
      <w:tr w:rsidR="00EE0C8C" w:rsidRPr="00EE0C8C" w:rsidTr="00A76BDB">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rPr>
                <w:rFonts w:ascii="Arial" w:eastAsia="Times New Roman" w:hAnsi="Arial" w:cs="Arial"/>
                <w:sz w:val="20"/>
                <w:szCs w:val="20"/>
                <w:lang w:eastAsia="pl-PL"/>
              </w:rPr>
            </w:pPr>
            <w:r w:rsidRPr="00EE0C8C">
              <w:rPr>
                <w:rFonts w:ascii="Arial" w:eastAsia="Times New Roman" w:hAnsi="Arial" w:cs="Arial"/>
                <w:sz w:val="20"/>
                <w:szCs w:val="20"/>
                <w:lang w:eastAsia="pl-PL"/>
              </w:rPr>
              <w:t>długość czynnej sieci kanalizacyjnej</w:t>
            </w:r>
          </w:p>
        </w:tc>
        <w:tc>
          <w:tcPr>
            <w:tcW w:w="1600"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km</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96,3</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96,3</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96,3</w:t>
            </w:r>
          </w:p>
        </w:tc>
      </w:tr>
      <w:tr w:rsidR="00EE0C8C" w:rsidRPr="00EE0C8C" w:rsidTr="00A76BDB">
        <w:trPr>
          <w:trHeight w:val="510"/>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rPr>
                <w:rFonts w:ascii="Arial" w:eastAsia="Times New Roman" w:hAnsi="Arial" w:cs="Arial"/>
                <w:sz w:val="20"/>
                <w:szCs w:val="20"/>
                <w:lang w:eastAsia="pl-PL"/>
              </w:rPr>
            </w:pPr>
            <w:r w:rsidRPr="00EE0C8C">
              <w:rPr>
                <w:rFonts w:ascii="Arial" w:eastAsia="Times New Roman" w:hAnsi="Arial" w:cs="Arial"/>
                <w:sz w:val="20"/>
                <w:szCs w:val="20"/>
                <w:lang w:eastAsia="pl-PL"/>
              </w:rPr>
              <w:t>przyłącza prowadzące do budynków mieszkalnych i zbiorowego zamieszkania</w:t>
            </w:r>
          </w:p>
        </w:tc>
        <w:tc>
          <w:tcPr>
            <w:tcW w:w="1600"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szt.</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444</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577</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746</w:t>
            </w:r>
          </w:p>
        </w:tc>
      </w:tr>
      <w:tr w:rsidR="00EE0C8C" w:rsidRPr="00EE0C8C" w:rsidTr="00A76BDB">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rPr>
                <w:rFonts w:ascii="Arial" w:eastAsia="Times New Roman" w:hAnsi="Arial" w:cs="Arial"/>
                <w:sz w:val="20"/>
                <w:szCs w:val="20"/>
                <w:lang w:eastAsia="pl-PL"/>
              </w:rPr>
            </w:pPr>
            <w:r w:rsidRPr="00EE0C8C">
              <w:rPr>
                <w:rFonts w:ascii="Arial" w:eastAsia="Times New Roman" w:hAnsi="Arial" w:cs="Arial"/>
                <w:sz w:val="20"/>
                <w:szCs w:val="20"/>
                <w:lang w:eastAsia="pl-PL"/>
              </w:rPr>
              <w:t>ścieki odprowadzone</w:t>
            </w:r>
          </w:p>
        </w:tc>
        <w:tc>
          <w:tcPr>
            <w:tcW w:w="1600"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dam3</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13</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43,0</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52,0</w:t>
            </w:r>
          </w:p>
        </w:tc>
      </w:tr>
      <w:tr w:rsidR="00EE0C8C" w:rsidRPr="00EE0C8C" w:rsidTr="00A76BDB">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rPr>
                <w:rFonts w:ascii="Arial" w:eastAsia="Times New Roman" w:hAnsi="Arial" w:cs="Arial"/>
                <w:sz w:val="20"/>
                <w:szCs w:val="20"/>
                <w:lang w:eastAsia="pl-PL"/>
              </w:rPr>
            </w:pPr>
            <w:r w:rsidRPr="00EE0C8C">
              <w:rPr>
                <w:rFonts w:ascii="Arial" w:eastAsia="Times New Roman" w:hAnsi="Arial" w:cs="Arial"/>
                <w:sz w:val="20"/>
                <w:szCs w:val="20"/>
                <w:lang w:eastAsia="pl-PL"/>
              </w:rPr>
              <w:t>ludność korzystająca z  sieci kanalizacyjnej</w:t>
            </w:r>
          </w:p>
        </w:tc>
        <w:tc>
          <w:tcPr>
            <w:tcW w:w="1600"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osoba</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1819</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2210</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3154</w:t>
            </w:r>
          </w:p>
        </w:tc>
      </w:tr>
      <w:tr w:rsidR="00EE0C8C" w:rsidRPr="00EE0C8C" w:rsidTr="00A76BDB">
        <w:trPr>
          <w:trHeight w:val="255"/>
        </w:trPr>
        <w:tc>
          <w:tcPr>
            <w:tcW w:w="9480" w:type="dxa"/>
            <w:gridSpan w:val="5"/>
            <w:tcBorders>
              <w:top w:val="single" w:sz="4" w:space="0" w:color="000000"/>
              <w:left w:val="single" w:sz="4" w:space="0" w:color="000000"/>
              <w:bottom w:val="single" w:sz="4" w:space="0" w:color="000000"/>
              <w:right w:val="single" w:sz="4" w:space="0" w:color="000000"/>
            </w:tcBorders>
            <w:shd w:val="clear" w:color="000000" w:fill="33CCCC"/>
            <w:noWrap/>
            <w:vAlign w:val="center"/>
            <w:hideMark/>
          </w:tcPr>
          <w:p w:rsidR="00EE0C8C" w:rsidRPr="00EE0C8C" w:rsidRDefault="00EE0C8C" w:rsidP="00EE0C8C">
            <w:pPr>
              <w:spacing w:after="0" w:line="240" w:lineRule="auto"/>
              <w:rPr>
                <w:rFonts w:ascii="Arial" w:eastAsia="Times New Roman" w:hAnsi="Arial" w:cs="Arial"/>
                <w:b/>
                <w:bCs/>
                <w:color w:val="008080"/>
                <w:sz w:val="20"/>
                <w:szCs w:val="20"/>
                <w:lang w:eastAsia="pl-PL"/>
              </w:rPr>
            </w:pPr>
            <w:r w:rsidRPr="00EE0C8C">
              <w:rPr>
                <w:rFonts w:ascii="Arial" w:eastAsia="Times New Roman" w:hAnsi="Arial" w:cs="Arial"/>
                <w:b/>
                <w:bCs/>
                <w:color w:val="008080"/>
                <w:sz w:val="20"/>
                <w:szCs w:val="20"/>
                <w:lang w:eastAsia="pl-PL"/>
              </w:rPr>
              <w:t>Sieć gazowa</w:t>
            </w:r>
          </w:p>
        </w:tc>
      </w:tr>
      <w:tr w:rsidR="00EE0C8C" w:rsidRPr="00EE0C8C" w:rsidTr="00A76BDB">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rPr>
                <w:rFonts w:ascii="Arial" w:eastAsia="Times New Roman" w:hAnsi="Arial" w:cs="Arial"/>
                <w:sz w:val="20"/>
                <w:szCs w:val="20"/>
                <w:lang w:eastAsia="pl-PL"/>
              </w:rPr>
            </w:pPr>
            <w:r w:rsidRPr="00EE0C8C">
              <w:rPr>
                <w:rFonts w:ascii="Arial" w:eastAsia="Times New Roman" w:hAnsi="Arial" w:cs="Arial"/>
                <w:sz w:val="20"/>
                <w:szCs w:val="20"/>
                <w:lang w:eastAsia="pl-PL"/>
              </w:rPr>
              <w:t>długość czynnej sieci ogółem w m</w:t>
            </w:r>
          </w:p>
        </w:tc>
        <w:tc>
          <w:tcPr>
            <w:tcW w:w="1600"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m</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65909</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65909</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65909</w:t>
            </w:r>
          </w:p>
        </w:tc>
      </w:tr>
      <w:tr w:rsidR="00EE0C8C" w:rsidRPr="00EE0C8C" w:rsidTr="00A76BDB">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rPr>
                <w:rFonts w:ascii="Arial" w:eastAsia="Times New Roman" w:hAnsi="Arial" w:cs="Arial"/>
                <w:sz w:val="20"/>
                <w:szCs w:val="20"/>
                <w:lang w:eastAsia="pl-PL"/>
              </w:rPr>
            </w:pPr>
            <w:r w:rsidRPr="00EE0C8C">
              <w:rPr>
                <w:rFonts w:ascii="Arial" w:eastAsia="Times New Roman" w:hAnsi="Arial" w:cs="Arial"/>
                <w:sz w:val="20"/>
                <w:szCs w:val="20"/>
                <w:lang w:eastAsia="pl-PL"/>
              </w:rPr>
              <w:t>długość czynnej sieci przesyłowej w m</w:t>
            </w:r>
          </w:p>
        </w:tc>
        <w:tc>
          <w:tcPr>
            <w:tcW w:w="1600"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m</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1000</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1000</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1000</w:t>
            </w:r>
          </w:p>
        </w:tc>
      </w:tr>
      <w:tr w:rsidR="00EE0C8C" w:rsidRPr="00EE0C8C" w:rsidTr="00A76BDB">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rPr>
                <w:rFonts w:ascii="Arial" w:eastAsia="Times New Roman" w:hAnsi="Arial" w:cs="Arial"/>
                <w:sz w:val="20"/>
                <w:szCs w:val="20"/>
                <w:lang w:eastAsia="pl-PL"/>
              </w:rPr>
            </w:pPr>
            <w:r w:rsidRPr="00EE0C8C">
              <w:rPr>
                <w:rFonts w:ascii="Arial" w:eastAsia="Times New Roman" w:hAnsi="Arial" w:cs="Arial"/>
                <w:sz w:val="20"/>
                <w:szCs w:val="20"/>
                <w:lang w:eastAsia="pl-PL"/>
              </w:rPr>
              <w:t>długość czynnej sieci rozdzielczej w m</w:t>
            </w:r>
          </w:p>
        </w:tc>
        <w:tc>
          <w:tcPr>
            <w:tcW w:w="1600"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m</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64909</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64909</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64909</w:t>
            </w:r>
          </w:p>
        </w:tc>
      </w:tr>
      <w:tr w:rsidR="00EE0C8C" w:rsidRPr="00EE0C8C" w:rsidTr="00A76BDB">
        <w:trPr>
          <w:trHeight w:val="510"/>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rPr>
                <w:rFonts w:ascii="Arial" w:eastAsia="Times New Roman" w:hAnsi="Arial" w:cs="Arial"/>
                <w:sz w:val="20"/>
                <w:szCs w:val="20"/>
                <w:lang w:eastAsia="pl-PL"/>
              </w:rPr>
            </w:pPr>
            <w:r w:rsidRPr="00EE0C8C">
              <w:rPr>
                <w:rFonts w:ascii="Arial" w:eastAsia="Times New Roman" w:hAnsi="Arial" w:cs="Arial"/>
                <w:sz w:val="20"/>
                <w:szCs w:val="20"/>
                <w:lang w:eastAsia="pl-PL"/>
              </w:rPr>
              <w:t>czynne przyłącza do budynków ogółem (mieszkalnych i niemieszkalnych)</w:t>
            </w:r>
          </w:p>
        </w:tc>
        <w:tc>
          <w:tcPr>
            <w:tcW w:w="1600"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szt.</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1106</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1110</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1117</w:t>
            </w:r>
          </w:p>
        </w:tc>
      </w:tr>
      <w:tr w:rsidR="00EE0C8C" w:rsidRPr="00EE0C8C" w:rsidTr="00A76BDB">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rPr>
                <w:rFonts w:ascii="Arial" w:eastAsia="Times New Roman" w:hAnsi="Arial" w:cs="Arial"/>
                <w:sz w:val="20"/>
                <w:szCs w:val="20"/>
                <w:lang w:eastAsia="pl-PL"/>
              </w:rPr>
            </w:pPr>
            <w:r w:rsidRPr="00EE0C8C">
              <w:rPr>
                <w:rFonts w:ascii="Arial" w:eastAsia="Times New Roman" w:hAnsi="Arial" w:cs="Arial"/>
                <w:sz w:val="20"/>
                <w:szCs w:val="20"/>
                <w:lang w:eastAsia="pl-PL"/>
              </w:rPr>
              <w:t>czynne przyłącza do budynków mieszkalnych</w:t>
            </w:r>
          </w:p>
        </w:tc>
        <w:tc>
          <w:tcPr>
            <w:tcW w:w="1600"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szt.</w:t>
            </w:r>
          </w:p>
        </w:tc>
        <w:tc>
          <w:tcPr>
            <w:tcW w:w="960"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w:t>
            </w:r>
          </w:p>
        </w:tc>
        <w:tc>
          <w:tcPr>
            <w:tcW w:w="960"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1107</w:t>
            </w:r>
          </w:p>
        </w:tc>
      </w:tr>
      <w:tr w:rsidR="00EE0C8C" w:rsidRPr="00EE0C8C" w:rsidTr="00A76BDB">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rPr>
                <w:rFonts w:ascii="Arial" w:eastAsia="Times New Roman" w:hAnsi="Arial" w:cs="Arial"/>
                <w:sz w:val="20"/>
                <w:szCs w:val="20"/>
                <w:lang w:eastAsia="pl-PL"/>
              </w:rPr>
            </w:pPr>
            <w:r w:rsidRPr="00EE0C8C">
              <w:rPr>
                <w:rFonts w:ascii="Arial" w:eastAsia="Times New Roman" w:hAnsi="Arial" w:cs="Arial"/>
                <w:sz w:val="20"/>
                <w:szCs w:val="20"/>
                <w:lang w:eastAsia="pl-PL"/>
              </w:rPr>
              <w:t>odbiorcy gazu</w:t>
            </w:r>
          </w:p>
        </w:tc>
        <w:tc>
          <w:tcPr>
            <w:tcW w:w="1600"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gosp.</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459</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467</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480</w:t>
            </w:r>
          </w:p>
        </w:tc>
      </w:tr>
      <w:tr w:rsidR="00EE0C8C" w:rsidRPr="00EE0C8C" w:rsidTr="00A76BDB">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rPr>
                <w:rFonts w:ascii="Arial" w:eastAsia="Times New Roman" w:hAnsi="Arial" w:cs="Arial"/>
                <w:sz w:val="20"/>
                <w:szCs w:val="20"/>
                <w:lang w:eastAsia="pl-PL"/>
              </w:rPr>
            </w:pPr>
            <w:r w:rsidRPr="00EE0C8C">
              <w:rPr>
                <w:rFonts w:ascii="Arial" w:eastAsia="Times New Roman" w:hAnsi="Arial" w:cs="Arial"/>
                <w:sz w:val="20"/>
                <w:szCs w:val="20"/>
                <w:lang w:eastAsia="pl-PL"/>
              </w:rPr>
              <w:t>odbiorcy gazu ogrzewający mieszkania gazem</w:t>
            </w:r>
          </w:p>
        </w:tc>
        <w:tc>
          <w:tcPr>
            <w:tcW w:w="1600"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gosp.</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151</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153</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164</w:t>
            </w:r>
          </w:p>
        </w:tc>
      </w:tr>
      <w:tr w:rsidR="00EE0C8C" w:rsidRPr="00EE0C8C" w:rsidTr="00A76BDB">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rPr>
                <w:rFonts w:ascii="Arial" w:eastAsia="Times New Roman" w:hAnsi="Arial" w:cs="Arial"/>
                <w:sz w:val="20"/>
                <w:szCs w:val="20"/>
                <w:lang w:eastAsia="pl-PL"/>
              </w:rPr>
            </w:pPr>
            <w:r w:rsidRPr="00EE0C8C">
              <w:rPr>
                <w:rFonts w:ascii="Arial" w:eastAsia="Times New Roman" w:hAnsi="Arial" w:cs="Arial"/>
                <w:sz w:val="20"/>
                <w:szCs w:val="20"/>
                <w:lang w:eastAsia="pl-PL"/>
              </w:rPr>
              <w:t>zużycie gazu w tys. m3</w:t>
            </w:r>
          </w:p>
        </w:tc>
        <w:tc>
          <w:tcPr>
            <w:tcW w:w="1600"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tys.m3</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236,3</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245,7</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242,0</w:t>
            </w:r>
          </w:p>
        </w:tc>
      </w:tr>
      <w:tr w:rsidR="00EE0C8C" w:rsidRPr="00EE0C8C" w:rsidTr="00A76BDB">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rPr>
                <w:rFonts w:ascii="Arial" w:eastAsia="Times New Roman" w:hAnsi="Arial" w:cs="Arial"/>
                <w:sz w:val="20"/>
                <w:szCs w:val="20"/>
                <w:lang w:eastAsia="pl-PL"/>
              </w:rPr>
            </w:pPr>
            <w:r w:rsidRPr="00EE0C8C">
              <w:rPr>
                <w:rFonts w:ascii="Arial" w:eastAsia="Times New Roman" w:hAnsi="Arial" w:cs="Arial"/>
                <w:sz w:val="20"/>
                <w:szCs w:val="20"/>
                <w:lang w:eastAsia="pl-PL"/>
              </w:rPr>
              <w:t>zużycie gazu w MWh</w:t>
            </w:r>
          </w:p>
        </w:tc>
        <w:tc>
          <w:tcPr>
            <w:tcW w:w="1600"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MWh</w:t>
            </w:r>
          </w:p>
        </w:tc>
        <w:tc>
          <w:tcPr>
            <w:tcW w:w="960"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w:t>
            </w:r>
          </w:p>
        </w:tc>
        <w:tc>
          <w:tcPr>
            <w:tcW w:w="960"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2664,7</w:t>
            </w:r>
          </w:p>
        </w:tc>
      </w:tr>
      <w:tr w:rsidR="00EE0C8C" w:rsidRPr="00EE0C8C" w:rsidTr="00A76BDB">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rPr>
                <w:rFonts w:ascii="Arial" w:eastAsia="Times New Roman" w:hAnsi="Arial" w:cs="Arial"/>
                <w:sz w:val="20"/>
                <w:szCs w:val="20"/>
                <w:lang w:eastAsia="pl-PL"/>
              </w:rPr>
            </w:pPr>
            <w:r w:rsidRPr="00EE0C8C">
              <w:rPr>
                <w:rFonts w:ascii="Arial" w:eastAsia="Times New Roman" w:hAnsi="Arial" w:cs="Arial"/>
                <w:sz w:val="20"/>
                <w:szCs w:val="20"/>
                <w:lang w:eastAsia="pl-PL"/>
              </w:rPr>
              <w:t>zużycie gazu na ogrzewanie mieszkań w tys. m3</w:t>
            </w:r>
          </w:p>
        </w:tc>
        <w:tc>
          <w:tcPr>
            <w:tcW w:w="1600"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tys.m3</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127,6</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134,9</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130,7</w:t>
            </w:r>
          </w:p>
        </w:tc>
      </w:tr>
      <w:tr w:rsidR="00EE0C8C" w:rsidRPr="00EE0C8C" w:rsidTr="00A76BDB">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rPr>
                <w:rFonts w:ascii="Arial" w:eastAsia="Times New Roman" w:hAnsi="Arial" w:cs="Arial"/>
                <w:sz w:val="20"/>
                <w:szCs w:val="20"/>
                <w:lang w:eastAsia="pl-PL"/>
              </w:rPr>
            </w:pPr>
            <w:r w:rsidRPr="00EE0C8C">
              <w:rPr>
                <w:rFonts w:ascii="Arial" w:eastAsia="Times New Roman" w:hAnsi="Arial" w:cs="Arial"/>
                <w:sz w:val="20"/>
                <w:szCs w:val="20"/>
                <w:lang w:eastAsia="pl-PL"/>
              </w:rPr>
              <w:t>zużycie gazu na ogrzewanie mieszkań w MWh</w:t>
            </w:r>
          </w:p>
        </w:tc>
        <w:tc>
          <w:tcPr>
            <w:tcW w:w="1600"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MWh</w:t>
            </w:r>
          </w:p>
        </w:tc>
        <w:tc>
          <w:tcPr>
            <w:tcW w:w="960"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w:t>
            </w:r>
          </w:p>
        </w:tc>
        <w:tc>
          <w:tcPr>
            <w:tcW w:w="960"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1440,3</w:t>
            </w:r>
          </w:p>
        </w:tc>
      </w:tr>
      <w:tr w:rsidR="00EE0C8C" w:rsidRPr="00EE0C8C" w:rsidTr="00A76BDB">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rPr>
                <w:rFonts w:ascii="Arial" w:eastAsia="Times New Roman" w:hAnsi="Arial" w:cs="Arial"/>
                <w:sz w:val="20"/>
                <w:szCs w:val="20"/>
                <w:lang w:eastAsia="pl-PL"/>
              </w:rPr>
            </w:pPr>
            <w:r w:rsidRPr="00EE0C8C">
              <w:rPr>
                <w:rFonts w:ascii="Arial" w:eastAsia="Times New Roman" w:hAnsi="Arial" w:cs="Arial"/>
                <w:sz w:val="20"/>
                <w:szCs w:val="20"/>
                <w:lang w:eastAsia="pl-PL"/>
              </w:rPr>
              <w:t>ludność korzystająca z sieci gazowej</w:t>
            </w:r>
          </w:p>
        </w:tc>
        <w:tc>
          <w:tcPr>
            <w:tcW w:w="1600"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osoba</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1758</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1775</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1810</w:t>
            </w:r>
          </w:p>
        </w:tc>
      </w:tr>
      <w:tr w:rsidR="00EE0C8C" w:rsidRPr="00EE0C8C" w:rsidTr="00A76BDB">
        <w:trPr>
          <w:trHeight w:val="255"/>
        </w:trPr>
        <w:tc>
          <w:tcPr>
            <w:tcW w:w="9480" w:type="dxa"/>
            <w:gridSpan w:val="5"/>
            <w:tcBorders>
              <w:top w:val="single" w:sz="4" w:space="0" w:color="000000"/>
              <w:left w:val="single" w:sz="4" w:space="0" w:color="000000"/>
              <w:bottom w:val="single" w:sz="4" w:space="0" w:color="000000"/>
              <w:right w:val="single" w:sz="4" w:space="0" w:color="000000"/>
            </w:tcBorders>
            <w:shd w:val="clear" w:color="000000" w:fill="33CCCC"/>
            <w:noWrap/>
            <w:vAlign w:val="center"/>
            <w:hideMark/>
          </w:tcPr>
          <w:p w:rsidR="00EE0C8C" w:rsidRPr="00EE0C8C" w:rsidRDefault="00EE0C8C" w:rsidP="00EE0C8C">
            <w:pPr>
              <w:spacing w:after="0" w:line="240" w:lineRule="auto"/>
              <w:rPr>
                <w:rFonts w:ascii="Arial" w:eastAsia="Times New Roman" w:hAnsi="Arial" w:cs="Arial"/>
                <w:b/>
                <w:bCs/>
                <w:color w:val="008080"/>
                <w:sz w:val="20"/>
                <w:szCs w:val="20"/>
                <w:lang w:eastAsia="pl-PL"/>
              </w:rPr>
            </w:pPr>
            <w:r w:rsidRPr="00EE0C8C">
              <w:rPr>
                <w:rFonts w:ascii="Arial" w:eastAsia="Times New Roman" w:hAnsi="Arial" w:cs="Arial"/>
                <w:b/>
                <w:bCs/>
                <w:color w:val="008080"/>
                <w:sz w:val="20"/>
                <w:szCs w:val="20"/>
                <w:lang w:eastAsia="pl-PL"/>
              </w:rPr>
              <w:t>Korzystający z instalacji w % ogółu ludności</w:t>
            </w:r>
          </w:p>
        </w:tc>
      </w:tr>
      <w:tr w:rsidR="00EE0C8C" w:rsidRPr="00EE0C8C" w:rsidTr="00A76BDB">
        <w:trPr>
          <w:trHeight w:val="255"/>
        </w:trPr>
        <w:tc>
          <w:tcPr>
            <w:tcW w:w="9480" w:type="dxa"/>
            <w:gridSpan w:val="5"/>
            <w:tcBorders>
              <w:top w:val="single" w:sz="4" w:space="0" w:color="000000"/>
              <w:left w:val="single" w:sz="4" w:space="0" w:color="000000"/>
              <w:bottom w:val="single" w:sz="4" w:space="0" w:color="000000"/>
              <w:right w:val="single" w:sz="4" w:space="0" w:color="000000"/>
            </w:tcBorders>
            <w:shd w:val="clear" w:color="000000" w:fill="808080"/>
            <w:noWrap/>
            <w:vAlign w:val="center"/>
            <w:hideMark/>
          </w:tcPr>
          <w:p w:rsidR="00EE0C8C" w:rsidRPr="00EE0C8C" w:rsidRDefault="00EE0C8C" w:rsidP="00EE0C8C">
            <w:pPr>
              <w:spacing w:after="0" w:line="240" w:lineRule="auto"/>
              <w:rPr>
                <w:rFonts w:ascii="Arial" w:eastAsia="Times New Roman" w:hAnsi="Arial" w:cs="Arial"/>
                <w:color w:val="000000"/>
                <w:sz w:val="20"/>
                <w:szCs w:val="20"/>
                <w:lang w:eastAsia="pl-PL"/>
              </w:rPr>
            </w:pPr>
            <w:r w:rsidRPr="00EE0C8C">
              <w:rPr>
                <w:rFonts w:ascii="Arial" w:eastAsia="Times New Roman" w:hAnsi="Arial" w:cs="Arial"/>
                <w:color w:val="000000"/>
                <w:sz w:val="20"/>
                <w:szCs w:val="20"/>
                <w:lang w:eastAsia="pl-PL"/>
              </w:rPr>
              <w:t>ogółem</w:t>
            </w:r>
          </w:p>
        </w:tc>
      </w:tr>
      <w:tr w:rsidR="00EE0C8C" w:rsidRPr="00EE0C8C" w:rsidTr="00A76BDB">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100" w:firstLine="200"/>
              <w:rPr>
                <w:rFonts w:ascii="Arial" w:eastAsia="Times New Roman" w:hAnsi="Arial" w:cs="Arial"/>
                <w:sz w:val="20"/>
                <w:szCs w:val="20"/>
                <w:lang w:eastAsia="pl-PL"/>
              </w:rPr>
            </w:pPr>
            <w:r w:rsidRPr="00EE0C8C">
              <w:rPr>
                <w:rFonts w:ascii="Arial" w:eastAsia="Times New Roman" w:hAnsi="Arial" w:cs="Arial"/>
                <w:sz w:val="20"/>
                <w:szCs w:val="20"/>
                <w:lang w:eastAsia="pl-PL"/>
              </w:rPr>
              <w:t>wodociąg</w:t>
            </w:r>
          </w:p>
        </w:tc>
        <w:tc>
          <w:tcPr>
            <w:tcW w:w="1600"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91,4</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91,4</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95,2</w:t>
            </w:r>
          </w:p>
        </w:tc>
      </w:tr>
      <w:tr w:rsidR="00EE0C8C" w:rsidRPr="00EE0C8C" w:rsidTr="00A76BDB">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100" w:firstLine="200"/>
              <w:rPr>
                <w:rFonts w:ascii="Arial" w:eastAsia="Times New Roman" w:hAnsi="Arial" w:cs="Arial"/>
                <w:sz w:val="20"/>
                <w:szCs w:val="20"/>
                <w:lang w:eastAsia="pl-PL"/>
              </w:rPr>
            </w:pPr>
            <w:r w:rsidRPr="00EE0C8C">
              <w:rPr>
                <w:rFonts w:ascii="Arial" w:eastAsia="Times New Roman" w:hAnsi="Arial" w:cs="Arial"/>
                <w:sz w:val="20"/>
                <w:szCs w:val="20"/>
                <w:lang w:eastAsia="pl-PL"/>
              </w:rPr>
              <w:t>kanalizacja</w:t>
            </w:r>
          </w:p>
        </w:tc>
        <w:tc>
          <w:tcPr>
            <w:tcW w:w="1600"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21,5</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26,2</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37,6</w:t>
            </w:r>
          </w:p>
        </w:tc>
      </w:tr>
      <w:tr w:rsidR="00EE0C8C" w:rsidRPr="00EE0C8C" w:rsidTr="00A76BDB">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100" w:firstLine="200"/>
              <w:rPr>
                <w:rFonts w:ascii="Arial" w:eastAsia="Times New Roman" w:hAnsi="Arial" w:cs="Arial"/>
                <w:sz w:val="20"/>
                <w:szCs w:val="20"/>
                <w:lang w:eastAsia="pl-PL"/>
              </w:rPr>
            </w:pPr>
            <w:r w:rsidRPr="00EE0C8C">
              <w:rPr>
                <w:rFonts w:ascii="Arial" w:eastAsia="Times New Roman" w:hAnsi="Arial" w:cs="Arial"/>
                <w:sz w:val="20"/>
                <w:szCs w:val="20"/>
                <w:lang w:eastAsia="pl-PL"/>
              </w:rPr>
              <w:t>gaz</w:t>
            </w:r>
          </w:p>
        </w:tc>
        <w:tc>
          <w:tcPr>
            <w:tcW w:w="1600"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20,8</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21,1</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21,6</w:t>
            </w:r>
          </w:p>
        </w:tc>
      </w:tr>
      <w:tr w:rsidR="00EE0C8C" w:rsidRPr="00EE0C8C" w:rsidTr="00A76BDB">
        <w:trPr>
          <w:trHeight w:val="255"/>
        </w:trPr>
        <w:tc>
          <w:tcPr>
            <w:tcW w:w="9480" w:type="dxa"/>
            <w:gridSpan w:val="5"/>
            <w:tcBorders>
              <w:top w:val="single" w:sz="4" w:space="0" w:color="000000"/>
              <w:left w:val="single" w:sz="4" w:space="0" w:color="000000"/>
              <w:bottom w:val="single" w:sz="4" w:space="0" w:color="000000"/>
              <w:right w:val="single" w:sz="4" w:space="0" w:color="000000"/>
            </w:tcBorders>
            <w:shd w:val="clear" w:color="000000" w:fill="808080"/>
            <w:noWrap/>
            <w:vAlign w:val="center"/>
            <w:hideMark/>
          </w:tcPr>
          <w:p w:rsidR="00EE0C8C" w:rsidRPr="00EE0C8C" w:rsidRDefault="00EE0C8C" w:rsidP="00EE0C8C">
            <w:pPr>
              <w:spacing w:after="0" w:line="240" w:lineRule="auto"/>
              <w:rPr>
                <w:rFonts w:ascii="Arial" w:eastAsia="Times New Roman" w:hAnsi="Arial" w:cs="Arial"/>
                <w:color w:val="000000"/>
                <w:sz w:val="20"/>
                <w:szCs w:val="20"/>
                <w:lang w:eastAsia="pl-PL"/>
              </w:rPr>
            </w:pPr>
            <w:r w:rsidRPr="00EE0C8C">
              <w:rPr>
                <w:rFonts w:ascii="Arial" w:eastAsia="Times New Roman" w:hAnsi="Arial" w:cs="Arial"/>
                <w:color w:val="000000"/>
                <w:sz w:val="20"/>
                <w:szCs w:val="20"/>
                <w:lang w:eastAsia="pl-PL"/>
              </w:rPr>
              <w:t>w miastach</w:t>
            </w:r>
          </w:p>
        </w:tc>
      </w:tr>
      <w:tr w:rsidR="00EE0C8C" w:rsidRPr="00EE0C8C" w:rsidTr="00A76BDB">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100" w:firstLine="200"/>
              <w:rPr>
                <w:rFonts w:ascii="Arial" w:eastAsia="Times New Roman" w:hAnsi="Arial" w:cs="Arial"/>
                <w:sz w:val="20"/>
                <w:szCs w:val="20"/>
                <w:lang w:eastAsia="pl-PL"/>
              </w:rPr>
            </w:pPr>
            <w:r w:rsidRPr="00EE0C8C">
              <w:rPr>
                <w:rFonts w:ascii="Arial" w:eastAsia="Times New Roman" w:hAnsi="Arial" w:cs="Arial"/>
                <w:sz w:val="20"/>
                <w:szCs w:val="20"/>
                <w:lang w:eastAsia="pl-PL"/>
              </w:rPr>
              <w:t>wodociąg</w:t>
            </w:r>
          </w:p>
        </w:tc>
        <w:tc>
          <w:tcPr>
            <w:tcW w:w="1600"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0,0</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0,0</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0,0</w:t>
            </w:r>
          </w:p>
        </w:tc>
      </w:tr>
      <w:tr w:rsidR="00EE0C8C" w:rsidRPr="00EE0C8C" w:rsidTr="00A76BDB">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100" w:firstLine="200"/>
              <w:rPr>
                <w:rFonts w:ascii="Arial" w:eastAsia="Times New Roman" w:hAnsi="Arial" w:cs="Arial"/>
                <w:sz w:val="20"/>
                <w:szCs w:val="20"/>
                <w:lang w:eastAsia="pl-PL"/>
              </w:rPr>
            </w:pPr>
            <w:r w:rsidRPr="00EE0C8C">
              <w:rPr>
                <w:rFonts w:ascii="Arial" w:eastAsia="Times New Roman" w:hAnsi="Arial" w:cs="Arial"/>
                <w:sz w:val="20"/>
                <w:szCs w:val="20"/>
                <w:lang w:eastAsia="pl-PL"/>
              </w:rPr>
              <w:t>kanalizacja</w:t>
            </w:r>
          </w:p>
        </w:tc>
        <w:tc>
          <w:tcPr>
            <w:tcW w:w="1600"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0,0</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0,0</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0,0</w:t>
            </w:r>
          </w:p>
        </w:tc>
      </w:tr>
      <w:tr w:rsidR="00EE0C8C" w:rsidRPr="00EE0C8C" w:rsidTr="00A76BDB">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100" w:firstLine="200"/>
              <w:rPr>
                <w:rFonts w:ascii="Arial" w:eastAsia="Times New Roman" w:hAnsi="Arial" w:cs="Arial"/>
                <w:sz w:val="20"/>
                <w:szCs w:val="20"/>
                <w:lang w:eastAsia="pl-PL"/>
              </w:rPr>
            </w:pPr>
            <w:r w:rsidRPr="00EE0C8C">
              <w:rPr>
                <w:rFonts w:ascii="Arial" w:eastAsia="Times New Roman" w:hAnsi="Arial" w:cs="Arial"/>
                <w:sz w:val="20"/>
                <w:szCs w:val="20"/>
                <w:lang w:eastAsia="pl-PL"/>
              </w:rPr>
              <w:t>gaz</w:t>
            </w:r>
          </w:p>
        </w:tc>
        <w:tc>
          <w:tcPr>
            <w:tcW w:w="1600"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0,0</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0,0</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0,0</w:t>
            </w:r>
          </w:p>
        </w:tc>
      </w:tr>
      <w:tr w:rsidR="00EE0C8C" w:rsidRPr="00EE0C8C" w:rsidTr="00A76BDB">
        <w:trPr>
          <w:trHeight w:val="255"/>
        </w:trPr>
        <w:tc>
          <w:tcPr>
            <w:tcW w:w="9480" w:type="dxa"/>
            <w:gridSpan w:val="5"/>
            <w:tcBorders>
              <w:top w:val="single" w:sz="4" w:space="0" w:color="000000"/>
              <w:left w:val="single" w:sz="4" w:space="0" w:color="000000"/>
              <w:bottom w:val="single" w:sz="4" w:space="0" w:color="000000"/>
              <w:right w:val="single" w:sz="4" w:space="0" w:color="000000"/>
            </w:tcBorders>
            <w:shd w:val="clear" w:color="000000" w:fill="808080"/>
            <w:noWrap/>
            <w:vAlign w:val="center"/>
            <w:hideMark/>
          </w:tcPr>
          <w:p w:rsidR="00EE0C8C" w:rsidRPr="00EE0C8C" w:rsidRDefault="00EE0C8C" w:rsidP="00EE0C8C">
            <w:pPr>
              <w:spacing w:after="0" w:line="240" w:lineRule="auto"/>
              <w:rPr>
                <w:rFonts w:ascii="Arial" w:eastAsia="Times New Roman" w:hAnsi="Arial" w:cs="Arial"/>
                <w:color w:val="000000"/>
                <w:sz w:val="20"/>
                <w:szCs w:val="20"/>
                <w:lang w:eastAsia="pl-PL"/>
              </w:rPr>
            </w:pPr>
            <w:r w:rsidRPr="00EE0C8C">
              <w:rPr>
                <w:rFonts w:ascii="Arial" w:eastAsia="Times New Roman" w:hAnsi="Arial" w:cs="Arial"/>
                <w:color w:val="000000"/>
                <w:sz w:val="20"/>
                <w:szCs w:val="20"/>
                <w:lang w:eastAsia="pl-PL"/>
              </w:rPr>
              <w:t>na wsi</w:t>
            </w:r>
          </w:p>
        </w:tc>
      </w:tr>
      <w:tr w:rsidR="00EE0C8C" w:rsidRPr="00EE0C8C" w:rsidTr="00A76BDB">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100" w:firstLine="200"/>
              <w:rPr>
                <w:rFonts w:ascii="Arial" w:eastAsia="Times New Roman" w:hAnsi="Arial" w:cs="Arial"/>
                <w:sz w:val="20"/>
                <w:szCs w:val="20"/>
                <w:lang w:eastAsia="pl-PL"/>
              </w:rPr>
            </w:pPr>
            <w:r w:rsidRPr="00EE0C8C">
              <w:rPr>
                <w:rFonts w:ascii="Arial" w:eastAsia="Times New Roman" w:hAnsi="Arial" w:cs="Arial"/>
                <w:sz w:val="20"/>
                <w:szCs w:val="20"/>
                <w:lang w:eastAsia="pl-PL"/>
              </w:rPr>
              <w:t>wodociąg</w:t>
            </w:r>
          </w:p>
        </w:tc>
        <w:tc>
          <w:tcPr>
            <w:tcW w:w="1600"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91,4</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91,4</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95,2</w:t>
            </w:r>
          </w:p>
        </w:tc>
      </w:tr>
      <w:tr w:rsidR="00EE0C8C" w:rsidRPr="00EE0C8C" w:rsidTr="00A76BDB">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100" w:firstLine="200"/>
              <w:rPr>
                <w:rFonts w:ascii="Arial" w:eastAsia="Times New Roman" w:hAnsi="Arial" w:cs="Arial"/>
                <w:sz w:val="20"/>
                <w:szCs w:val="20"/>
                <w:lang w:eastAsia="pl-PL"/>
              </w:rPr>
            </w:pPr>
            <w:r w:rsidRPr="00EE0C8C">
              <w:rPr>
                <w:rFonts w:ascii="Arial" w:eastAsia="Times New Roman" w:hAnsi="Arial" w:cs="Arial"/>
                <w:sz w:val="20"/>
                <w:szCs w:val="20"/>
                <w:lang w:eastAsia="pl-PL"/>
              </w:rPr>
              <w:t>kanalizacja</w:t>
            </w:r>
          </w:p>
        </w:tc>
        <w:tc>
          <w:tcPr>
            <w:tcW w:w="1600"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21,5</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26,2</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37,6</w:t>
            </w:r>
          </w:p>
        </w:tc>
      </w:tr>
      <w:tr w:rsidR="00EE0C8C" w:rsidRPr="00EE0C8C" w:rsidTr="00A76BDB">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100" w:firstLine="200"/>
              <w:rPr>
                <w:rFonts w:ascii="Arial" w:eastAsia="Times New Roman" w:hAnsi="Arial" w:cs="Arial"/>
                <w:sz w:val="20"/>
                <w:szCs w:val="20"/>
                <w:lang w:eastAsia="pl-PL"/>
              </w:rPr>
            </w:pPr>
            <w:r w:rsidRPr="00EE0C8C">
              <w:rPr>
                <w:rFonts w:ascii="Arial" w:eastAsia="Times New Roman" w:hAnsi="Arial" w:cs="Arial"/>
                <w:sz w:val="20"/>
                <w:szCs w:val="20"/>
                <w:lang w:eastAsia="pl-PL"/>
              </w:rPr>
              <w:t>gaz</w:t>
            </w:r>
          </w:p>
        </w:tc>
        <w:tc>
          <w:tcPr>
            <w:tcW w:w="1600"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20,8</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21,1</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21,6</w:t>
            </w:r>
          </w:p>
        </w:tc>
      </w:tr>
      <w:tr w:rsidR="00EE0C8C" w:rsidRPr="00EE0C8C" w:rsidTr="00A76BDB">
        <w:trPr>
          <w:trHeight w:val="255"/>
        </w:trPr>
        <w:tc>
          <w:tcPr>
            <w:tcW w:w="9480" w:type="dxa"/>
            <w:gridSpan w:val="5"/>
            <w:tcBorders>
              <w:top w:val="single" w:sz="4" w:space="0" w:color="000000"/>
              <w:left w:val="single" w:sz="4" w:space="0" w:color="000000"/>
              <w:bottom w:val="single" w:sz="4" w:space="0" w:color="000000"/>
              <w:right w:val="single" w:sz="4" w:space="0" w:color="000000"/>
            </w:tcBorders>
            <w:shd w:val="clear" w:color="000000" w:fill="33CCCC"/>
            <w:noWrap/>
            <w:vAlign w:val="center"/>
            <w:hideMark/>
          </w:tcPr>
          <w:p w:rsidR="00EE0C8C" w:rsidRPr="00EE0C8C" w:rsidRDefault="00EE0C8C" w:rsidP="00EE0C8C">
            <w:pPr>
              <w:spacing w:after="0" w:line="240" w:lineRule="auto"/>
              <w:rPr>
                <w:rFonts w:ascii="Arial" w:eastAsia="Times New Roman" w:hAnsi="Arial" w:cs="Arial"/>
                <w:b/>
                <w:bCs/>
                <w:color w:val="008080"/>
                <w:sz w:val="20"/>
                <w:szCs w:val="20"/>
                <w:lang w:eastAsia="pl-PL"/>
              </w:rPr>
            </w:pPr>
            <w:r w:rsidRPr="00EE0C8C">
              <w:rPr>
                <w:rFonts w:ascii="Arial" w:eastAsia="Times New Roman" w:hAnsi="Arial" w:cs="Arial"/>
                <w:b/>
                <w:bCs/>
                <w:color w:val="008080"/>
                <w:sz w:val="20"/>
                <w:szCs w:val="20"/>
                <w:lang w:eastAsia="pl-PL"/>
              </w:rPr>
              <w:t>Różnica pomiędzy odsetkiem ludności korzystającej z wodociągu i z kanalizacji wg lokalizacji</w:t>
            </w:r>
          </w:p>
        </w:tc>
      </w:tr>
      <w:tr w:rsidR="00EE0C8C" w:rsidRPr="00EE0C8C" w:rsidTr="00A76BDB">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rPr>
                <w:rFonts w:ascii="Arial" w:eastAsia="Times New Roman" w:hAnsi="Arial" w:cs="Arial"/>
                <w:sz w:val="20"/>
                <w:szCs w:val="20"/>
                <w:lang w:eastAsia="pl-PL"/>
              </w:rPr>
            </w:pPr>
            <w:r w:rsidRPr="00EE0C8C">
              <w:rPr>
                <w:rFonts w:ascii="Arial" w:eastAsia="Times New Roman" w:hAnsi="Arial" w:cs="Arial"/>
                <w:sz w:val="20"/>
                <w:szCs w:val="20"/>
                <w:lang w:eastAsia="pl-PL"/>
              </w:rPr>
              <w:lastRenderedPageBreak/>
              <w:t>ogółem</w:t>
            </w:r>
          </w:p>
        </w:tc>
        <w:tc>
          <w:tcPr>
            <w:tcW w:w="1600"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69,9</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65,2</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57,6</w:t>
            </w:r>
          </w:p>
        </w:tc>
      </w:tr>
      <w:tr w:rsidR="00EE0C8C" w:rsidRPr="00EE0C8C" w:rsidTr="00A76BDB">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rPr>
                <w:rFonts w:ascii="Arial" w:eastAsia="Times New Roman" w:hAnsi="Arial" w:cs="Arial"/>
                <w:sz w:val="20"/>
                <w:szCs w:val="20"/>
                <w:lang w:eastAsia="pl-PL"/>
              </w:rPr>
            </w:pPr>
            <w:r w:rsidRPr="00EE0C8C">
              <w:rPr>
                <w:rFonts w:ascii="Arial" w:eastAsia="Times New Roman" w:hAnsi="Arial" w:cs="Arial"/>
                <w:sz w:val="20"/>
                <w:szCs w:val="20"/>
                <w:lang w:eastAsia="pl-PL"/>
              </w:rPr>
              <w:t>w miastach</w:t>
            </w:r>
          </w:p>
        </w:tc>
        <w:tc>
          <w:tcPr>
            <w:tcW w:w="1600"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0,0</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0,0</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0,0</w:t>
            </w:r>
          </w:p>
        </w:tc>
      </w:tr>
      <w:tr w:rsidR="00EE0C8C" w:rsidRPr="00EE0C8C" w:rsidTr="00A76BDB">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rPr>
                <w:rFonts w:ascii="Arial" w:eastAsia="Times New Roman" w:hAnsi="Arial" w:cs="Arial"/>
                <w:sz w:val="20"/>
                <w:szCs w:val="20"/>
                <w:lang w:eastAsia="pl-PL"/>
              </w:rPr>
            </w:pPr>
            <w:r w:rsidRPr="00EE0C8C">
              <w:rPr>
                <w:rFonts w:ascii="Arial" w:eastAsia="Times New Roman" w:hAnsi="Arial" w:cs="Arial"/>
                <w:sz w:val="20"/>
                <w:szCs w:val="20"/>
                <w:lang w:eastAsia="pl-PL"/>
              </w:rPr>
              <w:t>na wsi</w:t>
            </w:r>
          </w:p>
        </w:tc>
        <w:tc>
          <w:tcPr>
            <w:tcW w:w="1600"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69,9</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65,2</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57,6</w:t>
            </w:r>
          </w:p>
        </w:tc>
      </w:tr>
      <w:tr w:rsidR="00EE0C8C" w:rsidRPr="00EE0C8C" w:rsidTr="00A76BDB">
        <w:trPr>
          <w:trHeight w:val="255"/>
        </w:trPr>
        <w:tc>
          <w:tcPr>
            <w:tcW w:w="9480" w:type="dxa"/>
            <w:gridSpan w:val="5"/>
            <w:tcBorders>
              <w:top w:val="single" w:sz="4" w:space="0" w:color="000000"/>
              <w:left w:val="single" w:sz="4" w:space="0" w:color="000000"/>
              <w:bottom w:val="single" w:sz="4" w:space="0" w:color="000000"/>
              <w:right w:val="single" w:sz="4" w:space="0" w:color="000000"/>
            </w:tcBorders>
            <w:shd w:val="clear" w:color="000000" w:fill="33CCCC"/>
            <w:noWrap/>
            <w:vAlign w:val="center"/>
            <w:hideMark/>
          </w:tcPr>
          <w:p w:rsidR="00EE0C8C" w:rsidRPr="00EE0C8C" w:rsidRDefault="00EE0C8C" w:rsidP="00EE0C8C">
            <w:pPr>
              <w:spacing w:after="0" w:line="240" w:lineRule="auto"/>
              <w:rPr>
                <w:rFonts w:ascii="Arial" w:eastAsia="Times New Roman" w:hAnsi="Arial" w:cs="Arial"/>
                <w:b/>
                <w:bCs/>
                <w:color w:val="008080"/>
                <w:sz w:val="20"/>
                <w:szCs w:val="20"/>
                <w:lang w:eastAsia="pl-PL"/>
              </w:rPr>
            </w:pPr>
            <w:r w:rsidRPr="00EE0C8C">
              <w:rPr>
                <w:rFonts w:ascii="Arial" w:eastAsia="Times New Roman" w:hAnsi="Arial" w:cs="Arial"/>
                <w:b/>
                <w:bCs/>
                <w:color w:val="008080"/>
                <w:sz w:val="20"/>
                <w:szCs w:val="20"/>
                <w:lang w:eastAsia="pl-PL"/>
              </w:rPr>
              <w:t>Sieć rozdzielcza na 100 km2</w:t>
            </w:r>
          </w:p>
        </w:tc>
      </w:tr>
      <w:tr w:rsidR="00EE0C8C" w:rsidRPr="00EE0C8C" w:rsidTr="00A76BDB">
        <w:trPr>
          <w:trHeight w:val="255"/>
        </w:trPr>
        <w:tc>
          <w:tcPr>
            <w:tcW w:w="9480" w:type="dxa"/>
            <w:gridSpan w:val="5"/>
            <w:tcBorders>
              <w:top w:val="single" w:sz="4" w:space="0" w:color="000000"/>
              <w:left w:val="single" w:sz="4" w:space="0" w:color="000000"/>
              <w:bottom w:val="single" w:sz="4" w:space="0" w:color="000000"/>
              <w:right w:val="single" w:sz="4" w:space="0" w:color="000000"/>
            </w:tcBorders>
            <w:shd w:val="clear" w:color="000000" w:fill="808080"/>
            <w:noWrap/>
            <w:vAlign w:val="center"/>
            <w:hideMark/>
          </w:tcPr>
          <w:p w:rsidR="00EE0C8C" w:rsidRPr="00EE0C8C" w:rsidRDefault="00EE0C8C" w:rsidP="00EE0C8C">
            <w:pPr>
              <w:spacing w:after="0" w:line="240" w:lineRule="auto"/>
              <w:rPr>
                <w:rFonts w:ascii="Arial" w:eastAsia="Times New Roman" w:hAnsi="Arial" w:cs="Arial"/>
                <w:color w:val="000000"/>
                <w:sz w:val="20"/>
                <w:szCs w:val="20"/>
                <w:lang w:eastAsia="pl-PL"/>
              </w:rPr>
            </w:pPr>
            <w:r w:rsidRPr="00EE0C8C">
              <w:rPr>
                <w:rFonts w:ascii="Arial" w:eastAsia="Times New Roman" w:hAnsi="Arial" w:cs="Arial"/>
                <w:color w:val="000000"/>
                <w:sz w:val="20"/>
                <w:szCs w:val="20"/>
                <w:lang w:eastAsia="pl-PL"/>
              </w:rPr>
              <w:t>ogółem</w:t>
            </w:r>
          </w:p>
        </w:tc>
      </w:tr>
      <w:tr w:rsidR="00EE0C8C" w:rsidRPr="00EE0C8C" w:rsidTr="00A76BDB">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100" w:firstLine="200"/>
              <w:rPr>
                <w:rFonts w:ascii="Arial" w:eastAsia="Times New Roman" w:hAnsi="Arial" w:cs="Arial"/>
                <w:sz w:val="20"/>
                <w:szCs w:val="20"/>
                <w:lang w:eastAsia="pl-PL"/>
              </w:rPr>
            </w:pPr>
            <w:r w:rsidRPr="00EE0C8C">
              <w:rPr>
                <w:rFonts w:ascii="Arial" w:eastAsia="Times New Roman" w:hAnsi="Arial" w:cs="Arial"/>
                <w:sz w:val="20"/>
                <w:szCs w:val="20"/>
                <w:lang w:eastAsia="pl-PL"/>
              </w:rPr>
              <w:t>sieć wodociągowa</w:t>
            </w:r>
          </w:p>
        </w:tc>
        <w:tc>
          <w:tcPr>
            <w:tcW w:w="1600"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km</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89,2</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89,2</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89,2</w:t>
            </w:r>
          </w:p>
        </w:tc>
      </w:tr>
      <w:tr w:rsidR="00EE0C8C" w:rsidRPr="00EE0C8C" w:rsidTr="00A76BDB">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100" w:firstLine="200"/>
              <w:rPr>
                <w:rFonts w:ascii="Arial" w:eastAsia="Times New Roman" w:hAnsi="Arial" w:cs="Arial"/>
                <w:sz w:val="20"/>
                <w:szCs w:val="20"/>
                <w:lang w:eastAsia="pl-PL"/>
              </w:rPr>
            </w:pPr>
            <w:r w:rsidRPr="00EE0C8C">
              <w:rPr>
                <w:rFonts w:ascii="Arial" w:eastAsia="Times New Roman" w:hAnsi="Arial" w:cs="Arial"/>
                <w:sz w:val="20"/>
                <w:szCs w:val="20"/>
                <w:lang w:eastAsia="pl-PL"/>
              </w:rPr>
              <w:t>sieć kanalizacyjna</w:t>
            </w:r>
          </w:p>
        </w:tc>
        <w:tc>
          <w:tcPr>
            <w:tcW w:w="1600"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km</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86,7</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86,7</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86,7</w:t>
            </w:r>
          </w:p>
        </w:tc>
      </w:tr>
      <w:tr w:rsidR="00EE0C8C" w:rsidRPr="00EE0C8C" w:rsidTr="00A76BDB">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100" w:firstLine="200"/>
              <w:rPr>
                <w:rFonts w:ascii="Arial" w:eastAsia="Times New Roman" w:hAnsi="Arial" w:cs="Arial"/>
                <w:sz w:val="20"/>
                <w:szCs w:val="20"/>
                <w:lang w:eastAsia="pl-PL"/>
              </w:rPr>
            </w:pPr>
            <w:r w:rsidRPr="00EE0C8C">
              <w:rPr>
                <w:rFonts w:ascii="Arial" w:eastAsia="Times New Roman" w:hAnsi="Arial" w:cs="Arial"/>
                <w:sz w:val="20"/>
                <w:szCs w:val="20"/>
                <w:lang w:eastAsia="pl-PL"/>
              </w:rPr>
              <w:t>sieć gazowa</w:t>
            </w:r>
          </w:p>
        </w:tc>
        <w:tc>
          <w:tcPr>
            <w:tcW w:w="1600"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km</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58,4</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58,4</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58,4</w:t>
            </w:r>
          </w:p>
        </w:tc>
      </w:tr>
      <w:tr w:rsidR="00EE0C8C" w:rsidRPr="00EE0C8C" w:rsidTr="00A76BDB">
        <w:trPr>
          <w:trHeight w:val="255"/>
        </w:trPr>
        <w:tc>
          <w:tcPr>
            <w:tcW w:w="9480" w:type="dxa"/>
            <w:gridSpan w:val="5"/>
            <w:tcBorders>
              <w:top w:val="single" w:sz="4" w:space="0" w:color="000000"/>
              <w:left w:val="single" w:sz="4" w:space="0" w:color="000000"/>
              <w:bottom w:val="single" w:sz="4" w:space="0" w:color="000000"/>
              <w:right w:val="single" w:sz="4" w:space="0" w:color="000000"/>
            </w:tcBorders>
            <w:shd w:val="clear" w:color="000000" w:fill="808080"/>
            <w:noWrap/>
            <w:vAlign w:val="center"/>
            <w:hideMark/>
          </w:tcPr>
          <w:p w:rsidR="00EE0C8C" w:rsidRPr="00EE0C8C" w:rsidRDefault="00EE0C8C" w:rsidP="00EE0C8C">
            <w:pPr>
              <w:spacing w:after="0" w:line="240" w:lineRule="auto"/>
              <w:rPr>
                <w:rFonts w:ascii="Arial" w:eastAsia="Times New Roman" w:hAnsi="Arial" w:cs="Arial"/>
                <w:color w:val="000000"/>
                <w:sz w:val="20"/>
                <w:szCs w:val="20"/>
                <w:lang w:eastAsia="pl-PL"/>
              </w:rPr>
            </w:pPr>
            <w:r w:rsidRPr="00EE0C8C">
              <w:rPr>
                <w:rFonts w:ascii="Arial" w:eastAsia="Times New Roman" w:hAnsi="Arial" w:cs="Arial"/>
                <w:color w:val="000000"/>
                <w:sz w:val="20"/>
                <w:szCs w:val="20"/>
                <w:lang w:eastAsia="pl-PL"/>
              </w:rPr>
              <w:t>w miastach</w:t>
            </w:r>
          </w:p>
        </w:tc>
      </w:tr>
      <w:tr w:rsidR="00EE0C8C" w:rsidRPr="00EE0C8C" w:rsidTr="00A76BDB">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100" w:firstLine="200"/>
              <w:rPr>
                <w:rFonts w:ascii="Arial" w:eastAsia="Times New Roman" w:hAnsi="Arial" w:cs="Arial"/>
                <w:sz w:val="20"/>
                <w:szCs w:val="20"/>
                <w:lang w:eastAsia="pl-PL"/>
              </w:rPr>
            </w:pPr>
            <w:r w:rsidRPr="00EE0C8C">
              <w:rPr>
                <w:rFonts w:ascii="Arial" w:eastAsia="Times New Roman" w:hAnsi="Arial" w:cs="Arial"/>
                <w:sz w:val="20"/>
                <w:szCs w:val="20"/>
                <w:lang w:eastAsia="pl-PL"/>
              </w:rPr>
              <w:t>sieć wodociągowa</w:t>
            </w:r>
          </w:p>
        </w:tc>
        <w:tc>
          <w:tcPr>
            <w:tcW w:w="1600"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km</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0,0</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0,0</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0,0</w:t>
            </w:r>
          </w:p>
        </w:tc>
      </w:tr>
      <w:tr w:rsidR="00EE0C8C" w:rsidRPr="00EE0C8C" w:rsidTr="00A76BDB">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100" w:firstLine="200"/>
              <w:rPr>
                <w:rFonts w:ascii="Arial" w:eastAsia="Times New Roman" w:hAnsi="Arial" w:cs="Arial"/>
                <w:sz w:val="20"/>
                <w:szCs w:val="20"/>
                <w:lang w:eastAsia="pl-PL"/>
              </w:rPr>
            </w:pPr>
            <w:r w:rsidRPr="00EE0C8C">
              <w:rPr>
                <w:rFonts w:ascii="Arial" w:eastAsia="Times New Roman" w:hAnsi="Arial" w:cs="Arial"/>
                <w:sz w:val="20"/>
                <w:szCs w:val="20"/>
                <w:lang w:eastAsia="pl-PL"/>
              </w:rPr>
              <w:t>sieć kanalizacyjna</w:t>
            </w:r>
          </w:p>
        </w:tc>
        <w:tc>
          <w:tcPr>
            <w:tcW w:w="1600"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km</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0,0</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0,0</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0,0</w:t>
            </w:r>
          </w:p>
        </w:tc>
      </w:tr>
      <w:tr w:rsidR="00EE0C8C" w:rsidRPr="00EE0C8C" w:rsidTr="00A76BDB">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100" w:firstLine="200"/>
              <w:rPr>
                <w:rFonts w:ascii="Arial" w:eastAsia="Times New Roman" w:hAnsi="Arial" w:cs="Arial"/>
                <w:sz w:val="20"/>
                <w:szCs w:val="20"/>
                <w:lang w:eastAsia="pl-PL"/>
              </w:rPr>
            </w:pPr>
            <w:r w:rsidRPr="00EE0C8C">
              <w:rPr>
                <w:rFonts w:ascii="Arial" w:eastAsia="Times New Roman" w:hAnsi="Arial" w:cs="Arial"/>
                <w:sz w:val="20"/>
                <w:szCs w:val="20"/>
                <w:lang w:eastAsia="pl-PL"/>
              </w:rPr>
              <w:t>sieć gazowa</w:t>
            </w:r>
          </w:p>
        </w:tc>
        <w:tc>
          <w:tcPr>
            <w:tcW w:w="1600"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km</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0,0</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0,0</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0,0</w:t>
            </w:r>
          </w:p>
        </w:tc>
      </w:tr>
      <w:tr w:rsidR="00EE0C8C" w:rsidRPr="00EE0C8C" w:rsidTr="00A76BDB">
        <w:trPr>
          <w:trHeight w:val="255"/>
        </w:trPr>
        <w:tc>
          <w:tcPr>
            <w:tcW w:w="9480" w:type="dxa"/>
            <w:gridSpan w:val="5"/>
            <w:tcBorders>
              <w:top w:val="single" w:sz="4" w:space="0" w:color="000000"/>
              <w:left w:val="single" w:sz="4" w:space="0" w:color="000000"/>
              <w:bottom w:val="single" w:sz="4" w:space="0" w:color="000000"/>
              <w:right w:val="single" w:sz="4" w:space="0" w:color="000000"/>
            </w:tcBorders>
            <w:shd w:val="clear" w:color="000000" w:fill="808080"/>
            <w:noWrap/>
            <w:vAlign w:val="center"/>
            <w:hideMark/>
          </w:tcPr>
          <w:p w:rsidR="00EE0C8C" w:rsidRPr="00EE0C8C" w:rsidRDefault="00EE0C8C" w:rsidP="00EE0C8C">
            <w:pPr>
              <w:spacing w:after="0" w:line="240" w:lineRule="auto"/>
              <w:rPr>
                <w:rFonts w:ascii="Arial" w:eastAsia="Times New Roman" w:hAnsi="Arial" w:cs="Arial"/>
                <w:color w:val="000000"/>
                <w:sz w:val="20"/>
                <w:szCs w:val="20"/>
                <w:lang w:eastAsia="pl-PL"/>
              </w:rPr>
            </w:pPr>
            <w:r w:rsidRPr="00EE0C8C">
              <w:rPr>
                <w:rFonts w:ascii="Arial" w:eastAsia="Times New Roman" w:hAnsi="Arial" w:cs="Arial"/>
                <w:color w:val="000000"/>
                <w:sz w:val="20"/>
                <w:szCs w:val="20"/>
                <w:lang w:eastAsia="pl-PL"/>
              </w:rPr>
              <w:t>na wsi</w:t>
            </w:r>
          </w:p>
        </w:tc>
      </w:tr>
      <w:tr w:rsidR="00EE0C8C" w:rsidRPr="00EE0C8C" w:rsidTr="00A76BDB">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100" w:firstLine="200"/>
              <w:rPr>
                <w:rFonts w:ascii="Arial" w:eastAsia="Times New Roman" w:hAnsi="Arial" w:cs="Arial"/>
                <w:sz w:val="20"/>
                <w:szCs w:val="20"/>
                <w:lang w:eastAsia="pl-PL"/>
              </w:rPr>
            </w:pPr>
            <w:r w:rsidRPr="00EE0C8C">
              <w:rPr>
                <w:rFonts w:ascii="Arial" w:eastAsia="Times New Roman" w:hAnsi="Arial" w:cs="Arial"/>
                <w:sz w:val="20"/>
                <w:szCs w:val="20"/>
                <w:lang w:eastAsia="pl-PL"/>
              </w:rPr>
              <w:t>sieć wodociągowa</w:t>
            </w:r>
          </w:p>
        </w:tc>
        <w:tc>
          <w:tcPr>
            <w:tcW w:w="1600"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km</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89,2</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89,2</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89,2</w:t>
            </w:r>
          </w:p>
        </w:tc>
      </w:tr>
      <w:tr w:rsidR="00EE0C8C" w:rsidRPr="00EE0C8C" w:rsidTr="00A76BDB">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100" w:firstLine="200"/>
              <w:rPr>
                <w:rFonts w:ascii="Arial" w:eastAsia="Times New Roman" w:hAnsi="Arial" w:cs="Arial"/>
                <w:sz w:val="20"/>
                <w:szCs w:val="20"/>
                <w:lang w:eastAsia="pl-PL"/>
              </w:rPr>
            </w:pPr>
            <w:r w:rsidRPr="00EE0C8C">
              <w:rPr>
                <w:rFonts w:ascii="Arial" w:eastAsia="Times New Roman" w:hAnsi="Arial" w:cs="Arial"/>
                <w:sz w:val="20"/>
                <w:szCs w:val="20"/>
                <w:lang w:eastAsia="pl-PL"/>
              </w:rPr>
              <w:t>sieć kanalizacyjna</w:t>
            </w:r>
          </w:p>
        </w:tc>
        <w:tc>
          <w:tcPr>
            <w:tcW w:w="1600"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km</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86,7</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86,7</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86,7</w:t>
            </w:r>
          </w:p>
        </w:tc>
      </w:tr>
      <w:tr w:rsidR="00EE0C8C" w:rsidRPr="00EE0C8C" w:rsidTr="00A76BDB">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100" w:firstLine="200"/>
              <w:rPr>
                <w:rFonts w:ascii="Arial" w:eastAsia="Times New Roman" w:hAnsi="Arial" w:cs="Arial"/>
                <w:sz w:val="20"/>
                <w:szCs w:val="20"/>
                <w:lang w:eastAsia="pl-PL"/>
              </w:rPr>
            </w:pPr>
            <w:r w:rsidRPr="00EE0C8C">
              <w:rPr>
                <w:rFonts w:ascii="Arial" w:eastAsia="Times New Roman" w:hAnsi="Arial" w:cs="Arial"/>
                <w:sz w:val="20"/>
                <w:szCs w:val="20"/>
                <w:lang w:eastAsia="pl-PL"/>
              </w:rPr>
              <w:t>sieć gazowa</w:t>
            </w:r>
          </w:p>
        </w:tc>
        <w:tc>
          <w:tcPr>
            <w:tcW w:w="1600"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km</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58,4</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58,4</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58,4</w:t>
            </w:r>
          </w:p>
        </w:tc>
      </w:tr>
      <w:tr w:rsidR="00EE0C8C" w:rsidRPr="00EE0C8C" w:rsidTr="00A76BDB">
        <w:trPr>
          <w:trHeight w:val="255"/>
        </w:trPr>
        <w:tc>
          <w:tcPr>
            <w:tcW w:w="9480" w:type="dxa"/>
            <w:gridSpan w:val="5"/>
            <w:tcBorders>
              <w:top w:val="single" w:sz="4" w:space="0" w:color="000000"/>
              <w:left w:val="single" w:sz="4" w:space="0" w:color="000000"/>
              <w:bottom w:val="single" w:sz="4" w:space="0" w:color="000000"/>
              <w:right w:val="single" w:sz="4" w:space="0" w:color="000000"/>
            </w:tcBorders>
            <w:shd w:val="clear" w:color="000000" w:fill="33CCCC"/>
            <w:noWrap/>
            <w:vAlign w:val="center"/>
            <w:hideMark/>
          </w:tcPr>
          <w:p w:rsidR="00EE0C8C" w:rsidRPr="00EE0C8C" w:rsidRDefault="00EE0C8C" w:rsidP="00EE0C8C">
            <w:pPr>
              <w:spacing w:after="0" w:line="240" w:lineRule="auto"/>
              <w:rPr>
                <w:rFonts w:ascii="Arial" w:eastAsia="Times New Roman" w:hAnsi="Arial" w:cs="Arial"/>
                <w:b/>
                <w:bCs/>
                <w:color w:val="008080"/>
                <w:sz w:val="20"/>
                <w:szCs w:val="20"/>
                <w:lang w:eastAsia="pl-PL"/>
              </w:rPr>
            </w:pPr>
            <w:r w:rsidRPr="00EE0C8C">
              <w:rPr>
                <w:rFonts w:ascii="Arial" w:eastAsia="Times New Roman" w:hAnsi="Arial" w:cs="Arial"/>
                <w:b/>
                <w:bCs/>
                <w:color w:val="008080"/>
                <w:sz w:val="20"/>
                <w:szCs w:val="20"/>
                <w:lang w:eastAsia="pl-PL"/>
              </w:rPr>
              <w:t>Zużycie wody, energii elektrycznej oraz gazu w gospodarstwach domowych</w:t>
            </w:r>
          </w:p>
        </w:tc>
      </w:tr>
      <w:tr w:rsidR="00EE0C8C" w:rsidRPr="00EE0C8C" w:rsidTr="00A76BDB">
        <w:trPr>
          <w:trHeight w:val="255"/>
        </w:trPr>
        <w:tc>
          <w:tcPr>
            <w:tcW w:w="9480" w:type="dxa"/>
            <w:gridSpan w:val="5"/>
            <w:tcBorders>
              <w:top w:val="single" w:sz="4" w:space="0" w:color="000000"/>
              <w:left w:val="single" w:sz="4" w:space="0" w:color="000000"/>
              <w:bottom w:val="single" w:sz="4" w:space="0" w:color="000000"/>
              <w:right w:val="single" w:sz="4" w:space="0" w:color="000000"/>
            </w:tcBorders>
            <w:shd w:val="clear" w:color="000000" w:fill="808080"/>
            <w:noWrap/>
            <w:vAlign w:val="center"/>
            <w:hideMark/>
          </w:tcPr>
          <w:p w:rsidR="00EE0C8C" w:rsidRPr="00EE0C8C" w:rsidRDefault="00EE0C8C" w:rsidP="00EE0C8C">
            <w:pPr>
              <w:spacing w:after="0" w:line="240" w:lineRule="auto"/>
              <w:rPr>
                <w:rFonts w:ascii="Arial" w:eastAsia="Times New Roman" w:hAnsi="Arial" w:cs="Arial"/>
                <w:color w:val="000000"/>
                <w:sz w:val="20"/>
                <w:szCs w:val="20"/>
                <w:lang w:eastAsia="pl-PL"/>
              </w:rPr>
            </w:pPr>
            <w:r w:rsidRPr="00EE0C8C">
              <w:rPr>
                <w:rFonts w:ascii="Arial" w:eastAsia="Times New Roman" w:hAnsi="Arial" w:cs="Arial"/>
                <w:color w:val="000000"/>
                <w:sz w:val="20"/>
                <w:szCs w:val="20"/>
                <w:lang w:eastAsia="pl-PL"/>
              </w:rPr>
              <w:t>ogółem</w:t>
            </w:r>
          </w:p>
        </w:tc>
      </w:tr>
      <w:tr w:rsidR="00EE0C8C" w:rsidRPr="00EE0C8C" w:rsidTr="00A76BDB">
        <w:trPr>
          <w:trHeight w:val="255"/>
        </w:trPr>
        <w:tc>
          <w:tcPr>
            <w:tcW w:w="9480" w:type="dxa"/>
            <w:gridSpan w:val="5"/>
            <w:tcBorders>
              <w:top w:val="single" w:sz="4" w:space="0" w:color="000000"/>
              <w:left w:val="single" w:sz="4" w:space="0" w:color="000000"/>
              <w:bottom w:val="single" w:sz="4" w:space="0" w:color="000000"/>
              <w:right w:val="single" w:sz="4" w:space="0" w:color="000000"/>
            </w:tcBorders>
            <w:shd w:val="clear" w:color="000000" w:fill="969696"/>
            <w:noWrap/>
            <w:vAlign w:val="center"/>
            <w:hideMark/>
          </w:tcPr>
          <w:p w:rsidR="00EE0C8C" w:rsidRPr="00EE0C8C" w:rsidRDefault="00EE0C8C" w:rsidP="00EE0C8C">
            <w:pPr>
              <w:spacing w:after="0" w:line="240" w:lineRule="auto"/>
              <w:rPr>
                <w:rFonts w:ascii="Arial" w:eastAsia="Times New Roman" w:hAnsi="Arial" w:cs="Arial"/>
                <w:color w:val="000000"/>
                <w:sz w:val="20"/>
                <w:szCs w:val="20"/>
                <w:lang w:eastAsia="pl-PL"/>
              </w:rPr>
            </w:pPr>
            <w:r w:rsidRPr="00EE0C8C">
              <w:rPr>
                <w:rFonts w:ascii="Arial" w:eastAsia="Times New Roman" w:hAnsi="Arial" w:cs="Arial"/>
                <w:color w:val="000000"/>
                <w:sz w:val="20"/>
                <w:szCs w:val="20"/>
                <w:lang w:eastAsia="pl-PL"/>
              </w:rPr>
              <w:t>woda z wodociągów</w:t>
            </w:r>
          </w:p>
        </w:tc>
      </w:tr>
      <w:tr w:rsidR="00EE0C8C" w:rsidRPr="00EE0C8C" w:rsidTr="00A76BDB">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200" w:firstLine="400"/>
              <w:rPr>
                <w:rFonts w:ascii="Arial" w:eastAsia="Times New Roman" w:hAnsi="Arial" w:cs="Arial"/>
                <w:sz w:val="20"/>
                <w:szCs w:val="20"/>
                <w:lang w:eastAsia="pl-PL"/>
              </w:rPr>
            </w:pPr>
            <w:r w:rsidRPr="00EE0C8C">
              <w:rPr>
                <w:rFonts w:ascii="Arial" w:eastAsia="Times New Roman" w:hAnsi="Arial" w:cs="Arial"/>
                <w:sz w:val="20"/>
                <w:szCs w:val="20"/>
                <w:lang w:eastAsia="pl-PL"/>
              </w:rPr>
              <w:t>na 1 mieszkańca</w:t>
            </w:r>
          </w:p>
        </w:tc>
        <w:tc>
          <w:tcPr>
            <w:tcW w:w="1600"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m3</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19,7</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21,4</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19,5</w:t>
            </w:r>
          </w:p>
        </w:tc>
      </w:tr>
      <w:tr w:rsidR="00EE0C8C" w:rsidRPr="00EE0C8C" w:rsidTr="00A76BDB">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200" w:firstLine="400"/>
              <w:rPr>
                <w:rFonts w:ascii="Arial" w:eastAsia="Times New Roman" w:hAnsi="Arial" w:cs="Arial"/>
                <w:sz w:val="20"/>
                <w:szCs w:val="20"/>
                <w:lang w:eastAsia="pl-PL"/>
              </w:rPr>
            </w:pPr>
            <w:r w:rsidRPr="00EE0C8C">
              <w:rPr>
                <w:rFonts w:ascii="Arial" w:eastAsia="Times New Roman" w:hAnsi="Arial" w:cs="Arial"/>
                <w:sz w:val="20"/>
                <w:szCs w:val="20"/>
                <w:lang w:eastAsia="pl-PL"/>
              </w:rPr>
              <w:t>na 1 korzystającego</w:t>
            </w:r>
          </w:p>
        </w:tc>
        <w:tc>
          <w:tcPr>
            <w:tcW w:w="1600"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m3</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21,5</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23,4</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20,6</w:t>
            </w:r>
          </w:p>
        </w:tc>
      </w:tr>
      <w:tr w:rsidR="00EE0C8C" w:rsidRPr="00EE0C8C" w:rsidTr="00A76BDB">
        <w:trPr>
          <w:trHeight w:val="255"/>
        </w:trPr>
        <w:tc>
          <w:tcPr>
            <w:tcW w:w="9480" w:type="dxa"/>
            <w:gridSpan w:val="5"/>
            <w:tcBorders>
              <w:top w:val="single" w:sz="4" w:space="0" w:color="000000"/>
              <w:left w:val="single" w:sz="4" w:space="0" w:color="000000"/>
              <w:bottom w:val="single" w:sz="4" w:space="0" w:color="000000"/>
              <w:right w:val="single" w:sz="4" w:space="0" w:color="000000"/>
            </w:tcBorders>
            <w:shd w:val="clear" w:color="000000" w:fill="969696"/>
            <w:noWrap/>
            <w:vAlign w:val="center"/>
            <w:hideMark/>
          </w:tcPr>
          <w:p w:rsidR="00EE0C8C" w:rsidRPr="00EE0C8C" w:rsidRDefault="00EE0C8C" w:rsidP="00EE0C8C">
            <w:pPr>
              <w:spacing w:after="0" w:line="240" w:lineRule="auto"/>
              <w:rPr>
                <w:rFonts w:ascii="Arial" w:eastAsia="Times New Roman" w:hAnsi="Arial" w:cs="Arial"/>
                <w:color w:val="000000"/>
                <w:sz w:val="20"/>
                <w:szCs w:val="20"/>
                <w:lang w:eastAsia="pl-PL"/>
              </w:rPr>
            </w:pPr>
            <w:r w:rsidRPr="00EE0C8C">
              <w:rPr>
                <w:rFonts w:ascii="Arial" w:eastAsia="Times New Roman" w:hAnsi="Arial" w:cs="Arial"/>
                <w:color w:val="000000"/>
                <w:sz w:val="20"/>
                <w:szCs w:val="20"/>
                <w:lang w:eastAsia="pl-PL"/>
              </w:rPr>
              <w:t>gaz z sieci</w:t>
            </w:r>
          </w:p>
        </w:tc>
      </w:tr>
      <w:tr w:rsidR="00EE0C8C" w:rsidRPr="00EE0C8C" w:rsidTr="00A76BDB">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200" w:firstLine="400"/>
              <w:rPr>
                <w:rFonts w:ascii="Arial" w:eastAsia="Times New Roman" w:hAnsi="Arial" w:cs="Arial"/>
                <w:sz w:val="20"/>
                <w:szCs w:val="20"/>
                <w:lang w:eastAsia="pl-PL"/>
              </w:rPr>
            </w:pPr>
            <w:r w:rsidRPr="00EE0C8C">
              <w:rPr>
                <w:rFonts w:ascii="Arial" w:eastAsia="Times New Roman" w:hAnsi="Arial" w:cs="Arial"/>
                <w:sz w:val="20"/>
                <w:szCs w:val="20"/>
                <w:lang w:eastAsia="pl-PL"/>
              </w:rPr>
              <w:t>na 1 mieszkańca</w:t>
            </w:r>
          </w:p>
        </w:tc>
        <w:tc>
          <w:tcPr>
            <w:tcW w:w="1600"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m3</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28,1</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29,1</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28,8</w:t>
            </w:r>
          </w:p>
        </w:tc>
      </w:tr>
      <w:tr w:rsidR="00EE0C8C" w:rsidRPr="00EE0C8C" w:rsidTr="00A76BDB">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200" w:firstLine="400"/>
              <w:rPr>
                <w:rFonts w:ascii="Arial" w:eastAsia="Times New Roman" w:hAnsi="Arial" w:cs="Arial"/>
                <w:sz w:val="20"/>
                <w:szCs w:val="20"/>
                <w:lang w:eastAsia="pl-PL"/>
              </w:rPr>
            </w:pPr>
            <w:r w:rsidRPr="00EE0C8C">
              <w:rPr>
                <w:rFonts w:ascii="Arial" w:eastAsia="Times New Roman" w:hAnsi="Arial" w:cs="Arial"/>
                <w:sz w:val="20"/>
                <w:szCs w:val="20"/>
                <w:lang w:eastAsia="pl-PL"/>
              </w:rPr>
              <w:t>na 1 korzystającego</w:t>
            </w:r>
          </w:p>
        </w:tc>
        <w:tc>
          <w:tcPr>
            <w:tcW w:w="1600"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m3</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134,4</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138,4</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133,7</w:t>
            </w:r>
          </w:p>
        </w:tc>
      </w:tr>
      <w:tr w:rsidR="00EE0C8C" w:rsidRPr="00EE0C8C" w:rsidTr="00A76BDB">
        <w:trPr>
          <w:trHeight w:val="255"/>
        </w:trPr>
        <w:tc>
          <w:tcPr>
            <w:tcW w:w="9480" w:type="dxa"/>
            <w:gridSpan w:val="5"/>
            <w:tcBorders>
              <w:top w:val="single" w:sz="4" w:space="0" w:color="000000"/>
              <w:left w:val="single" w:sz="4" w:space="0" w:color="000000"/>
              <w:bottom w:val="single" w:sz="4" w:space="0" w:color="000000"/>
              <w:right w:val="single" w:sz="4" w:space="0" w:color="000000"/>
            </w:tcBorders>
            <w:shd w:val="clear" w:color="000000" w:fill="808080"/>
            <w:noWrap/>
            <w:vAlign w:val="center"/>
            <w:hideMark/>
          </w:tcPr>
          <w:p w:rsidR="00EE0C8C" w:rsidRPr="00EE0C8C" w:rsidRDefault="00EE0C8C" w:rsidP="00EE0C8C">
            <w:pPr>
              <w:spacing w:after="0" w:line="240" w:lineRule="auto"/>
              <w:rPr>
                <w:rFonts w:ascii="Arial" w:eastAsia="Times New Roman" w:hAnsi="Arial" w:cs="Arial"/>
                <w:color w:val="000000"/>
                <w:sz w:val="20"/>
                <w:szCs w:val="20"/>
                <w:lang w:eastAsia="pl-PL"/>
              </w:rPr>
            </w:pPr>
            <w:r w:rsidRPr="00EE0C8C">
              <w:rPr>
                <w:rFonts w:ascii="Arial" w:eastAsia="Times New Roman" w:hAnsi="Arial" w:cs="Arial"/>
                <w:color w:val="000000"/>
                <w:sz w:val="20"/>
                <w:szCs w:val="20"/>
                <w:lang w:eastAsia="pl-PL"/>
              </w:rPr>
              <w:t>w miastach</w:t>
            </w:r>
          </w:p>
        </w:tc>
      </w:tr>
      <w:tr w:rsidR="00EE0C8C" w:rsidRPr="00EE0C8C" w:rsidTr="00A76BDB">
        <w:trPr>
          <w:trHeight w:val="255"/>
        </w:trPr>
        <w:tc>
          <w:tcPr>
            <w:tcW w:w="9480" w:type="dxa"/>
            <w:gridSpan w:val="5"/>
            <w:tcBorders>
              <w:top w:val="single" w:sz="4" w:space="0" w:color="000000"/>
              <w:left w:val="single" w:sz="4" w:space="0" w:color="000000"/>
              <w:bottom w:val="single" w:sz="4" w:space="0" w:color="000000"/>
              <w:right w:val="single" w:sz="4" w:space="0" w:color="000000"/>
            </w:tcBorders>
            <w:shd w:val="clear" w:color="000000" w:fill="969696"/>
            <w:noWrap/>
            <w:vAlign w:val="center"/>
            <w:hideMark/>
          </w:tcPr>
          <w:p w:rsidR="00EE0C8C" w:rsidRPr="00EE0C8C" w:rsidRDefault="00EE0C8C" w:rsidP="00EE0C8C">
            <w:pPr>
              <w:spacing w:after="0" w:line="240" w:lineRule="auto"/>
              <w:rPr>
                <w:rFonts w:ascii="Arial" w:eastAsia="Times New Roman" w:hAnsi="Arial" w:cs="Arial"/>
                <w:color w:val="000000"/>
                <w:sz w:val="20"/>
                <w:szCs w:val="20"/>
                <w:lang w:eastAsia="pl-PL"/>
              </w:rPr>
            </w:pPr>
            <w:r w:rsidRPr="00EE0C8C">
              <w:rPr>
                <w:rFonts w:ascii="Arial" w:eastAsia="Times New Roman" w:hAnsi="Arial" w:cs="Arial"/>
                <w:color w:val="000000"/>
                <w:sz w:val="20"/>
                <w:szCs w:val="20"/>
                <w:lang w:eastAsia="pl-PL"/>
              </w:rPr>
              <w:t>woda z wodociągów</w:t>
            </w:r>
          </w:p>
        </w:tc>
      </w:tr>
      <w:tr w:rsidR="00EE0C8C" w:rsidRPr="00EE0C8C" w:rsidTr="00A76BDB">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200" w:firstLine="400"/>
              <w:rPr>
                <w:rFonts w:ascii="Arial" w:eastAsia="Times New Roman" w:hAnsi="Arial" w:cs="Arial"/>
                <w:sz w:val="20"/>
                <w:szCs w:val="20"/>
                <w:lang w:eastAsia="pl-PL"/>
              </w:rPr>
            </w:pPr>
            <w:r w:rsidRPr="00EE0C8C">
              <w:rPr>
                <w:rFonts w:ascii="Arial" w:eastAsia="Times New Roman" w:hAnsi="Arial" w:cs="Arial"/>
                <w:sz w:val="20"/>
                <w:szCs w:val="20"/>
                <w:lang w:eastAsia="pl-PL"/>
              </w:rPr>
              <w:t>na 1 mieszkańca</w:t>
            </w:r>
          </w:p>
        </w:tc>
        <w:tc>
          <w:tcPr>
            <w:tcW w:w="1600"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m3</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0,0</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0,0</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0,0</w:t>
            </w:r>
          </w:p>
        </w:tc>
      </w:tr>
      <w:tr w:rsidR="00EE0C8C" w:rsidRPr="00EE0C8C" w:rsidTr="00A76BDB">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200" w:firstLine="400"/>
              <w:rPr>
                <w:rFonts w:ascii="Arial" w:eastAsia="Times New Roman" w:hAnsi="Arial" w:cs="Arial"/>
                <w:sz w:val="20"/>
                <w:szCs w:val="20"/>
                <w:lang w:eastAsia="pl-PL"/>
              </w:rPr>
            </w:pPr>
            <w:r w:rsidRPr="00EE0C8C">
              <w:rPr>
                <w:rFonts w:ascii="Arial" w:eastAsia="Times New Roman" w:hAnsi="Arial" w:cs="Arial"/>
                <w:sz w:val="20"/>
                <w:szCs w:val="20"/>
                <w:lang w:eastAsia="pl-PL"/>
              </w:rPr>
              <w:t>na 1 korzystającego</w:t>
            </w:r>
          </w:p>
        </w:tc>
        <w:tc>
          <w:tcPr>
            <w:tcW w:w="1600"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m3</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0,0</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0,0</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0,0</w:t>
            </w:r>
          </w:p>
        </w:tc>
      </w:tr>
      <w:tr w:rsidR="00EE0C8C" w:rsidRPr="00EE0C8C" w:rsidTr="00A76BDB">
        <w:trPr>
          <w:trHeight w:val="255"/>
        </w:trPr>
        <w:tc>
          <w:tcPr>
            <w:tcW w:w="9480" w:type="dxa"/>
            <w:gridSpan w:val="5"/>
            <w:tcBorders>
              <w:top w:val="single" w:sz="4" w:space="0" w:color="000000"/>
              <w:left w:val="single" w:sz="4" w:space="0" w:color="000000"/>
              <w:bottom w:val="single" w:sz="4" w:space="0" w:color="000000"/>
              <w:right w:val="single" w:sz="4" w:space="0" w:color="000000"/>
            </w:tcBorders>
            <w:shd w:val="clear" w:color="000000" w:fill="969696"/>
            <w:noWrap/>
            <w:vAlign w:val="center"/>
            <w:hideMark/>
          </w:tcPr>
          <w:p w:rsidR="00EE0C8C" w:rsidRPr="00EE0C8C" w:rsidRDefault="00EE0C8C" w:rsidP="00EE0C8C">
            <w:pPr>
              <w:spacing w:after="0" w:line="240" w:lineRule="auto"/>
              <w:rPr>
                <w:rFonts w:ascii="Arial" w:eastAsia="Times New Roman" w:hAnsi="Arial" w:cs="Arial"/>
                <w:color w:val="000000"/>
                <w:sz w:val="20"/>
                <w:szCs w:val="20"/>
                <w:lang w:eastAsia="pl-PL"/>
              </w:rPr>
            </w:pPr>
            <w:r w:rsidRPr="00EE0C8C">
              <w:rPr>
                <w:rFonts w:ascii="Arial" w:eastAsia="Times New Roman" w:hAnsi="Arial" w:cs="Arial"/>
                <w:color w:val="000000"/>
                <w:sz w:val="20"/>
                <w:szCs w:val="20"/>
                <w:lang w:eastAsia="pl-PL"/>
              </w:rPr>
              <w:t>energia elektryczna w miastach</w:t>
            </w:r>
          </w:p>
        </w:tc>
      </w:tr>
      <w:tr w:rsidR="00EE0C8C" w:rsidRPr="00EE0C8C" w:rsidTr="00A76BDB">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200" w:firstLine="400"/>
              <w:rPr>
                <w:rFonts w:ascii="Arial" w:eastAsia="Times New Roman" w:hAnsi="Arial" w:cs="Arial"/>
                <w:sz w:val="20"/>
                <w:szCs w:val="20"/>
                <w:lang w:eastAsia="pl-PL"/>
              </w:rPr>
            </w:pPr>
            <w:r w:rsidRPr="00EE0C8C">
              <w:rPr>
                <w:rFonts w:ascii="Arial" w:eastAsia="Times New Roman" w:hAnsi="Arial" w:cs="Arial"/>
                <w:sz w:val="20"/>
                <w:szCs w:val="20"/>
                <w:lang w:eastAsia="pl-PL"/>
              </w:rPr>
              <w:t>na 1 mieszkańca</w:t>
            </w:r>
          </w:p>
        </w:tc>
        <w:tc>
          <w:tcPr>
            <w:tcW w:w="1600"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kWh</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0,0</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0,0</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0,0</w:t>
            </w:r>
          </w:p>
        </w:tc>
      </w:tr>
      <w:tr w:rsidR="00EE0C8C" w:rsidRPr="00EE0C8C" w:rsidTr="00A76BDB">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200" w:firstLine="400"/>
              <w:rPr>
                <w:rFonts w:ascii="Arial" w:eastAsia="Times New Roman" w:hAnsi="Arial" w:cs="Arial"/>
                <w:sz w:val="20"/>
                <w:szCs w:val="20"/>
                <w:lang w:eastAsia="pl-PL"/>
              </w:rPr>
            </w:pPr>
            <w:r w:rsidRPr="00EE0C8C">
              <w:rPr>
                <w:rFonts w:ascii="Arial" w:eastAsia="Times New Roman" w:hAnsi="Arial" w:cs="Arial"/>
                <w:sz w:val="20"/>
                <w:szCs w:val="20"/>
                <w:lang w:eastAsia="pl-PL"/>
              </w:rPr>
              <w:t>na 1 odbiorcę (gosp.dom.)</w:t>
            </w:r>
          </w:p>
        </w:tc>
        <w:tc>
          <w:tcPr>
            <w:tcW w:w="1600"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kWh</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0,0</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0,0</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0,0</w:t>
            </w:r>
          </w:p>
        </w:tc>
      </w:tr>
      <w:tr w:rsidR="00EE0C8C" w:rsidRPr="00EE0C8C" w:rsidTr="00A76BDB">
        <w:trPr>
          <w:trHeight w:val="255"/>
        </w:trPr>
        <w:tc>
          <w:tcPr>
            <w:tcW w:w="9480" w:type="dxa"/>
            <w:gridSpan w:val="5"/>
            <w:tcBorders>
              <w:top w:val="single" w:sz="4" w:space="0" w:color="000000"/>
              <w:left w:val="single" w:sz="4" w:space="0" w:color="000000"/>
              <w:bottom w:val="single" w:sz="4" w:space="0" w:color="000000"/>
              <w:right w:val="single" w:sz="4" w:space="0" w:color="000000"/>
            </w:tcBorders>
            <w:shd w:val="clear" w:color="000000" w:fill="969696"/>
            <w:noWrap/>
            <w:vAlign w:val="center"/>
            <w:hideMark/>
          </w:tcPr>
          <w:p w:rsidR="00EE0C8C" w:rsidRPr="00EE0C8C" w:rsidRDefault="00EE0C8C" w:rsidP="00EE0C8C">
            <w:pPr>
              <w:spacing w:after="0" w:line="240" w:lineRule="auto"/>
              <w:rPr>
                <w:rFonts w:ascii="Arial" w:eastAsia="Times New Roman" w:hAnsi="Arial" w:cs="Arial"/>
                <w:color w:val="000000"/>
                <w:sz w:val="20"/>
                <w:szCs w:val="20"/>
                <w:lang w:eastAsia="pl-PL"/>
              </w:rPr>
            </w:pPr>
            <w:r w:rsidRPr="00EE0C8C">
              <w:rPr>
                <w:rFonts w:ascii="Arial" w:eastAsia="Times New Roman" w:hAnsi="Arial" w:cs="Arial"/>
                <w:color w:val="000000"/>
                <w:sz w:val="20"/>
                <w:szCs w:val="20"/>
                <w:lang w:eastAsia="pl-PL"/>
              </w:rPr>
              <w:t>gaz z sieci</w:t>
            </w:r>
          </w:p>
        </w:tc>
      </w:tr>
      <w:tr w:rsidR="00EE0C8C" w:rsidRPr="00EE0C8C" w:rsidTr="00A76BDB">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200" w:firstLine="400"/>
              <w:rPr>
                <w:rFonts w:ascii="Arial" w:eastAsia="Times New Roman" w:hAnsi="Arial" w:cs="Arial"/>
                <w:sz w:val="20"/>
                <w:szCs w:val="20"/>
                <w:lang w:eastAsia="pl-PL"/>
              </w:rPr>
            </w:pPr>
            <w:r w:rsidRPr="00EE0C8C">
              <w:rPr>
                <w:rFonts w:ascii="Arial" w:eastAsia="Times New Roman" w:hAnsi="Arial" w:cs="Arial"/>
                <w:sz w:val="20"/>
                <w:szCs w:val="20"/>
                <w:lang w:eastAsia="pl-PL"/>
              </w:rPr>
              <w:t>na 1 mieszkańca</w:t>
            </w:r>
          </w:p>
        </w:tc>
        <w:tc>
          <w:tcPr>
            <w:tcW w:w="1600"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m3</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0,0</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0,0</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0,0</w:t>
            </w:r>
          </w:p>
        </w:tc>
      </w:tr>
      <w:tr w:rsidR="00EE0C8C" w:rsidRPr="00EE0C8C" w:rsidTr="00A76BDB">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200" w:firstLine="400"/>
              <w:rPr>
                <w:rFonts w:ascii="Arial" w:eastAsia="Times New Roman" w:hAnsi="Arial" w:cs="Arial"/>
                <w:sz w:val="20"/>
                <w:szCs w:val="20"/>
                <w:lang w:eastAsia="pl-PL"/>
              </w:rPr>
            </w:pPr>
            <w:r w:rsidRPr="00EE0C8C">
              <w:rPr>
                <w:rFonts w:ascii="Arial" w:eastAsia="Times New Roman" w:hAnsi="Arial" w:cs="Arial"/>
                <w:sz w:val="20"/>
                <w:szCs w:val="20"/>
                <w:lang w:eastAsia="pl-PL"/>
              </w:rPr>
              <w:t>na 1 korzystającego</w:t>
            </w:r>
          </w:p>
        </w:tc>
        <w:tc>
          <w:tcPr>
            <w:tcW w:w="1600"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m3</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0,0</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0,0</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0,0</w:t>
            </w:r>
          </w:p>
        </w:tc>
      </w:tr>
      <w:tr w:rsidR="00EE0C8C" w:rsidRPr="00EE0C8C" w:rsidTr="00A76BDB">
        <w:trPr>
          <w:trHeight w:val="255"/>
        </w:trPr>
        <w:tc>
          <w:tcPr>
            <w:tcW w:w="9480" w:type="dxa"/>
            <w:gridSpan w:val="5"/>
            <w:tcBorders>
              <w:top w:val="single" w:sz="4" w:space="0" w:color="000000"/>
              <w:left w:val="single" w:sz="4" w:space="0" w:color="000000"/>
              <w:bottom w:val="single" w:sz="4" w:space="0" w:color="000000"/>
              <w:right w:val="single" w:sz="4" w:space="0" w:color="000000"/>
            </w:tcBorders>
            <w:shd w:val="clear" w:color="000000" w:fill="808080"/>
            <w:noWrap/>
            <w:vAlign w:val="center"/>
            <w:hideMark/>
          </w:tcPr>
          <w:p w:rsidR="00EE0C8C" w:rsidRPr="00EE0C8C" w:rsidRDefault="00EE0C8C" w:rsidP="00EE0C8C">
            <w:pPr>
              <w:spacing w:after="0" w:line="240" w:lineRule="auto"/>
              <w:rPr>
                <w:rFonts w:ascii="Arial" w:eastAsia="Times New Roman" w:hAnsi="Arial" w:cs="Arial"/>
                <w:color w:val="000000"/>
                <w:sz w:val="20"/>
                <w:szCs w:val="20"/>
                <w:lang w:eastAsia="pl-PL"/>
              </w:rPr>
            </w:pPr>
            <w:r w:rsidRPr="00EE0C8C">
              <w:rPr>
                <w:rFonts w:ascii="Arial" w:eastAsia="Times New Roman" w:hAnsi="Arial" w:cs="Arial"/>
                <w:color w:val="000000"/>
                <w:sz w:val="20"/>
                <w:szCs w:val="20"/>
                <w:lang w:eastAsia="pl-PL"/>
              </w:rPr>
              <w:t>na wsi</w:t>
            </w:r>
          </w:p>
        </w:tc>
      </w:tr>
      <w:tr w:rsidR="00EE0C8C" w:rsidRPr="00EE0C8C" w:rsidTr="00A76BDB">
        <w:trPr>
          <w:trHeight w:val="255"/>
        </w:trPr>
        <w:tc>
          <w:tcPr>
            <w:tcW w:w="9480" w:type="dxa"/>
            <w:gridSpan w:val="5"/>
            <w:tcBorders>
              <w:top w:val="single" w:sz="4" w:space="0" w:color="000000"/>
              <w:left w:val="single" w:sz="4" w:space="0" w:color="000000"/>
              <w:bottom w:val="single" w:sz="4" w:space="0" w:color="000000"/>
              <w:right w:val="single" w:sz="4" w:space="0" w:color="000000"/>
            </w:tcBorders>
            <w:shd w:val="clear" w:color="000000" w:fill="969696"/>
            <w:noWrap/>
            <w:vAlign w:val="center"/>
            <w:hideMark/>
          </w:tcPr>
          <w:p w:rsidR="00EE0C8C" w:rsidRPr="00EE0C8C" w:rsidRDefault="00EE0C8C" w:rsidP="00EE0C8C">
            <w:pPr>
              <w:spacing w:after="0" w:line="240" w:lineRule="auto"/>
              <w:rPr>
                <w:rFonts w:ascii="Arial" w:eastAsia="Times New Roman" w:hAnsi="Arial" w:cs="Arial"/>
                <w:color w:val="000000"/>
                <w:sz w:val="20"/>
                <w:szCs w:val="20"/>
                <w:lang w:eastAsia="pl-PL"/>
              </w:rPr>
            </w:pPr>
            <w:r w:rsidRPr="00EE0C8C">
              <w:rPr>
                <w:rFonts w:ascii="Arial" w:eastAsia="Times New Roman" w:hAnsi="Arial" w:cs="Arial"/>
                <w:color w:val="000000"/>
                <w:sz w:val="20"/>
                <w:szCs w:val="20"/>
                <w:lang w:eastAsia="pl-PL"/>
              </w:rPr>
              <w:t>woda z wodociągów</w:t>
            </w:r>
          </w:p>
        </w:tc>
      </w:tr>
      <w:tr w:rsidR="00EE0C8C" w:rsidRPr="00EE0C8C" w:rsidTr="00A76BDB">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200" w:firstLine="400"/>
              <w:rPr>
                <w:rFonts w:ascii="Arial" w:eastAsia="Times New Roman" w:hAnsi="Arial" w:cs="Arial"/>
                <w:sz w:val="20"/>
                <w:szCs w:val="20"/>
                <w:lang w:eastAsia="pl-PL"/>
              </w:rPr>
            </w:pPr>
            <w:r w:rsidRPr="00EE0C8C">
              <w:rPr>
                <w:rFonts w:ascii="Arial" w:eastAsia="Times New Roman" w:hAnsi="Arial" w:cs="Arial"/>
                <w:sz w:val="20"/>
                <w:szCs w:val="20"/>
                <w:lang w:eastAsia="pl-PL"/>
              </w:rPr>
              <w:t>na 1 mieszkańca</w:t>
            </w:r>
          </w:p>
        </w:tc>
        <w:tc>
          <w:tcPr>
            <w:tcW w:w="1600"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m3</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19,7</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21,4</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19,5</w:t>
            </w:r>
          </w:p>
        </w:tc>
      </w:tr>
      <w:tr w:rsidR="00EE0C8C" w:rsidRPr="00EE0C8C" w:rsidTr="00A76BDB">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200" w:firstLine="400"/>
              <w:rPr>
                <w:rFonts w:ascii="Arial" w:eastAsia="Times New Roman" w:hAnsi="Arial" w:cs="Arial"/>
                <w:sz w:val="20"/>
                <w:szCs w:val="20"/>
                <w:lang w:eastAsia="pl-PL"/>
              </w:rPr>
            </w:pPr>
            <w:r w:rsidRPr="00EE0C8C">
              <w:rPr>
                <w:rFonts w:ascii="Arial" w:eastAsia="Times New Roman" w:hAnsi="Arial" w:cs="Arial"/>
                <w:sz w:val="20"/>
                <w:szCs w:val="20"/>
                <w:lang w:eastAsia="pl-PL"/>
              </w:rPr>
              <w:t>na 1 korzystającego</w:t>
            </w:r>
          </w:p>
        </w:tc>
        <w:tc>
          <w:tcPr>
            <w:tcW w:w="1600"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m3</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21,5</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23,4</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20,6</w:t>
            </w:r>
          </w:p>
        </w:tc>
      </w:tr>
      <w:tr w:rsidR="00EE0C8C" w:rsidRPr="00EE0C8C" w:rsidTr="00A76BDB">
        <w:trPr>
          <w:trHeight w:val="255"/>
        </w:trPr>
        <w:tc>
          <w:tcPr>
            <w:tcW w:w="9480" w:type="dxa"/>
            <w:gridSpan w:val="5"/>
            <w:tcBorders>
              <w:top w:val="single" w:sz="4" w:space="0" w:color="000000"/>
              <w:left w:val="single" w:sz="4" w:space="0" w:color="000000"/>
              <w:bottom w:val="single" w:sz="4" w:space="0" w:color="000000"/>
              <w:right w:val="single" w:sz="4" w:space="0" w:color="000000"/>
            </w:tcBorders>
            <w:shd w:val="clear" w:color="000000" w:fill="969696"/>
            <w:noWrap/>
            <w:vAlign w:val="center"/>
            <w:hideMark/>
          </w:tcPr>
          <w:p w:rsidR="00EE0C8C" w:rsidRPr="00EE0C8C" w:rsidRDefault="00EE0C8C" w:rsidP="00EE0C8C">
            <w:pPr>
              <w:spacing w:after="0" w:line="240" w:lineRule="auto"/>
              <w:rPr>
                <w:rFonts w:ascii="Arial" w:eastAsia="Times New Roman" w:hAnsi="Arial" w:cs="Arial"/>
                <w:color w:val="000000"/>
                <w:sz w:val="20"/>
                <w:szCs w:val="20"/>
                <w:lang w:eastAsia="pl-PL"/>
              </w:rPr>
            </w:pPr>
            <w:r w:rsidRPr="00EE0C8C">
              <w:rPr>
                <w:rFonts w:ascii="Arial" w:eastAsia="Times New Roman" w:hAnsi="Arial" w:cs="Arial"/>
                <w:color w:val="000000"/>
                <w:sz w:val="20"/>
                <w:szCs w:val="20"/>
                <w:lang w:eastAsia="pl-PL"/>
              </w:rPr>
              <w:t>gaz z sieci</w:t>
            </w:r>
          </w:p>
        </w:tc>
      </w:tr>
      <w:tr w:rsidR="00EE0C8C" w:rsidRPr="00EE0C8C" w:rsidTr="00A76BDB">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200" w:firstLine="400"/>
              <w:rPr>
                <w:rFonts w:ascii="Arial" w:eastAsia="Times New Roman" w:hAnsi="Arial" w:cs="Arial"/>
                <w:sz w:val="20"/>
                <w:szCs w:val="20"/>
                <w:lang w:eastAsia="pl-PL"/>
              </w:rPr>
            </w:pPr>
            <w:r w:rsidRPr="00EE0C8C">
              <w:rPr>
                <w:rFonts w:ascii="Arial" w:eastAsia="Times New Roman" w:hAnsi="Arial" w:cs="Arial"/>
                <w:sz w:val="20"/>
                <w:szCs w:val="20"/>
                <w:lang w:eastAsia="pl-PL"/>
              </w:rPr>
              <w:t>na 1 mieszkańca</w:t>
            </w:r>
          </w:p>
        </w:tc>
        <w:tc>
          <w:tcPr>
            <w:tcW w:w="1600"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m3</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28,1</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29,1</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28,8</w:t>
            </w:r>
          </w:p>
        </w:tc>
      </w:tr>
      <w:tr w:rsidR="00EE0C8C" w:rsidRPr="00EE0C8C" w:rsidTr="00A76BDB">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200" w:firstLine="400"/>
              <w:rPr>
                <w:rFonts w:ascii="Arial" w:eastAsia="Times New Roman" w:hAnsi="Arial" w:cs="Arial"/>
                <w:sz w:val="20"/>
                <w:szCs w:val="20"/>
                <w:lang w:eastAsia="pl-PL"/>
              </w:rPr>
            </w:pPr>
            <w:r w:rsidRPr="00EE0C8C">
              <w:rPr>
                <w:rFonts w:ascii="Arial" w:eastAsia="Times New Roman" w:hAnsi="Arial" w:cs="Arial"/>
                <w:sz w:val="20"/>
                <w:szCs w:val="20"/>
                <w:lang w:eastAsia="pl-PL"/>
              </w:rPr>
              <w:t>na 1 korzystającego</w:t>
            </w:r>
          </w:p>
        </w:tc>
        <w:tc>
          <w:tcPr>
            <w:tcW w:w="1600"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m3</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134,4</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138,4</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133,7</w:t>
            </w:r>
          </w:p>
        </w:tc>
      </w:tr>
      <w:tr w:rsidR="00EE0C8C" w:rsidRPr="00EE0C8C" w:rsidTr="00A76BDB">
        <w:trPr>
          <w:trHeight w:val="255"/>
        </w:trPr>
        <w:tc>
          <w:tcPr>
            <w:tcW w:w="9480" w:type="dxa"/>
            <w:gridSpan w:val="5"/>
            <w:tcBorders>
              <w:top w:val="single" w:sz="4" w:space="0" w:color="000000"/>
              <w:left w:val="single" w:sz="4" w:space="0" w:color="000000"/>
              <w:bottom w:val="single" w:sz="4" w:space="0" w:color="000000"/>
              <w:right w:val="single" w:sz="4" w:space="0" w:color="000000"/>
            </w:tcBorders>
            <w:shd w:val="clear" w:color="000000" w:fill="33CCCC"/>
            <w:noWrap/>
            <w:vAlign w:val="center"/>
            <w:hideMark/>
          </w:tcPr>
          <w:p w:rsidR="00EE0C8C" w:rsidRPr="00EE0C8C" w:rsidRDefault="00EE0C8C" w:rsidP="00EE0C8C">
            <w:pPr>
              <w:spacing w:after="0" w:line="240" w:lineRule="auto"/>
              <w:rPr>
                <w:rFonts w:ascii="Arial" w:eastAsia="Times New Roman" w:hAnsi="Arial" w:cs="Arial"/>
                <w:b/>
                <w:bCs/>
                <w:color w:val="008080"/>
                <w:sz w:val="20"/>
                <w:szCs w:val="20"/>
                <w:lang w:eastAsia="pl-PL"/>
              </w:rPr>
            </w:pPr>
            <w:r w:rsidRPr="00EE0C8C">
              <w:rPr>
                <w:rFonts w:ascii="Arial" w:eastAsia="Times New Roman" w:hAnsi="Arial" w:cs="Arial"/>
                <w:b/>
                <w:bCs/>
                <w:color w:val="008080"/>
                <w:sz w:val="20"/>
                <w:szCs w:val="20"/>
                <w:lang w:eastAsia="pl-PL"/>
              </w:rPr>
              <w:t>Woda dostarczona do wodociągu na terenie gminy w czasie doby w badanym roku</w:t>
            </w:r>
          </w:p>
        </w:tc>
      </w:tr>
      <w:tr w:rsidR="00EE0C8C" w:rsidRPr="00EE0C8C" w:rsidTr="00A76BDB">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rPr>
                <w:rFonts w:ascii="Arial" w:eastAsia="Times New Roman" w:hAnsi="Arial" w:cs="Arial"/>
                <w:sz w:val="20"/>
                <w:szCs w:val="20"/>
                <w:lang w:eastAsia="pl-PL"/>
              </w:rPr>
            </w:pPr>
            <w:r w:rsidRPr="00EE0C8C">
              <w:rPr>
                <w:rFonts w:ascii="Arial" w:eastAsia="Times New Roman" w:hAnsi="Arial" w:cs="Arial"/>
                <w:sz w:val="20"/>
                <w:szCs w:val="20"/>
                <w:lang w:eastAsia="pl-PL"/>
              </w:rPr>
              <w:t>woda dostarczana do wodociągu</w:t>
            </w:r>
          </w:p>
        </w:tc>
        <w:tc>
          <w:tcPr>
            <w:tcW w:w="1600"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dam3</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0,5</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0,5</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0,5</w:t>
            </w:r>
          </w:p>
        </w:tc>
      </w:tr>
      <w:tr w:rsidR="00EE0C8C" w:rsidRPr="00EE0C8C" w:rsidTr="00A76BDB">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rPr>
                <w:rFonts w:ascii="Arial" w:eastAsia="Times New Roman" w:hAnsi="Arial" w:cs="Arial"/>
                <w:sz w:val="20"/>
                <w:szCs w:val="20"/>
                <w:lang w:eastAsia="pl-PL"/>
              </w:rPr>
            </w:pPr>
            <w:r w:rsidRPr="00EE0C8C">
              <w:rPr>
                <w:rFonts w:ascii="Arial" w:eastAsia="Times New Roman" w:hAnsi="Arial" w:cs="Arial"/>
                <w:sz w:val="20"/>
                <w:szCs w:val="20"/>
                <w:lang w:eastAsia="pl-PL"/>
              </w:rPr>
              <w:t>woda sprzedana z wodociągu ogółem</w:t>
            </w:r>
          </w:p>
        </w:tc>
        <w:tc>
          <w:tcPr>
            <w:tcW w:w="1600"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dam3</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0,5</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0,5</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0,5</w:t>
            </w:r>
          </w:p>
        </w:tc>
      </w:tr>
      <w:tr w:rsidR="00EE0C8C" w:rsidRPr="00EE0C8C" w:rsidTr="00A76BDB">
        <w:trPr>
          <w:trHeight w:val="510"/>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rPr>
                <w:rFonts w:ascii="Arial" w:eastAsia="Times New Roman" w:hAnsi="Arial" w:cs="Arial"/>
                <w:sz w:val="20"/>
                <w:szCs w:val="20"/>
                <w:lang w:eastAsia="pl-PL"/>
              </w:rPr>
            </w:pPr>
            <w:r w:rsidRPr="00EE0C8C">
              <w:rPr>
                <w:rFonts w:ascii="Arial" w:eastAsia="Times New Roman" w:hAnsi="Arial" w:cs="Arial"/>
                <w:sz w:val="20"/>
                <w:szCs w:val="20"/>
                <w:lang w:eastAsia="pl-PL"/>
              </w:rPr>
              <w:t>woda sprzedana z wodociągu gospodarstwom domowym</w:t>
            </w:r>
          </w:p>
        </w:tc>
        <w:tc>
          <w:tcPr>
            <w:tcW w:w="1600"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dam3</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0,5</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0,5</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0,4</w:t>
            </w:r>
          </w:p>
        </w:tc>
      </w:tr>
      <w:tr w:rsidR="00EE0C8C" w:rsidRPr="00EE0C8C" w:rsidTr="00A76BDB">
        <w:trPr>
          <w:trHeight w:val="255"/>
        </w:trPr>
        <w:tc>
          <w:tcPr>
            <w:tcW w:w="9480" w:type="dxa"/>
            <w:gridSpan w:val="5"/>
            <w:tcBorders>
              <w:top w:val="single" w:sz="4" w:space="0" w:color="000000"/>
              <w:left w:val="single" w:sz="4" w:space="0" w:color="000000"/>
              <w:bottom w:val="single" w:sz="4" w:space="0" w:color="000000"/>
              <w:right w:val="single" w:sz="4" w:space="0" w:color="000000"/>
            </w:tcBorders>
            <w:shd w:val="clear" w:color="000000" w:fill="33CCCC"/>
            <w:noWrap/>
            <w:vAlign w:val="center"/>
            <w:hideMark/>
          </w:tcPr>
          <w:p w:rsidR="00EE0C8C" w:rsidRPr="00EE0C8C" w:rsidRDefault="00EE0C8C" w:rsidP="00EE0C8C">
            <w:pPr>
              <w:spacing w:after="0" w:line="240" w:lineRule="auto"/>
              <w:rPr>
                <w:rFonts w:ascii="Arial" w:eastAsia="Times New Roman" w:hAnsi="Arial" w:cs="Arial"/>
                <w:b/>
                <w:bCs/>
                <w:color w:val="008080"/>
                <w:sz w:val="20"/>
                <w:szCs w:val="20"/>
                <w:lang w:eastAsia="pl-PL"/>
              </w:rPr>
            </w:pPr>
            <w:r w:rsidRPr="00EE0C8C">
              <w:rPr>
                <w:rFonts w:ascii="Arial" w:eastAsia="Times New Roman" w:hAnsi="Arial" w:cs="Arial"/>
                <w:b/>
                <w:bCs/>
                <w:color w:val="008080"/>
                <w:sz w:val="20"/>
                <w:szCs w:val="20"/>
                <w:lang w:eastAsia="pl-PL"/>
              </w:rPr>
              <w:t>Przedsiębiorstwa świadczące usługi w gminie w badanym roku</w:t>
            </w:r>
          </w:p>
        </w:tc>
      </w:tr>
      <w:tr w:rsidR="00EE0C8C" w:rsidRPr="00EE0C8C" w:rsidTr="00A76BDB">
        <w:trPr>
          <w:trHeight w:val="510"/>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rPr>
                <w:rFonts w:ascii="Arial" w:eastAsia="Times New Roman" w:hAnsi="Arial" w:cs="Arial"/>
                <w:sz w:val="20"/>
                <w:szCs w:val="20"/>
                <w:lang w:eastAsia="pl-PL"/>
              </w:rPr>
            </w:pPr>
            <w:r w:rsidRPr="00EE0C8C">
              <w:rPr>
                <w:rFonts w:ascii="Arial" w:eastAsia="Times New Roman" w:hAnsi="Arial" w:cs="Arial"/>
                <w:sz w:val="20"/>
                <w:szCs w:val="20"/>
                <w:lang w:eastAsia="pl-PL"/>
              </w:rPr>
              <w:t>przedsiębiorstwa świadczące usługę (dostarczające wodę)</w:t>
            </w:r>
          </w:p>
        </w:tc>
        <w:tc>
          <w:tcPr>
            <w:tcW w:w="1600"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ob.</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w:t>
            </w:r>
          </w:p>
        </w:tc>
      </w:tr>
      <w:tr w:rsidR="00EE0C8C" w:rsidRPr="00EE0C8C" w:rsidTr="00A76BDB">
        <w:trPr>
          <w:trHeight w:val="255"/>
        </w:trPr>
        <w:tc>
          <w:tcPr>
            <w:tcW w:w="9480" w:type="dxa"/>
            <w:gridSpan w:val="5"/>
            <w:tcBorders>
              <w:top w:val="single" w:sz="4" w:space="0" w:color="000000"/>
              <w:left w:val="single" w:sz="4" w:space="0" w:color="000000"/>
              <w:bottom w:val="single" w:sz="4" w:space="0" w:color="000000"/>
              <w:right w:val="single" w:sz="4" w:space="0" w:color="000000"/>
            </w:tcBorders>
            <w:shd w:val="clear" w:color="000000" w:fill="33CCCC"/>
            <w:noWrap/>
            <w:vAlign w:val="center"/>
            <w:hideMark/>
          </w:tcPr>
          <w:p w:rsidR="00EE0C8C" w:rsidRPr="00EE0C8C" w:rsidRDefault="00EE0C8C" w:rsidP="00EE0C8C">
            <w:pPr>
              <w:spacing w:after="0" w:line="240" w:lineRule="auto"/>
              <w:rPr>
                <w:rFonts w:ascii="Arial" w:eastAsia="Times New Roman" w:hAnsi="Arial" w:cs="Arial"/>
                <w:b/>
                <w:bCs/>
                <w:color w:val="008080"/>
                <w:sz w:val="20"/>
                <w:szCs w:val="20"/>
                <w:lang w:eastAsia="pl-PL"/>
              </w:rPr>
            </w:pPr>
            <w:r w:rsidRPr="00EE0C8C">
              <w:rPr>
                <w:rFonts w:ascii="Arial" w:eastAsia="Times New Roman" w:hAnsi="Arial" w:cs="Arial"/>
                <w:b/>
                <w:bCs/>
                <w:color w:val="008080"/>
                <w:sz w:val="20"/>
                <w:szCs w:val="20"/>
                <w:lang w:eastAsia="pl-PL"/>
              </w:rPr>
              <w:t>Długość sieci kanalizacyjnej w relacji do długości sieci wodociągowej</w:t>
            </w:r>
          </w:p>
        </w:tc>
      </w:tr>
      <w:tr w:rsidR="00EE0C8C" w:rsidRPr="00EE0C8C" w:rsidTr="00A76BDB">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rPr>
                <w:rFonts w:ascii="Arial" w:eastAsia="Times New Roman" w:hAnsi="Arial" w:cs="Arial"/>
                <w:sz w:val="20"/>
                <w:szCs w:val="20"/>
                <w:lang w:eastAsia="pl-PL"/>
              </w:rPr>
            </w:pPr>
            <w:r w:rsidRPr="00EE0C8C">
              <w:rPr>
                <w:rFonts w:ascii="Arial" w:eastAsia="Times New Roman" w:hAnsi="Arial" w:cs="Arial"/>
                <w:sz w:val="20"/>
                <w:szCs w:val="20"/>
                <w:lang w:eastAsia="pl-PL"/>
              </w:rPr>
              <w:t>ogółem</w:t>
            </w:r>
          </w:p>
        </w:tc>
        <w:tc>
          <w:tcPr>
            <w:tcW w:w="1600"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1,0</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1,0</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1,0</w:t>
            </w:r>
          </w:p>
        </w:tc>
      </w:tr>
    </w:tbl>
    <w:p w:rsidR="00EE0C8C" w:rsidRPr="00EE0C8C" w:rsidRDefault="00EE0C8C" w:rsidP="00EE0C8C">
      <w:pPr>
        <w:jc w:val="center"/>
        <w:rPr>
          <w:rFonts w:ascii="Calibri" w:eastAsia="Times New Roman" w:hAnsi="Calibri" w:cs="Times New Roman"/>
          <w:i/>
          <w:lang w:eastAsia="pl-PL"/>
        </w:rPr>
      </w:pPr>
      <w:r w:rsidRPr="00EE0C8C">
        <w:rPr>
          <w:rFonts w:ascii="Calibri" w:eastAsia="Times New Roman" w:hAnsi="Calibri" w:cs="Times New Roman"/>
          <w:i/>
          <w:lang w:eastAsia="pl-PL"/>
        </w:rPr>
        <w:t>(Źródło: Bank Danych Lokalnych)</w:t>
      </w:r>
    </w:p>
    <w:p w:rsidR="00EE0C8C" w:rsidRPr="00EE0C8C" w:rsidRDefault="00EE0C8C" w:rsidP="00EE0C8C">
      <w:pPr>
        <w:keepNext/>
        <w:keepLines/>
        <w:spacing w:before="200" w:after="0"/>
        <w:outlineLvl w:val="3"/>
        <w:rPr>
          <w:rFonts w:ascii="Cambria" w:eastAsia="Times New Roman" w:hAnsi="Cambria" w:cs="Times New Roman"/>
          <w:b/>
          <w:bCs/>
          <w:i/>
          <w:iCs/>
          <w:color w:val="4F81BD"/>
          <w:lang w:eastAsia="pl-PL"/>
        </w:rPr>
      </w:pPr>
      <w:r w:rsidRPr="00EE0C8C">
        <w:rPr>
          <w:rFonts w:ascii="Cambria" w:eastAsia="Times New Roman" w:hAnsi="Cambria" w:cs="Times New Roman"/>
          <w:b/>
          <w:bCs/>
          <w:i/>
          <w:iCs/>
          <w:color w:val="4F81BD"/>
          <w:lang w:eastAsia="pl-PL"/>
        </w:rPr>
        <w:lastRenderedPageBreak/>
        <w:t>GOSPODARKA WODNO - ŚCIEKOWA</w:t>
      </w:r>
    </w:p>
    <w:p w:rsidR="00EE0C8C" w:rsidRPr="00EE0C8C" w:rsidRDefault="00EE0C8C" w:rsidP="00EE0C8C">
      <w:pPr>
        <w:spacing w:after="0"/>
        <w:rPr>
          <w:rFonts w:ascii="Calibri" w:eastAsia="Times New Roman" w:hAnsi="Calibri" w:cs="Arial"/>
          <w:lang w:eastAsia="pl-PL"/>
        </w:rPr>
      </w:pPr>
    </w:p>
    <w:p w:rsidR="00EE0C8C" w:rsidRPr="00EE0C8C" w:rsidRDefault="00EE0C8C" w:rsidP="00E421E1">
      <w:pPr>
        <w:spacing w:after="0"/>
        <w:jc w:val="both"/>
        <w:rPr>
          <w:rFonts w:ascii="Calibri" w:eastAsia="Times New Roman" w:hAnsi="Calibri" w:cs="Arial"/>
          <w:lang w:eastAsia="pl-PL"/>
        </w:rPr>
      </w:pPr>
      <w:r w:rsidRPr="00EE0C8C">
        <w:rPr>
          <w:rFonts w:ascii="Calibri" w:eastAsia="Times New Roman" w:hAnsi="Calibri" w:cs="Arial"/>
          <w:lang w:eastAsia="pl-PL"/>
        </w:rPr>
        <w:t xml:space="preserve">Według danych pozyskanych dzięki Urzędowi Gminy w Mircu charakterystyka sieci kanalizacyjnej na terenie gminy przedstawia się następująco: </w:t>
      </w:r>
    </w:p>
    <w:p w:rsidR="00EE0C8C" w:rsidRPr="00EE0C8C" w:rsidRDefault="00EE0C8C" w:rsidP="00E421E1">
      <w:pPr>
        <w:spacing w:after="0"/>
        <w:jc w:val="both"/>
        <w:rPr>
          <w:rFonts w:ascii="Calibri" w:eastAsia="Times New Roman" w:hAnsi="Calibri" w:cs="Arial"/>
          <w:lang w:eastAsia="pl-PL"/>
        </w:rPr>
      </w:pPr>
      <w:r w:rsidRPr="00EE0C8C">
        <w:rPr>
          <w:rFonts w:ascii="Calibri" w:eastAsia="Times New Roman" w:hAnsi="Calibri" w:cs="Arial"/>
          <w:lang w:eastAsia="pl-PL"/>
        </w:rPr>
        <w:t>- długość czynnej sieci kanalizacyjnej – 96,3km;</w:t>
      </w:r>
    </w:p>
    <w:p w:rsidR="00EE0C8C" w:rsidRPr="00EE0C8C" w:rsidRDefault="00EE0C8C" w:rsidP="00E421E1">
      <w:pPr>
        <w:spacing w:after="0"/>
        <w:jc w:val="both"/>
        <w:rPr>
          <w:rFonts w:ascii="Calibri" w:eastAsia="Times New Roman" w:hAnsi="Calibri" w:cs="Arial"/>
          <w:lang w:eastAsia="pl-PL"/>
        </w:rPr>
      </w:pPr>
      <w:r w:rsidRPr="00EE0C8C">
        <w:rPr>
          <w:rFonts w:ascii="Calibri" w:eastAsia="Times New Roman" w:hAnsi="Calibri" w:cs="Arial"/>
          <w:lang w:eastAsia="pl-PL"/>
        </w:rPr>
        <w:t>- połączenia prowadzące do budynków mieszkalnych i zbiorowego zamieszkania  –679 szt, co stanowi 44,18 % ogólnej liczby gospodarstw w których występuje  możliwość podłączenia do zbiorczej sieci kanalizacyjno-sanitarnej;</w:t>
      </w:r>
    </w:p>
    <w:p w:rsidR="00EE0C8C" w:rsidRDefault="00EE0C8C" w:rsidP="00E421E1">
      <w:pPr>
        <w:spacing w:after="0"/>
        <w:jc w:val="both"/>
        <w:rPr>
          <w:rFonts w:ascii="Calibri" w:eastAsia="Times New Roman" w:hAnsi="Calibri" w:cs="Arial"/>
          <w:lang w:eastAsia="pl-PL"/>
        </w:rPr>
      </w:pPr>
      <w:r w:rsidRPr="00EE0C8C">
        <w:rPr>
          <w:rFonts w:ascii="Calibri" w:eastAsia="Times New Roman" w:hAnsi="Calibri" w:cs="Arial"/>
          <w:lang w:eastAsia="pl-PL"/>
        </w:rPr>
        <w:t>Sieć kanalizacyjna obejmuje sołectwa: Mirzec I (</w:t>
      </w:r>
      <w:r w:rsidR="0071482D">
        <w:rPr>
          <w:rFonts w:ascii="Calibri" w:eastAsia="Times New Roman" w:hAnsi="Calibri" w:cs="Arial"/>
          <w:lang w:eastAsia="pl-PL"/>
        </w:rPr>
        <w:t>Mirzec Malcówki, Mirzec Poddąbrowa, Mirzec Majorat(częściowo</w:t>
      </w:r>
      <w:r w:rsidRPr="00EE0C8C">
        <w:rPr>
          <w:rFonts w:ascii="Calibri" w:eastAsia="Times New Roman" w:hAnsi="Calibri" w:cs="Arial"/>
          <w:lang w:eastAsia="pl-PL"/>
        </w:rPr>
        <w:t>),</w:t>
      </w:r>
      <w:r w:rsidR="0071482D">
        <w:rPr>
          <w:rFonts w:ascii="Calibri" w:eastAsia="Times New Roman" w:hAnsi="Calibri" w:cs="Arial"/>
          <w:lang w:eastAsia="pl-PL"/>
        </w:rPr>
        <w:t xml:space="preserve"> Mirzec ul. Langiewicza (częściowo), Mirzec II (Mirzec ul. Modrzewiowa, Mirzec ul. J. Prendowskiej, Mirzec Poduchowne, Mirzec Korzonek, Mirzec Podborki, Mirzec Ogrody(częściowo)</w:t>
      </w:r>
      <w:r w:rsidRPr="00EE0C8C">
        <w:rPr>
          <w:rFonts w:ascii="Calibri" w:eastAsia="Times New Roman" w:hAnsi="Calibri" w:cs="Arial"/>
          <w:lang w:eastAsia="pl-PL"/>
        </w:rPr>
        <w:t>), Gadka (z wyłączeniem Gadka Majorat), Jagodne, Tychów Stary (z wyłączeniem Tychów Stary Podlesie), Ostrożanka (wzdłuż drogi powiatowej), Małyszyn Górny (do numeru 122), Osiny (</w:t>
      </w:r>
      <w:r w:rsidR="00E421E1">
        <w:rPr>
          <w:rFonts w:ascii="Calibri" w:eastAsia="Times New Roman" w:hAnsi="Calibri" w:cs="Arial"/>
          <w:lang w:eastAsia="pl-PL"/>
        </w:rPr>
        <w:t>Osiny – częściowo, Osiny Mokra Niwa – częściowo, Osiny Majorat - brak</w:t>
      </w:r>
      <w:r w:rsidRPr="00EE0C8C">
        <w:rPr>
          <w:rFonts w:ascii="Calibri" w:eastAsia="Times New Roman" w:hAnsi="Calibri" w:cs="Arial"/>
          <w:lang w:eastAsia="pl-PL"/>
        </w:rPr>
        <w:t xml:space="preserve">), Trębowiec </w:t>
      </w:r>
      <w:r w:rsidR="00E421E1">
        <w:rPr>
          <w:rFonts w:ascii="Calibri" w:eastAsia="Times New Roman" w:hAnsi="Calibri" w:cs="Arial"/>
          <w:lang w:eastAsia="pl-PL"/>
        </w:rPr>
        <w:br/>
      </w:r>
      <w:r w:rsidRPr="00EE0C8C">
        <w:rPr>
          <w:rFonts w:ascii="Calibri" w:eastAsia="Times New Roman" w:hAnsi="Calibri" w:cs="Arial"/>
          <w:lang w:eastAsia="pl-PL"/>
        </w:rPr>
        <w:t xml:space="preserve">(z wyłączeniem Trębowiec Krupów). </w:t>
      </w:r>
    </w:p>
    <w:p w:rsidR="00853156" w:rsidRPr="00EE0C8C" w:rsidRDefault="00853156" w:rsidP="00E421E1">
      <w:pPr>
        <w:spacing w:after="0"/>
        <w:jc w:val="both"/>
        <w:rPr>
          <w:rFonts w:ascii="Calibri" w:eastAsia="Times New Roman" w:hAnsi="Calibri" w:cs="Arial"/>
          <w:lang w:eastAsia="pl-PL"/>
        </w:rPr>
      </w:pPr>
      <w:r>
        <w:rPr>
          <w:rFonts w:ascii="Calibri" w:eastAsia="Times New Roman" w:hAnsi="Calibri" w:cs="Arial"/>
          <w:lang w:eastAsia="pl-PL"/>
        </w:rPr>
        <w:t xml:space="preserve">Na terenie sołectw Mirzec I i Mirzec II w latach 2008-2010 wybudowano sieć kanalizacyjną </w:t>
      </w:r>
      <w:r w:rsidR="003978E3">
        <w:rPr>
          <w:rFonts w:ascii="Calibri" w:eastAsia="Times New Roman" w:hAnsi="Calibri" w:cs="Arial"/>
          <w:lang w:eastAsia="pl-PL"/>
        </w:rPr>
        <w:br/>
      </w:r>
      <w:r>
        <w:rPr>
          <w:rFonts w:ascii="Calibri" w:eastAsia="Times New Roman" w:hAnsi="Calibri" w:cs="Arial"/>
          <w:lang w:eastAsia="pl-PL"/>
        </w:rPr>
        <w:t xml:space="preserve">w miejscowościach Mirzec </w:t>
      </w:r>
      <w:r w:rsidR="006C1D4A">
        <w:rPr>
          <w:rFonts w:ascii="Calibri" w:eastAsia="Times New Roman" w:hAnsi="Calibri" w:cs="Arial"/>
          <w:lang w:eastAsia="pl-PL"/>
        </w:rPr>
        <w:t>–</w:t>
      </w:r>
      <w:r>
        <w:rPr>
          <w:rFonts w:ascii="Calibri" w:eastAsia="Times New Roman" w:hAnsi="Calibri" w:cs="Arial"/>
          <w:lang w:eastAsia="pl-PL"/>
        </w:rPr>
        <w:t xml:space="preserve"> Malcowki</w:t>
      </w:r>
      <w:r w:rsidR="006C1D4A">
        <w:rPr>
          <w:rFonts w:ascii="Calibri" w:eastAsia="Times New Roman" w:hAnsi="Calibri" w:cs="Arial"/>
          <w:lang w:eastAsia="pl-PL"/>
        </w:rPr>
        <w:t xml:space="preserve"> – od posesji nr 1 do 58B, Mirzec  - Poddąbrowa – od posesji nr 1A do 71B, Mirzec – Poduchowne – posesje numeru 1 do 26, Mirzec ul. Modrzewiowa – posesje od nr 1 do 8, Mirzec ul. J. Prendowskiej posesje od nr 1 do 6, Mirzec – Podborki posesje od nr 2 do 44, Mirzec Stary  - posesje od numeru 1 do 39, Mirzec – Majorat posesje od nr 1 do 73 (z wyłączeniem numerów 54, 55, 65, 66, 67, 68, 69, 71 ,72, 72A), która pozwoli na wykonanie 446 przyłączy. Na dzień 31.12.2014r. wykonano 198 przyłączy do zbiorczej si8eci co stanowi 44,39% możliwych przyłączy. Na terenie sołectwa Mirzec I i Mirzec II nie wykonano konalizacji sanitarnej w miejscowościach Mirzec – Czerwona i Mirzec – Podkowalów oraz nie dokończono budowy w miejscowościach Mirzec ul. Langiewicza (posesje o nr 41A, 43, 45, 47, 49 oraz od nr 52 do 92); Mirzec – Majorat (posesje o nr 54, 55 ,65 ,66, 67, 68, 69 ,71 ,72</w:t>
      </w:r>
      <w:r w:rsidR="003978E3">
        <w:rPr>
          <w:rFonts w:ascii="Calibri" w:eastAsia="Times New Roman" w:hAnsi="Calibri" w:cs="Arial"/>
          <w:lang w:eastAsia="pl-PL"/>
        </w:rPr>
        <w:t xml:space="preserve">), Mirzec – Ogrody (posesje od nr 12 A do 18). Wykonanie kanalizacji sanitarnej na powyższych miejscowościach umożliwi wszystkim mieszkańców sołectw Mirzec I </w:t>
      </w:r>
      <w:r w:rsidR="003978E3">
        <w:rPr>
          <w:rFonts w:ascii="Calibri" w:eastAsia="Times New Roman" w:hAnsi="Calibri" w:cs="Arial"/>
          <w:lang w:eastAsia="pl-PL"/>
        </w:rPr>
        <w:br/>
        <w:t>o Mirzec II korzystanie z sieci, pozwoli ograniczyć ilość zanieczyszczeń przedostających się do środowiska oraz uporządkuje gospodarkę wodno ściekową na tych terenach.</w:t>
      </w:r>
    </w:p>
    <w:p w:rsidR="00EE0C8C" w:rsidRPr="00EE0C8C" w:rsidRDefault="00EE0C8C" w:rsidP="00EE0C8C">
      <w:pPr>
        <w:spacing w:after="0"/>
        <w:jc w:val="both"/>
        <w:rPr>
          <w:rFonts w:ascii="Calibri" w:eastAsia="Times New Roman" w:hAnsi="Calibri" w:cs="Arial"/>
          <w:lang w:eastAsia="pl-PL"/>
        </w:rPr>
      </w:pPr>
    </w:p>
    <w:p w:rsidR="00EE0C8C" w:rsidRPr="00EE0C8C" w:rsidRDefault="00EE0C8C" w:rsidP="00EE0C8C">
      <w:pPr>
        <w:spacing w:after="0"/>
        <w:jc w:val="both"/>
        <w:rPr>
          <w:rFonts w:ascii="Calibri" w:eastAsia="Times New Roman" w:hAnsi="Calibri" w:cs="Arial"/>
          <w:lang w:eastAsia="pl-PL"/>
        </w:rPr>
      </w:pPr>
    </w:p>
    <w:tbl>
      <w:tblPr>
        <w:tblStyle w:val="redniecieniowanie2akcent51"/>
        <w:tblW w:w="0" w:type="auto"/>
        <w:tblLook w:val="04A0" w:firstRow="1" w:lastRow="0" w:firstColumn="1" w:lastColumn="0" w:noHBand="0" w:noVBand="1"/>
      </w:tblPr>
      <w:tblGrid>
        <w:gridCol w:w="2615"/>
        <w:gridCol w:w="1498"/>
        <w:gridCol w:w="2410"/>
        <w:gridCol w:w="2693"/>
      </w:tblGrid>
      <w:tr w:rsidR="00EE0C8C" w:rsidRPr="00EE0C8C" w:rsidTr="00A76BD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15" w:type="dxa"/>
          </w:tcPr>
          <w:p w:rsidR="00EE0C8C" w:rsidRPr="00EE0C8C" w:rsidRDefault="00EE0C8C" w:rsidP="00EE0C8C">
            <w:pPr>
              <w:jc w:val="center"/>
              <w:rPr>
                <w:rFonts w:ascii="Calibri" w:eastAsia="Times New Roman" w:hAnsi="Calibri" w:cs="Arial"/>
                <w:lang w:eastAsia="pl-PL"/>
              </w:rPr>
            </w:pPr>
            <w:r w:rsidRPr="00EE0C8C">
              <w:rPr>
                <w:rFonts w:ascii="Calibri" w:eastAsia="Times New Roman" w:hAnsi="Calibri" w:cs="Arial"/>
              </w:rPr>
              <w:t>Sołectwo</w:t>
            </w:r>
          </w:p>
        </w:tc>
        <w:tc>
          <w:tcPr>
            <w:tcW w:w="1462" w:type="dxa"/>
          </w:tcPr>
          <w:p w:rsidR="00EE0C8C" w:rsidRPr="00EE0C8C" w:rsidRDefault="00EE0C8C" w:rsidP="00EE0C8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lang w:eastAsia="pl-PL"/>
              </w:rPr>
            </w:pPr>
            <w:r w:rsidRPr="00EE0C8C">
              <w:rPr>
                <w:rFonts w:ascii="Calibri" w:eastAsia="Times New Roman" w:hAnsi="Calibri" w:cs="Arial"/>
              </w:rPr>
              <w:t>Projektowane przyłącza</w:t>
            </w:r>
          </w:p>
        </w:tc>
        <w:tc>
          <w:tcPr>
            <w:tcW w:w="2410" w:type="dxa"/>
          </w:tcPr>
          <w:p w:rsidR="00EE0C8C" w:rsidRPr="00EE0C8C" w:rsidRDefault="00EE0C8C" w:rsidP="00EE0C8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lang w:eastAsia="pl-PL"/>
              </w:rPr>
            </w:pPr>
            <w:r w:rsidRPr="00EE0C8C">
              <w:rPr>
                <w:rFonts w:ascii="Calibri" w:eastAsia="Times New Roman" w:hAnsi="Calibri" w:cs="Arial"/>
              </w:rPr>
              <w:t>Przyłączeni na dzień 31.12.2014 r</w:t>
            </w:r>
          </w:p>
        </w:tc>
        <w:tc>
          <w:tcPr>
            <w:tcW w:w="2693" w:type="dxa"/>
          </w:tcPr>
          <w:p w:rsidR="00EE0C8C" w:rsidRPr="00EE0C8C" w:rsidRDefault="00EE0C8C" w:rsidP="00EE0C8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lang w:eastAsia="pl-PL"/>
              </w:rPr>
            </w:pPr>
            <w:r w:rsidRPr="00EE0C8C">
              <w:rPr>
                <w:rFonts w:ascii="Calibri" w:eastAsia="Times New Roman" w:hAnsi="Calibri" w:cs="Arial"/>
              </w:rPr>
              <w:t>Stan zaawansowania na dzień 31.12.2014 r</w:t>
            </w:r>
          </w:p>
        </w:tc>
      </w:tr>
      <w:tr w:rsidR="00EE0C8C" w:rsidRPr="00EE0C8C" w:rsidTr="00A76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5" w:type="dxa"/>
          </w:tcPr>
          <w:p w:rsidR="00EE0C8C" w:rsidRPr="00EE0C8C" w:rsidRDefault="00EE0C8C" w:rsidP="00EE0C8C">
            <w:pPr>
              <w:jc w:val="both"/>
              <w:rPr>
                <w:rFonts w:ascii="Calibri" w:eastAsia="Times New Roman" w:hAnsi="Calibri" w:cs="Arial"/>
                <w:color w:val="FF0000"/>
                <w:lang w:eastAsia="pl-PL"/>
              </w:rPr>
            </w:pPr>
            <w:r w:rsidRPr="00EE0C8C">
              <w:rPr>
                <w:rFonts w:ascii="Calibri" w:eastAsia="Times New Roman" w:hAnsi="Calibri" w:cs="Arial"/>
                <w:color w:val="FF0000"/>
              </w:rPr>
              <w:t>Mirzec I i Mirzec II</w:t>
            </w:r>
          </w:p>
        </w:tc>
        <w:tc>
          <w:tcPr>
            <w:tcW w:w="1462"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FF0000"/>
                <w:lang w:eastAsia="pl-PL"/>
              </w:rPr>
            </w:pPr>
            <w:r w:rsidRPr="00EE0C8C">
              <w:rPr>
                <w:rFonts w:ascii="Calibri" w:eastAsia="Times New Roman" w:hAnsi="Calibri" w:cs="Arial"/>
                <w:color w:val="FF0000"/>
              </w:rPr>
              <w:t>446</w:t>
            </w:r>
          </w:p>
        </w:tc>
        <w:tc>
          <w:tcPr>
            <w:tcW w:w="2410"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FF0000"/>
                <w:lang w:eastAsia="pl-PL"/>
              </w:rPr>
            </w:pPr>
            <w:r w:rsidRPr="00EE0C8C">
              <w:rPr>
                <w:rFonts w:ascii="Calibri" w:eastAsia="Times New Roman" w:hAnsi="Calibri" w:cs="Arial"/>
                <w:color w:val="FF0000"/>
              </w:rPr>
              <w:t>198</w:t>
            </w:r>
          </w:p>
        </w:tc>
        <w:tc>
          <w:tcPr>
            <w:tcW w:w="2693"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FF0000"/>
                <w:lang w:eastAsia="pl-PL"/>
              </w:rPr>
            </w:pPr>
            <w:r w:rsidRPr="00EE0C8C">
              <w:rPr>
                <w:rFonts w:ascii="Calibri" w:eastAsia="Times New Roman" w:hAnsi="Calibri" w:cs="Arial"/>
                <w:color w:val="FF0000"/>
              </w:rPr>
              <w:t>44,39 %</w:t>
            </w:r>
          </w:p>
        </w:tc>
      </w:tr>
      <w:tr w:rsidR="00EE0C8C" w:rsidRPr="00EE0C8C" w:rsidTr="00A76BDB">
        <w:tc>
          <w:tcPr>
            <w:cnfStyle w:val="001000000000" w:firstRow="0" w:lastRow="0" w:firstColumn="1" w:lastColumn="0" w:oddVBand="0" w:evenVBand="0" w:oddHBand="0" w:evenHBand="0" w:firstRowFirstColumn="0" w:firstRowLastColumn="0" w:lastRowFirstColumn="0" w:lastRowLastColumn="0"/>
            <w:tcW w:w="2615" w:type="dxa"/>
          </w:tcPr>
          <w:p w:rsidR="00EE0C8C" w:rsidRPr="00EE0C8C" w:rsidRDefault="00EE0C8C" w:rsidP="00EE0C8C">
            <w:pPr>
              <w:jc w:val="both"/>
              <w:rPr>
                <w:rFonts w:ascii="Calibri" w:eastAsia="Times New Roman" w:hAnsi="Calibri" w:cs="Arial"/>
                <w:lang w:eastAsia="pl-PL"/>
              </w:rPr>
            </w:pPr>
            <w:r w:rsidRPr="00EE0C8C">
              <w:rPr>
                <w:rFonts w:ascii="Calibri" w:eastAsia="Times New Roman" w:hAnsi="Calibri" w:cs="Arial"/>
              </w:rPr>
              <w:t>Tychów Nowy</w:t>
            </w:r>
          </w:p>
        </w:tc>
        <w:tc>
          <w:tcPr>
            <w:tcW w:w="1462" w:type="dxa"/>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lang w:eastAsia="pl-PL"/>
              </w:rPr>
            </w:pPr>
            <w:r w:rsidRPr="00EE0C8C">
              <w:rPr>
                <w:rFonts w:ascii="Calibri" w:eastAsia="Times New Roman" w:hAnsi="Calibri" w:cs="Arial"/>
              </w:rPr>
              <w:t>144</w:t>
            </w:r>
          </w:p>
        </w:tc>
        <w:tc>
          <w:tcPr>
            <w:tcW w:w="2410" w:type="dxa"/>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lang w:eastAsia="pl-PL"/>
              </w:rPr>
            </w:pPr>
            <w:r w:rsidRPr="00EE0C8C">
              <w:rPr>
                <w:rFonts w:ascii="Calibri" w:eastAsia="Times New Roman" w:hAnsi="Calibri" w:cs="Arial"/>
              </w:rPr>
              <w:t>115</w:t>
            </w:r>
          </w:p>
        </w:tc>
        <w:tc>
          <w:tcPr>
            <w:tcW w:w="2693" w:type="dxa"/>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lang w:eastAsia="pl-PL"/>
              </w:rPr>
            </w:pPr>
            <w:r w:rsidRPr="00EE0C8C">
              <w:rPr>
                <w:rFonts w:ascii="Calibri" w:eastAsia="Times New Roman" w:hAnsi="Calibri" w:cs="Arial"/>
              </w:rPr>
              <w:t>79,86 %</w:t>
            </w:r>
          </w:p>
        </w:tc>
      </w:tr>
      <w:tr w:rsidR="00EE0C8C" w:rsidRPr="00EE0C8C" w:rsidTr="00A76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5" w:type="dxa"/>
          </w:tcPr>
          <w:p w:rsidR="00EE0C8C" w:rsidRPr="00EE0C8C" w:rsidRDefault="00EE0C8C" w:rsidP="00EE0C8C">
            <w:pPr>
              <w:jc w:val="both"/>
              <w:rPr>
                <w:rFonts w:ascii="Calibri" w:eastAsia="Times New Roman" w:hAnsi="Calibri" w:cs="Arial"/>
                <w:lang w:eastAsia="pl-PL"/>
              </w:rPr>
            </w:pPr>
            <w:r w:rsidRPr="00EE0C8C">
              <w:rPr>
                <w:rFonts w:ascii="Calibri" w:eastAsia="Times New Roman" w:hAnsi="Calibri" w:cs="Arial"/>
              </w:rPr>
              <w:t>Tychów Stary</w:t>
            </w:r>
          </w:p>
        </w:tc>
        <w:tc>
          <w:tcPr>
            <w:tcW w:w="1462"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lang w:eastAsia="pl-PL"/>
              </w:rPr>
            </w:pPr>
            <w:r w:rsidRPr="00EE0C8C">
              <w:rPr>
                <w:rFonts w:ascii="Calibri" w:eastAsia="Times New Roman" w:hAnsi="Calibri" w:cs="Arial"/>
              </w:rPr>
              <w:t>151</w:t>
            </w:r>
          </w:p>
        </w:tc>
        <w:tc>
          <w:tcPr>
            <w:tcW w:w="2410"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lang w:eastAsia="pl-PL"/>
              </w:rPr>
            </w:pPr>
            <w:r w:rsidRPr="00EE0C8C">
              <w:rPr>
                <w:rFonts w:ascii="Calibri" w:eastAsia="Times New Roman" w:hAnsi="Calibri" w:cs="Arial"/>
              </w:rPr>
              <w:t>66</w:t>
            </w:r>
          </w:p>
        </w:tc>
        <w:tc>
          <w:tcPr>
            <w:tcW w:w="2693"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lang w:eastAsia="pl-PL"/>
              </w:rPr>
            </w:pPr>
            <w:r w:rsidRPr="00EE0C8C">
              <w:rPr>
                <w:rFonts w:ascii="Calibri" w:eastAsia="Times New Roman" w:hAnsi="Calibri" w:cs="Arial"/>
              </w:rPr>
              <w:t>43,7 %</w:t>
            </w:r>
          </w:p>
        </w:tc>
      </w:tr>
      <w:tr w:rsidR="00EE0C8C" w:rsidRPr="00EE0C8C" w:rsidTr="00A76BDB">
        <w:tc>
          <w:tcPr>
            <w:cnfStyle w:val="001000000000" w:firstRow="0" w:lastRow="0" w:firstColumn="1" w:lastColumn="0" w:oddVBand="0" w:evenVBand="0" w:oddHBand="0" w:evenHBand="0" w:firstRowFirstColumn="0" w:firstRowLastColumn="0" w:lastRowFirstColumn="0" w:lastRowLastColumn="0"/>
            <w:tcW w:w="2615" w:type="dxa"/>
          </w:tcPr>
          <w:p w:rsidR="00EE0C8C" w:rsidRPr="00EE0C8C" w:rsidRDefault="00EE0C8C" w:rsidP="00EE0C8C">
            <w:pPr>
              <w:jc w:val="both"/>
              <w:rPr>
                <w:rFonts w:ascii="Calibri" w:eastAsia="Times New Roman" w:hAnsi="Calibri" w:cs="Arial"/>
                <w:lang w:eastAsia="pl-PL"/>
              </w:rPr>
            </w:pPr>
            <w:r w:rsidRPr="00EE0C8C">
              <w:rPr>
                <w:rFonts w:ascii="Calibri" w:eastAsia="Times New Roman" w:hAnsi="Calibri" w:cs="Arial"/>
              </w:rPr>
              <w:t>Ostrożanka</w:t>
            </w:r>
          </w:p>
        </w:tc>
        <w:tc>
          <w:tcPr>
            <w:tcW w:w="1462" w:type="dxa"/>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lang w:eastAsia="pl-PL"/>
              </w:rPr>
            </w:pPr>
            <w:r w:rsidRPr="00EE0C8C">
              <w:rPr>
                <w:rFonts w:ascii="Calibri" w:eastAsia="Times New Roman" w:hAnsi="Calibri" w:cs="Arial"/>
              </w:rPr>
              <w:t>36</w:t>
            </w:r>
          </w:p>
        </w:tc>
        <w:tc>
          <w:tcPr>
            <w:tcW w:w="2410" w:type="dxa"/>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lang w:eastAsia="pl-PL"/>
              </w:rPr>
            </w:pPr>
            <w:r w:rsidRPr="00EE0C8C">
              <w:rPr>
                <w:rFonts w:ascii="Calibri" w:eastAsia="Times New Roman" w:hAnsi="Calibri" w:cs="Arial"/>
              </w:rPr>
              <w:t>9</w:t>
            </w:r>
          </w:p>
        </w:tc>
        <w:tc>
          <w:tcPr>
            <w:tcW w:w="2693" w:type="dxa"/>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lang w:eastAsia="pl-PL"/>
              </w:rPr>
            </w:pPr>
            <w:r w:rsidRPr="00EE0C8C">
              <w:rPr>
                <w:rFonts w:ascii="Calibri" w:eastAsia="Times New Roman" w:hAnsi="Calibri" w:cs="Arial"/>
              </w:rPr>
              <w:t>25, %</w:t>
            </w:r>
          </w:p>
        </w:tc>
      </w:tr>
      <w:tr w:rsidR="00EE0C8C" w:rsidRPr="00EE0C8C" w:rsidTr="00A76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5" w:type="dxa"/>
          </w:tcPr>
          <w:p w:rsidR="00EE0C8C" w:rsidRPr="00EE0C8C" w:rsidRDefault="00EE0C8C" w:rsidP="00EE0C8C">
            <w:pPr>
              <w:jc w:val="both"/>
              <w:rPr>
                <w:rFonts w:ascii="Calibri" w:eastAsia="Times New Roman" w:hAnsi="Calibri" w:cs="Arial"/>
                <w:lang w:eastAsia="pl-PL"/>
              </w:rPr>
            </w:pPr>
            <w:r w:rsidRPr="00EE0C8C">
              <w:rPr>
                <w:rFonts w:ascii="Calibri" w:eastAsia="Times New Roman" w:hAnsi="Calibri" w:cs="Arial"/>
              </w:rPr>
              <w:t>Małyszyn</w:t>
            </w:r>
          </w:p>
        </w:tc>
        <w:tc>
          <w:tcPr>
            <w:tcW w:w="1462"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lang w:eastAsia="pl-PL"/>
              </w:rPr>
            </w:pPr>
            <w:r w:rsidRPr="00EE0C8C">
              <w:rPr>
                <w:rFonts w:ascii="Calibri" w:eastAsia="Times New Roman" w:hAnsi="Calibri" w:cs="Arial"/>
              </w:rPr>
              <w:t>136</w:t>
            </w:r>
          </w:p>
        </w:tc>
        <w:tc>
          <w:tcPr>
            <w:tcW w:w="2410"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lang w:eastAsia="pl-PL"/>
              </w:rPr>
            </w:pPr>
            <w:r w:rsidRPr="00EE0C8C">
              <w:rPr>
                <w:rFonts w:ascii="Calibri" w:eastAsia="Times New Roman" w:hAnsi="Calibri" w:cs="Arial"/>
              </w:rPr>
              <w:t>48</w:t>
            </w:r>
          </w:p>
        </w:tc>
        <w:tc>
          <w:tcPr>
            <w:tcW w:w="2693"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lang w:eastAsia="pl-PL"/>
              </w:rPr>
            </w:pPr>
            <w:r w:rsidRPr="00EE0C8C">
              <w:rPr>
                <w:rFonts w:ascii="Calibri" w:eastAsia="Times New Roman" w:hAnsi="Calibri" w:cs="Arial"/>
              </w:rPr>
              <w:t>25 %</w:t>
            </w:r>
          </w:p>
        </w:tc>
      </w:tr>
      <w:tr w:rsidR="00EE0C8C" w:rsidRPr="00EE0C8C" w:rsidTr="00A76BDB">
        <w:tc>
          <w:tcPr>
            <w:cnfStyle w:val="001000000000" w:firstRow="0" w:lastRow="0" w:firstColumn="1" w:lastColumn="0" w:oddVBand="0" w:evenVBand="0" w:oddHBand="0" w:evenHBand="0" w:firstRowFirstColumn="0" w:firstRowLastColumn="0" w:lastRowFirstColumn="0" w:lastRowLastColumn="0"/>
            <w:tcW w:w="2615" w:type="dxa"/>
          </w:tcPr>
          <w:p w:rsidR="00EE0C8C" w:rsidRPr="00EE0C8C" w:rsidRDefault="00EE0C8C" w:rsidP="00EE0C8C">
            <w:pPr>
              <w:jc w:val="both"/>
              <w:rPr>
                <w:rFonts w:ascii="Calibri" w:eastAsia="Times New Roman" w:hAnsi="Calibri" w:cs="Arial"/>
                <w:lang w:eastAsia="pl-PL"/>
              </w:rPr>
            </w:pPr>
            <w:r w:rsidRPr="00EE0C8C">
              <w:rPr>
                <w:rFonts w:ascii="Calibri" w:eastAsia="Times New Roman" w:hAnsi="Calibri" w:cs="Arial"/>
              </w:rPr>
              <w:t xml:space="preserve">Trębowiec </w:t>
            </w:r>
          </w:p>
        </w:tc>
        <w:tc>
          <w:tcPr>
            <w:tcW w:w="1462" w:type="dxa"/>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lang w:eastAsia="pl-PL"/>
              </w:rPr>
            </w:pPr>
            <w:r w:rsidRPr="00EE0C8C">
              <w:rPr>
                <w:rFonts w:ascii="Calibri" w:eastAsia="Times New Roman" w:hAnsi="Calibri" w:cs="Arial"/>
              </w:rPr>
              <w:t>102</w:t>
            </w:r>
          </w:p>
        </w:tc>
        <w:tc>
          <w:tcPr>
            <w:tcW w:w="2410" w:type="dxa"/>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lang w:eastAsia="pl-PL"/>
              </w:rPr>
            </w:pPr>
            <w:r w:rsidRPr="00EE0C8C">
              <w:rPr>
                <w:rFonts w:ascii="Calibri" w:eastAsia="Times New Roman" w:hAnsi="Calibri" w:cs="Arial"/>
              </w:rPr>
              <w:t>47</w:t>
            </w:r>
          </w:p>
        </w:tc>
        <w:tc>
          <w:tcPr>
            <w:tcW w:w="2693" w:type="dxa"/>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lang w:eastAsia="pl-PL"/>
              </w:rPr>
            </w:pPr>
            <w:r w:rsidRPr="00EE0C8C">
              <w:rPr>
                <w:rFonts w:ascii="Calibri" w:eastAsia="Times New Roman" w:hAnsi="Calibri" w:cs="Arial"/>
              </w:rPr>
              <w:t>46,07 %</w:t>
            </w:r>
          </w:p>
        </w:tc>
      </w:tr>
      <w:tr w:rsidR="00EE0C8C" w:rsidRPr="00EE0C8C" w:rsidTr="00A76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5" w:type="dxa"/>
          </w:tcPr>
          <w:p w:rsidR="00EE0C8C" w:rsidRPr="00EE0C8C" w:rsidRDefault="00EE0C8C" w:rsidP="00EE0C8C">
            <w:pPr>
              <w:jc w:val="both"/>
              <w:rPr>
                <w:rFonts w:ascii="Calibri" w:eastAsia="Times New Roman" w:hAnsi="Calibri" w:cs="Arial"/>
                <w:lang w:eastAsia="pl-PL"/>
              </w:rPr>
            </w:pPr>
            <w:r w:rsidRPr="00EE0C8C">
              <w:rPr>
                <w:rFonts w:ascii="Calibri" w:eastAsia="Times New Roman" w:hAnsi="Calibri" w:cs="Arial"/>
              </w:rPr>
              <w:t>Osiny</w:t>
            </w:r>
          </w:p>
        </w:tc>
        <w:tc>
          <w:tcPr>
            <w:tcW w:w="1462"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lang w:eastAsia="pl-PL"/>
              </w:rPr>
            </w:pPr>
            <w:r w:rsidRPr="00EE0C8C">
              <w:rPr>
                <w:rFonts w:ascii="Calibri" w:eastAsia="Times New Roman" w:hAnsi="Calibri" w:cs="Arial"/>
              </w:rPr>
              <w:t>139</w:t>
            </w:r>
          </w:p>
        </w:tc>
        <w:tc>
          <w:tcPr>
            <w:tcW w:w="2410"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lang w:eastAsia="pl-PL"/>
              </w:rPr>
            </w:pPr>
            <w:r w:rsidRPr="00EE0C8C">
              <w:rPr>
                <w:rFonts w:ascii="Calibri" w:eastAsia="Times New Roman" w:hAnsi="Calibri" w:cs="Arial"/>
              </w:rPr>
              <w:t>37</w:t>
            </w:r>
          </w:p>
        </w:tc>
        <w:tc>
          <w:tcPr>
            <w:tcW w:w="2693"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lang w:eastAsia="pl-PL"/>
              </w:rPr>
            </w:pPr>
            <w:r w:rsidRPr="00EE0C8C">
              <w:rPr>
                <w:rFonts w:ascii="Calibri" w:eastAsia="Times New Roman" w:hAnsi="Calibri" w:cs="Arial"/>
              </w:rPr>
              <w:t>26,62 %</w:t>
            </w:r>
          </w:p>
        </w:tc>
      </w:tr>
      <w:tr w:rsidR="00EE0C8C" w:rsidRPr="00EE0C8C" w:rsidTr="00A76BDB">
        <w:tc>
          <w:tcPr>
            <w:cnfStyle w:val="001000000000" w:firstRow="0" w:lastRow="0" w:firstColumn="1" w:lastColumn="0" w:oddVBand="0" w:evenVBand="0" w:oddHBand="0" w:evenHBand="0" w:firstRowFirstColumn="0" w:firstRowLastColumn="0" w:lastRowFirstColumn="0" w:lastRowLastColumn="0"/>
            <w:tcW w:w="2615" w:type="dxa"/>
          </w:tcPr>
          <w:p w:rsidR="00EE0C8C" w:rsidRPr="00EE0C8C" w:rsidRDefault="00EE0C8C" w:rsidP="00EE0C8C">
            <w:pPr>
              <w:jc w:val="both"/>
              <w:rPr>
                <w:rFonts w:ascii="Calibri" w:eastAsia="Times New Roman" w:hAnsi="Calibri" w:cs="Arial"/>
                <w:lang w:eastAsia="pl-PL"/>
              </w:rPr>
            </w:pPr>
            <w:r w:rsidRPr="00EE0C8C">
              <w:rPr>
                <w:rFonts w:ascii="Calibri" w:eastAsia="Times New Roman" w:hAnsi="Calibri" w:cs="Arial"/>
              </w:rPr>
              <w:t>Jagodne</w:t>
            </w:r>
          </w:p>
        </w:tc>
        <w:tc>
          <w:tcPr>
            <w:tcW w:w="1462" w:type="dxa"/>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lang w:eastAsia="pl-PL"/>
              </w:rPr>
            </w:pPr>
            <w:r w:rsidRPr="00EE0C8C">
              <w:rPr>
                <w:rFonts w:ascii="Calibri" w:eastAsia="Times New Roman" w:hAnsi="Calibri" w:cs="Arial"/>
              </w:rPr>
              <w:t>128</w:t>
            </w:r>
          </w:p>
        </w:tc>
        <w:tc>
          <w:tcPr>
            <w:tcW w:w="2410" w:type="dxa"/>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lang w:eastAsia="pl-PL"/>
              </w:rPr>
            </w:pPr>
            <w:r w:rsidRPr="00EE0C8C">
              <w:rPr>
                <w:rFonts w:ascii="Calibri" w:eastAsia="Times New Roman" w:hAnsi="Calibri" w:cs="Arial"/>
              </w:rPr>
              <w:t>83</w:t>
            </w:r>
          </w:p>
        </w:tc>
        <w:tc>
          <w:tcPr>
            <w:tcW w:w="2693" w:type="dxa"/>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lang w:eastAsia="pl-PL"/>
              </w:rPr>
            </w:pPr>
            <w:r w:rsidRPr="00EE0C8C">
              <w:rPr>
                <w:rFonts w:ascii="Calibri" w:eastAsia="Times New Roman" w:hAnsi="Calibri" w:cs="Arial"/>
              </w:rPr>
              <w:t>70,34 %</w:t>
            </w:r>
          </w:p>
        </w:tc>
      </w:tr>
      <w:tr w:rsidR="00EE0C8C" w:rsidRPr="00EE0C8C" w:rsidTr="00A76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5" w:type="dxa"/>
          </w:tcPr>
          <w:p w:rsidR="00EE0C8C" w:rsidRPr="00EE0C8C" w:rsidRDefault="00EE0C8C" w:rsidP="00EE0C8C">
            <w:pPr>
              <w:jc w:val="both"/>
              <w:rPr>
                <w:rFonts w:ascii="Calibri" w:eastAsia="Times New Roman" w:hAnsi="Calibri" w:cs="Arial"/>
                <w:lang w:eastAsia="pl-PL"/>
              </w:rPr>
            </w:pPr>
            <w:r w:rsidRPr="00EE0C8C">
              <w:rPr>
                <w:rFonts w:ascii="Calibri" w:eastAsia="Times New Roman" w:hAnsi="Calibri" w:cs="Arial"/>
              </w:rPr>
              <w:t>Gadka</w:t>
            </w:r>
          </w:p>
        </w:tc>
        <w:tc>
          <w:tcPr>
            <w:tcW w:w="1462"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lang w:eastAsia="pl-PL"/>
              </w:rPr>
            </w:pPr>
            <w:r w:rsidRPr="00EE0C8C">
              <w:rPr>
                <w:rFonts w:ascii="Calibri" w:eastAsia="Times New Roman" w:hAnsi="Calibri" w:cs="Arial"/>
              </w:rPr>
              <w:t>255</w:t>
            </w:r>
          </w:p>
        </w:tc>
        <w:tc>
          <w:tcPr>
            <w:tcW w:w="2410"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lang w:eastAsia="pl-PL"/>
              </w:rPr>
            </w:pPr>
            <w:r w:rsidRPr="00EE0C8C">
              <w:rPr>
                <w:rFonts w:ascii="Calibri" w:eastAsia="Times New Roman" w:hAnsi="Calibri" w:cs="Arial"/>
              </w:rPr>
              <w:t>133</w:t>
            </w:r>
          </w:p>
        </w:tc>
        <w:tc>
          <w:tcPr>
            <w:tcW w:w="2693"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lang w:eastAsia="pl-PL"/>
              </w:rPr>
            </w:pPr>
            <w:r w:rsidRPr="00EE0C8C">
              <w:rPr>
                <w:rFonts w:ascii="Calibri" w:eastAsia="Times New Roman" w:hAnsi="Calibri" w:cs="Arial"/>
              </w:rPr>
              <w:t>52,15 %</w:t>
            </w:r>
          </w:p>
        </w:tc>
      </w:tr>
      <w:tr w:rsidR="00EE0C8C" w:rsidRPr="00EE0C8C" w:rsidTr="00A76BDB">
        <w:tc>
          <w:tcPr>
            <w:cnfStyle w:val="001000000000" w:firstRow="0" w:lastRow="0" w:firstColumn="1" w:lastColumn="0" w:oddVBand="0" w:evenVBand="0" w:oddHBand="0" w:evenHBand="0" w:firstRowFirstColumn="0" w:firstRowLastColumn="0" w:lastRowFirstColumn="0" w:lastRowLastColumn="0"/>
            <w:tcW w:w="2615" w:type="dxa"/>
          </w:tcPr>
          <w:p w:rsidR="00EE0C8C" w:rsidRPr="00EE0C8C" w:rsidRDefault="00EE0C8C" w:rsidP="00EE0C8C">
            <w:pPr>
              <w:jc w:val="both"/>
              <w:rPr>
                <w:rFonts w:ascii="Calibri" w:eastAsia="Times New Roman" w:hAnsi="Calibri" w:cs="Arial"/>
                <w:lang w:eastAsia="pl-PL"/>
              </w:rPr>
            </w:pPr>
            <w:r w:rsidRPr="00EE0C8C">
              <w:rPr>
                <w:rFonts w:ascii="Calibri" w:eastAsia="Times New Roman" w:hAnsi="Calibri" w:cs="Arial"/>
              </w:rPr>
              <w:t>RAZEM</w:t>
            </w:r>
          </w:p>
        </w:tc>
        <w:tc>
          <w:tcPr>
            <w:tcW w:w="1462" w:type="dxa"/>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lang w:eastAsia="pl-PL"/>
              </w:rPr>
            </w:pPr>
            <w:r w:rsidRPr="00EE0C8C">
              <w:rPr>
                <w:rFonts w:ascii="Calibri" w:eastAsia="Times New Roman" w:hAnsi="Calibri" w:cs="Arial"/>
              </w:rPr>
              <w:t>1537</w:t>
            </w:r>
          </w:p>
        </w:tc>
        <w:tc>
          <w:tcPr>
            <w:tcW w:w="2410" w:type="dxa"/>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lang w:eastAsia="pl-PL"/>
              </w:rPr>
            </w:pPr>
            <w:r w:rsidRPr="00EE0C8C">
              <w:rPr>
                <w:rFonts w:ascii="Calibri" w:eastAsia="Times New Roman" w:hAnsi="Calibri" w:cs="Arial"/>
              </w:rPr>
              <w:t>736</w:t>
            </w:r>
          </w:p>
        </w:tc>
        <w:tc>
          <w:tcPr>
            <w:tcW w:w="2693" w:type="dxa"/>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lang w:eastAsia="pl-PL"/>
              </w:rPr>
            </w:pPr>
            <w:r w:rsidRPr="00EE0C8C">
              <w:rPr>
                <w:rFonts w:ascii="Calibri" w:eastAsia="Times New Roman" w:hAnsi="Calibri" w:cs="Arial"/>
              </w:rPr>
              <w:t>47,88 %</w:t>
            </w:r>
          </w:p>
        </w:tc>
      </w:tr>
    </w:tbl>
    <w:p w:rsidR="00EE0C8C" w:rsidRPr="00EE0C8C" w:rsidRDefault="00EE0C8C" w:rsidP="00EE0C8C">
      <w:pPr>
        <w:spacing w:after="0"/>
        <w:jc w:val="center"/>
        <w:rPr>
          <w:rFonts w:ascii="Calibri" w:eastAsia="Times New Roman" w:hAnsi="Calibri" w:cs="Arial"/>
          <w:i/>
          <w:lang w:eastAsia="pl-PL"/>
        </w:rPr>
      </w:pPr>
    </w:p>
    <w:p w:rsidR="00EE0C8C" w:rsidRPr="00EE0C8C" w:rsidRDefault="00EE0C8C" w:rsidP="00EE0C8C">
      <w:pPr>
        <w:spacing w:after="0"/>
        <w:jc w:val="center"/>
        <w:rPr>
          <w:rFonts w:ascii="Calibri" w:eastAsia="Times New Roman" w:hAnsi="Calibri" w:cs="Arial"/>
          <w:i/>
          <w:lang w:eastAsia="pl-PL"/>
        </w:rPr>
      </w:pPr>
      <w:r w:rsidRPr="00EE0C8C">
        <w:rPr>
          <w:rFonts w:ascii="Calibri" w:eastAsia="Times New Roman" w:hAnsi="Calibri" w:cs="Arial"/>
          <w:i/>
          <w:lang w:eastAsia="pl-PL"/>
        </w:rPr>
        <w:t>(Źródło: Opracowanie własne na podstawie danych z Urzędu Gminy w Mircu)</w:t>
      </w:r>
    </w:p>
    <w:p w:rsidR="00EE0C8C" w:rsidRPr="00EE0C8C" w:rsidRDefault="00EE0C8C" w:rsidP="00EE0C8C">
      <w:pPr>
        <w:spacing w:after="0"/>
        <w:jc w:val="center"/>
        <w:rPr>
          <w:rFonts w:ascii="Calibri" w:eastAsia="Times New Roman" w:hAnsi="Calibri" w:cs="Arial"/>
          <w:i/>
          <w:lang w:eastAsia="pl-PL"/>
        </w:rPr>
      </w:pPr>
    </w:p>
    <w:p w:rsidR="00EE0C8C" w:rsidRPr="00EE0C8C" w:rsidRDefault="00EE0C8C" w:rsidP="00EE0C8C">
      <w:pPr>
        <w:spacing w:after="0"/>
        <w:jc w:val="both"/>
        <w:rPr>
          <w:rFonts w:ascii="Calibri" w:eastAsia="Times New Roman" w:hAnsi="Calibri" w:cs="Arial"/>
          <w:lang w:eastAsia="pl-PL"/>
        </w:rPr>
      </w:pPr>
      <w:r w:rsidRPr="00EE0C8C">
        <w:rPr>
          <w:rFonts w:ascii="Calibri" w:eastAsia="Times New Roman" w:hAnsi="Calibri" w:cs="Arial"/>
          <w:lang w:eastAsia="pl-PL"/>
        </w:rPr>
        <w:t>Z informacji uzyskanych od PWiK Starachowice Sp. z o.o. wynika, iż na dzień 31.12.2014 r 60</w:t>
      </w:r>
      <w:r w:rsidR="00A74F68">
        <w:rPr>
          <w:rFonts w:ascii="Calibri" w:eastAsia="Times New Roman" w:hAnsi="Calibri" w:cs="Arial"/>
          <w:lang w:eastAsia="pl-PL"/>
        </w:rPr>
        <w:t xml:space="preserve"> </w:t>
      </w:r>
      <w:r w:rsidRPr="00EE0C8C">
        <w:rPr>
          <w:rFonts w:ascii="Calibri" w:eastAsia="Times New Roman" w:hAnsi="Calibri" w:cs="Arial"/>
          <w:lang w:eastAsia="pl-PL"/>
        </w:rPr>
        <w:t xml:space="preserve">właścicieli nieruchomości złożyło wnioski o przyłączenie do zbiorczej sieci kanalizacyjnej, a 75 </w:t>
      </w:r>
      <w:r w:rsidR="00A74F68" w:rsidRPr="00EE0C8C">
        <w:rPr>
          <w:rFonts w:ascii="Calibri" w:eastAsia="Times New Roman" w:hAnsi="Calibri" w:cs="Arial"/>
          <w:lang w:eastAsia="pl-PL"/>
        </w:rPr>
        <w:t>szt.</w:t>
      </w:r>
      <w:r w:rsidRPr="00EE0C8C">
        <w:rPr>
          <w:rFonts w:ascii="Calibri" w:eastAsia="Times New Roman" w:hAnsi="Calibri" w:cs="Arial"/>
          <w:lang w:eastAsia="pl-PL"/>
        </w:rPr>
        <w:t xml:space="preserve"> przyłączy czeka na odbiór.</w:t>
      </w:r>
    </w:p>
    <w:p w:rsidR="00EE0C8C" w:rsidRPr="00EE0C8C" w:rsidRDefault="00EE0C8C" w:rsidP="00EE0C8C">
      <w:pPr>
        <w:spacing w:after="0"/>
        <w:ind w:firstLine="1134"/>
        <w:jc w:val="both"/>
        <w:rPr>
          <w:rFonts w:ascii="Calibri" w:eastAsia="Times New Roman" w:hAnsi="Calibri" w:cs="Arial"/>
          <w:lang w:eastAsia="pl-PL"/>
        </w:rPr>
      </w:pPr>
    </w:p>
    <w:p w:rsidR="00EE0C8C" w:rsidRPr="00EE0C8C" w:rsidRDefault="00EE0C8C" w:rsidP="00EE0C8C">
      <w:pPr>
        <w:spacing w:after="0"/>
        <w:jc w:val="both"/>
        <w:rPr>
          <w:rFonts w:ascii="Calibri" w:eastAsia="Times New Roman" w:hAnsi="Calibri" w:cs="Arial"/>
          <w:lang w:eastAsia="pl-PL"/>
        </w:rPr>
      </w:pPr>
      <w:r w:rsidRPr="00EE0C8C">
        <w:rPr>
          <w:rFonts w:ascii="Calibri" w:eastAsia="Times New Roman" w:hAnsi="Calibri" w:cs="Arial"/>
          <w:lang w:eastAsia="pl-PL"/>
        </w:rPr>
        <w:t>Gmina Mirzec nie posiada własnej oczyszczalni ścieków komunalnych, istniejąca sieć podłączona jest do oczyszczalni ścieków w Starachowicach. Ponadto w gminie funkcjonuje kilkanaście przydomowych oczyszczalni ścieków.</w:t>
      </w:r>
    </w:p>
    <w:p w:rsidR="00EE0C8C" w:rsidRPr="00EE0C8C" w:rsidRDefault="00EE0C8C" w:rsidP="00EE0C8C">
      <w:pPr>
        <w:spacing w:after="0"/>
        <w:ind w:firstLine="1134"/>
        <w:rPr>
          <w:rFonts w:ascii="Calibri" w:eastAsia="Times New Roman" w:hAnsi="Calibri" w:cs="Arial"/>
          <w:lang w:eastAsia="pl-PL"/>
        </w:rPr>
      </w:pPr>
    </w:p>
    <w:p w:rsidR="00EE0C8C" w:rsidRPr="00EE0C8C" w:rsidRDefault="00EE0C8C" w:rsidP="00EE0C8C">
      <w:pPr>
        <w:spacing w:after="0"/>
        <w:ind w:firstLine="1134"/>
        <w:rPr>
          <w:rFonts w:ascii="Calibri" w:eastAsia="Times New Roman" w:hAnsi="Calibri" w:cs="Arial"/>
          <w:lang w:eastAsia="pl-PL"/>
        </w:rPr>
      </w:pPr>
    </w:p>
    <w:p w:rsidR="00EE0C8C" w:rsidRPr="00EE0C8C" w:rsidRDefault="00EE0C8C" w:rsidP="00EE0C8C">
      <w:pPr>
        <w:spacing w:after="0"/>
        <w:ind w:firstLine="1134"/>
        <w:rPr>
          <w:rFonts w:ascii="Calibri" w:eastAsia="Times New Roman" w:hAnsi="Calibri" w:cs="Arial"/>
          <w:lang w:eastAsia="pl-PL"/>
        </w:rPr>
      </w:pPr>
    </w:p>
    <w:tbl>
      <w:tblPr>
        <w:tblStyle w:val="redniecieniowanie2akcent51"/>
        <w:tblW w:w="0" w:type="auto"/>
        <w:jc w:val="center"/>
        <w:tblLook w:val="04A0" w:firstRow="1" w:lastRow="0" w:firstColumn="1" w:lastColumn="0" w:noHBand="0" w:noVBand="1"/>
      </w:tblPr>
      <w:tblGrid>
        <w:gridCol w:w="2615"/>
        <w:gridCol w:w="3730"/>
      </w:tblGrid>
      <w:tr w:rsidR="00EE0C8C" w:rsidRPr="00EE0C8C" w:rsidTr="00A76BDB">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615" w:type="dxa"/>
          </w:tcPr>
          <w:p w:rsidR="00EE0C8C" w:rsidRPr="00EE0C8C" w:rsidRDefault="00EE0C8C" w:rsidP="00EE0C8C">
            <w:pPr>
              <w:jc w:val="center"/>
              <w:rPr>
                <w:rFonts w:ascii="Calibri" w:eastAsia="Times New Roman" w:hAnsi="Calibri" w:cs="Arial"/>
                <w:lang w:eastAsia="pl-PL"/>
              </w:rPr>
            </w:pPr>
            <w:r w:rsidRPr="00EE0C8C">
              <w:rPr>
                <w:rFonts w:ascii="Calibri" w:eastAsia="Times New Roman" w:hAnsi="Calibri" w:cs="Arial"/>
              </w:rPr>
              <w:t>Sołectwo</w:t>
            </w:r>
          </w:p>
        </w:tc>
        <w:tc>
          <w:tcPr>
            <w:tcW w:w="3730" w:type="dxa"/>
          </w:tcPr>
          <w:p w:rsidR="00EE0C8C" w:rsidRPr="00EE0C8C" w:rsidRDefault="00EE0C8C" w:rsidP="00EE0C8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lang w:eastAsia="pl-PL"/>
              </w:rPr>
            </w:pPr>
            <w:r w:rsidRPr="00EE0C8C">
              <w:rPr>
                <w:rFonts w:ascii="Calibri" w:eastAsia="Times New Roman" w:hAnsi="Calibri" w:cs="Arial"/>
              </w:rPr>
              <w:t>Liczba przydomowych oczyszczalni ścieków (szt.)</w:t>
            </w:r>
          </w:p>
        </w:tc>
      </w:tr>
      <w:tr w:rsidR="00EE0C8C" w:rsidRPr="00EE0C8C" w:rsidTr="00A76B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15" w:type="dxa"/>
          </w:tcPr>
          <w:p w:rsidR="00EE0C8C" w:rsidRPr="00EE0C8C" w:rsidRDefault="00EE0C8C" w:rsidP="00EE0C8C">
            <w:pPr>
              <w:jc w:val="both"/>
              <w:rPr>
                <w:rFonts w:ascii="Calibri" w:eastAsia="Times New Roman" w:hAnsi="Calibri" w:cs="Arial"/>
                <w:color w:val="FF0000"/>
                <w:lang w:eastAsia="pl-PL"/>
              </w:rPr>
            </w:pPr>
            <w:r w:rsidRPr="00EE0C8C">
              <w:rPr>
                <w:rFonts w:ascii="Calibri" w:eastAsia="Times New Roman" w:hAnsi="Calibri" w:cs="Arial"/>
                <w:color w:val="FF0000"/>
              </w:rPr>
              <w:t>Mirzec I i Mirzec II</w:t>
            </w:r>
          </w:p>
        </w:tc>
        <w:tc>
          <w:tcPr>
            <w:tcW w:w="3730"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FF0000"/>
                <w:lang w:eastAsia="pl-PL"/>
              </w:rPr>
            </w:pPr>
            <w:r w:rsidRPr="00EE0C8C">
              <w:rPr>
                <w:rFonts w:ascii="Calibri" w:eastAsia="Times New Roman" w:hAnsi="Calibri" w:cs="Arial"/>
                <w:color w:val="FF0000"/>
              </w:rPr>
              <w:t>20</w:t>
            </w:r>
          </w:p>
        </w:tc>
      </w:tr>
      <w:tr w:rsidR="00EE0C8C" w:rsidRPr="00EE0C8C" w:rsidTr="00A76BDB">
        <w:trPr>
          <w:jc w:val="center"/>
        </w:trPr>
        <w:tc>
          <w:tcPr>
            <w:cnfStyle w:val="001000000000" w:firstRow="0" w:lastRow="0" w:firstColumn="1" w:lastColumn="0" w:oddVBand="0" w:evenVBand="0" w:oddHBand="0" w:evenHBand="0" w:firstRowFirstColumn="0" w:firstRowLastColumn="0" w:lastRowFirstColumn="0" w:lastRowLastColumn="0"/>
            <w:tcW w:w="2615" w:type="dxa"/>
          </w:tcPr>
          <w:p w:rsidR="00EE0C8C" w:rsidRPr="00EE0C8C" w:rsidRDefault="00EE0C8C" w:rsidP="00EE0C8C">
            <w:pPr>
              <w:jc w:val="both"/>
              <w:rPr>
                <w:rFonts w:ascii="Calibri" w:eastAsia="Times New Roman" w:hAnsi="Calibri" w:cs="Arial"/>
                <w:lang w:eastAsia="pl-PL"/>
              </w:rPr>
            </w:pPr>
            <w:r w:rsidRPr="00EE0C8C">
              <w:rPr>
                <w:rFonts w:ascii="Calibri" w:eastAsia="Times New Roman" w:hAnsi="Calibri" w:cs="Arial"/>
              </w:rPr>
              <w:t>Tychów Nowy</w:t>
            </w:r>
          </w:p>
        </w:tc>
        <w:tc>
          <w:tcPr>
            <w:tcW w:w="3730" w:type="dxa"/>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lang w:eastAsia="pl-PL"/>
              </w:rPr>
            </w:pPr>
            <w:r w:rsidRPr="00EE0C8C">
              <w:rPr>
                <w:rFonts w:ascii="Calibri" w:eastAsia="Times New Roman" w:hAnsi="Calibri" w:cs="Arial"/>
              </w:rPr>
              <w:t>2</w:t>
            </w:r>
          </w:p>
        </w:tc>
      </w:tr>
      <w:tr w:rsidR="00EE0C8C" w:rsidRPr="00EE0C8C" w:rsidTr="00A76B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15" w:type="dxa"/>
          </w:tcPr>
          <w:p w:rsidR="00EE0C8C" w:rsidRPr="00EE0C8C" w:rsidRDefault="00EE0C8C" w:rsidP="00EE0C8C">
            <w:pPr>
              <w:jc w:val="both"/>
              <w:rPr>
                <w:rFonts w:ascii="Calibri" w:eastAsia="Times New Roman" w:hAnsi="Calibri" w:cs="Arial"/>
                <w:lang w:eastAsia="pl-PL"/>
              </w:rPr>
            </w:pPr>
            <w:r w:rsidRPr="00EE0C8C">
              <w:rPr>
                <w:rFonts w:ascii="Calibri" w:eastAsia="Times New Roman" w:hAnsi="Calibri" w:cs="Arial"/>
              </w:rPr>
              <w:t>Tychów Stary</w:t>
            </w:r>
          </w:p>
        </w:tc>
        <w:tc>
          <w:tcPr>
            <w:tcW w:w="3730"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lang w:eastAsia="pl-PL"/>
              </w:rPr>
            </w:pPr>
            <w:r w:rsidRPr="00EE0C8C">
              <w:rPr>
                <w:rFonts w:ascii="Calibri" w:eastAsia="Times New Roman" w:hAnsi="Calibri" w:cs="Arial"/>
              </w:rPr>
              <w:t>13</w:t>
            </w:r>
          </w:p>
        </w:tc>
      </w:tr>
      <w:tr w:rsidR="00EE0C8C" w:rsidRPr="00EE0C8C" w:rsidTr="00A76BDB">
        <w:trPr>
          <w:jc w:val="center"/>
        </w:trPr>
        <w:tc>
          <w:tcPr>
            <w:cnfStyle w:val="001000000000" w:firstRow="0" w:lastRow="0" w:firstColumn="1" w:lastColumn="0" w:oddVBand="0" w:evenVBand="0" w:oddHBand="0" w:evenHBand="0" w:firstRowFirstColumn="0" w:firstRowLastColumn="0" w:lastRowFirstColumn="0" w:lastRowLastColumn="0"/>
            <w:tcW w:w="2615" w:type="dxa"/>
          </w:tcPr>
          <w:p w:rsidR="00EE0C8C" w:rsidRPr="00EE0C8C" w:rsidRDefault="00EE0C8C" w:rsidP="00EE0C8C">
            <w:pPr>
              <w:jc w:val="both"/>
              <w:rPr>
                <w:rFonts w:ascii="Calibri" w:eastAsia="Times New Roman" w:hAnsi="Calibri" w:cs="Arial"/>
                <w:lang w:eastAsia="pl-PL"/>
              </w:rPr>
            </w:pPr>
            <w:r w:rsidRPr="00EE0C8C">
              <w:rPr>
                <w:rFonts w:ascii="Calibri" w:eastAsia="Times New Roman" w:hAnsi="Calibri" w:cs="Arial"/>
              </w:rPr>
              <w:t>Ostrożanka</w:t>
            </w:r>
          </w:p>
        </w:tc>
        <w:tc>
          <w:tcPr>
            <w:tcW w:w="3730" w:type="dxa"/>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lang w:eastAsia="pl-PL"/>
              </w:rPr>
            </w:pPr>
            <w:r w:rsidRPr="00EE0C8C">
              <w:rPr>
                <w:rFonts w:ascii="Calibri" w:eastAsia="Times New Roman" w:hAnsi="Calibri" w:cs="Arial"/>
              </w:rPr>
              <w:t>7</w:t>
            </w:r>
          </w:p>
        </w:tc>
      </w:tr>
      <w:tr w:rsidR="00EE0C8C" w:rsidRPr="00EE0C8C" w:rsidTr="00A76B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15" w:type="dxa"/>
          </w:tcPr>
          <w:p w:rsidR="00EE0C8C" w:rsidRPr="00EE0C8C" w:rsidRDefault="00EE0C8C" w:rsidP="00EE0C8C">
            <w:pPr>
              <w:jc w:val="both"/>
              <w:rPr>
                <w:rFonts w:ascii="Calibri" w:eastAsia="Times New Roman" w:hAnsi="Calibri" w:cs="Arial"/>
                <w:lang w:eastAsia="pl-PL"/>
              </w:rPr>
            </w:pPr>
            <w:r w:rsidRPr="00EE0C8C">
              <w:rPr>
                <w:rFonts w:ascii="Calibri" w:eastAsia="Times New Roman" w:hAnsi="Calibri" w:cs="Arial"/>
              </w:rPr>
              <w:t>Małyszyn</w:t>
            </w:r>
          </w:p>
        </w:tc>
        <w:tc>
          <w:tcPr>
            <w:tcW w:w="3730"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lang w:eastAsia="pl-PL"/>
              </w:rPr>
            </w:pPr>
            <w:r w:rsidRPr="00EE0C8C">
              <w:rPr>
                <w:rFonts w:ascii="Calibri" w:eastAsia="Times New Roman" w:hAnsi="Calibri" w:cs="Arial"/>
              </w:rPr>
              <w:t>2</w:t>
            </w:r>
          </w:p>
        </w:tc>
      </w:tr>
      <w:tr w:rsidR="00EE0C8C" w:rsidRPr="00EE0C8C" w:rsidTr="00A76BDB">
        <w:trPr>
          <w:jc w:val="center"/>
        </w:trPr>
        <w:tc>
          <w:tcPr>
            <w:cnfStyle w:val="001000000000" w:firstRow="0" w:lastRow="0" w:firstColumn="1" w:lastColumn="0" w:oddVBand="0" w:evenVBand="0" w:oddHBand="0" w:evenHBand="0" w:firstRowFirstColumn="0" w:firstRowLastColumn="0" w:lastRowFirstColumn="0" w:lastRowLastColumn="0"/>
            <w:tcW w:w="2615" w:type="dxa"/>
          </w:tcPr>
          <w:p w:rsidR="00EE0C8C" w:rsidRPr="00EE0C8C" w:rsidRDefault="00EE0C8C" w:rsidP="00EE0C8C">
            <w:pPr>
              <w:jc w:val="both"/>
              <w:rPr>
                <w:rFonts w:ascii="Calibri" w:eastAsia="Times New Roman" w:hAnsi="Calibri" w:cs="Arial"/>
                <w:lang w:eastAsia="pl-PL"/>
              </w:rPr>
            </w:pPr>
            <w:r w:rsidRPr="00EE0C8C">
              <w:rPr>
                <w:rFonts w:ascii="Calibri" w:eastAsia="Times New Roman" w:hAnsi="Calibri" w:cs="Arial"/>
              </w:rPr>
              <w:t xml:space="preserve">Trębowiec </w:t>
            </w:r>
          </w:p>
        </w:tc>
        <w:tc>
          <w:tcPr>
            <w:tcW w:w="3730" w:type="dxa"/>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lang w:eastAsia="pl-PL"/>
              </w:rPr>
            </w:pPr>
            <w:r w:rsidRPr="00EE0C8C">
              <w:rPr>
                <w:rFonts w:ascii="Calibri" w:eastAsia="Times New Roman" w:hAnsi="Calibri" w:cs="Arial"/>
              </w:rPr>
              <w:t>1</w:t>
            </w:r>
          </w:p>
        </w:tc>
      </w:tr>
      <w:tr w:rsidR="00EE0C8C" w:rsidRPr="00EE0C8C" w:rsidTr="00A76B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15" w:type="dxa"/>
          </w:tcPr>
          <w:p w:rsidR="00EE0C8C" w:rsidRPr="00EE0C8C" w:rsidRDefault="00EE0C8C" w:rsidP="00EE0C8C">
            <w:pPr>
              <w:jc w:val="both"/>
              <w:rPr>
                <w:rFonts w:ascii="Calibri" w:eastAsia="Times New Roman" w:hAnsi="Calibri" w:cs="Arial"/>
                <w:lang w:eastAsia="pl-PL"/>
              </w:rPr>
            </w:pPr>
            <w:r w:rsidRPr="00EE0C8C">
              <w:rPr>
                <w:rFonts w:ascii="Calibri" w:eastAsia="Times New Roman" w:hAnsi="Calibri" w:cs="Arial"/>
              </w:rPr>
              <w:t>Osiny</w:t>
            </w:r>
          </w:p>
        </w:tc>
        <w:tc>
          <w:tcPr>
            <w:tcW w:w="3730"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lang w:eastAsia="pl-PL"/>
              </w:rPr>
            </w:pPr>
            <w:r w:rsidRPr="00EE0C8C">
              <w:rPr>
                <w:rFonts w:ascii="Calibri" w:eastAsia="Times New Roman" w:hAnsi="Calibri" w:cs="Arial"/>
              </w:rPr>
              <w:t>0</w:t>
            </w:r>
          </w:p>
        </w:tc>
      </w:tr>
      <w:tr w:rsidR="00EE0C8C" w:rsidRPr="00EE0C8C" w:rsidTr="00A76BDB">
        <w:trPr>
          <w:jc w:val="center"/>
        </w:trPr>
        <w:tc>
          <w:tcPr>
            <w:cnfStyle w:val="001000000000" w:firstRow="0" w:lastRow="0" w:firstColumn="1" w:lastColumn="0" w:oddVBand="0" w:evenVBand="0" w:oddHBand="0" w:evenHBand="0" w:firstRowFirstColumn="0" w:firstRowLastColumn="0" w:lastRowFirstColumn="0" w:lastRowLastColumn="0"/>
            <w:tcW w:w="2615" w:type="dxa"/>
          </w:tcPr>
          <w:p w:rsidR="00EE0C8C" w:rsidRPr="00EE0C8C" w:rsidRDefault="00EE0C8C" w:rsidP="00EE0C8C">
            <w:pPr>
              <w:jc w:val="both"/>
              <w:rPr>
                <w:rFonts w:ascii="Calibri" w:eastAsia="Times New Roman" w:hAnsi="Calibri" w:cs="Arial"/>
                <w:lang w:eastAsia="pl-PL"/>
              </w:rPr>
            </w:pPr>
            <w:r w:rsidRPr="00EE0C8C">
              <w:rPr>
                <w:rFonts w:ascii="Calibri" w:eastAsia="Times New Roman" w:hAnsi="Calibri" w:cs="Arial"/>
              </w:rPr>
              <w:t>Jagodne</w:t>
            </w:r>
          </w:p>
        </w:tc>
        <w:tc>
          <w:tcPr>
            <w:tcW w:w="3730" w:type="dxa"/>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lang w:eastAsia="pl-PL"/>
              </w:rPr>
            </w:pPr>
            <w:r w:rsidRPr="00EE0C8C">
              <w:rPr>
                <w:rFonts w:ascii="Calibri" w:eastAsia="Times New Roman" w:hAnsi="Calibri" w:cs="Arial"/>
              </w:rPr>
              <w:t>1</w:t>
            </w:r>
          </w:p>
        </w:tc>
      </w:tr>
      <w:tr w:rsidR="00EE0C8C" w:rsidRPr="00EE0C8C" w:rsidTr="00A76B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15" w:type="dxa"/>
          </w:tcPr>
          <w:p w:rsidR="00EE0C8C" w:rsidRPr="00EE0C8C" w:rsidRDefault="00EE0C8C" w:rsidP="00EE0C8C">
            <w:pPr>
              <w:jc w:val="both"/>
              <w:rPr>
                <w:rFonts w:ascii="Calibri" w:eastAsia="Times New Roman" w:hAnsi="Calibri" w:cs="Arial"/>
                <w:lang w:eastAsia="pl-PL"/>
              </w:rPr>
            </w:pPr>
            <w:r w:rsidRPr="00EE0C8C">
              <w:rPr>
                <w:rFonts w:ascii="Calibri" w:eastAsia="Times New Roman" w:hAnsi="Calibri" w:cs="Arial"/>
              </w:rPr>
              <w:t>Gadka</w:t>
            </w:r>
          </w:p>
        </w:tc>
        <w:tc>
          <w:tcPr>
            <w:tcW w:w="3730"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lang w:eastAsia="pl-PL"/>
              </w:rPr>
            </w:pPr>
            <w:r w:rsidRPr="00EE0C8C">
              <w:rPr>
                <w:rFonts w:ascii="Calibri" w:eastAsia="Times New Roman" w:hAnsi="Calibri" w:cs="Arial"/>
              </w:rPr>
              <w:t>5</w:t>
            </w:r>
          </w:p>
        </w:tc>
      </w:tr>
      <w:tr w:rsidR="00EE0C8C" w:rsidRPr="00EE0C8C" w:rsidTr="00A76BDB">
        <w:trPr>
          <w:jc w:val="center"/>
        </w:trPr>
        <w:tc>
          <w:tcPr>
            <w:cnfStyle w:val="001000000000" w:firstRow="0" w:lastRow="0" w:firstColumn="1" w:lastColumn="0" w:oddVBand="0" w:evenVBand="0" w:oddHBand="0" w:evenHBand="0" w:firstRowFirstColumn="0" w:firstRowLastColumn="0" w:lastRowFirstColumn="0" w:lastRowLastColumn="0"/>
            <w:tcW w:w="2615" w:type="dxa"/>
          </w:tcPr>
          <w:p w:rsidR="00EE0C8C" w:rsidRPr="00EE0C8C" w:rsidRDefault="00EE0C8C" w:rsidP="00EE0C8C">
            <w:pPr>
              <w:jc w:val="both"/>
              <w:rPr>
                <w:rFonts w:ascii="Calibri" w:eastAsia="Times New Roman" w:hAnsi="Calibri" w:cs="Arial"/>
                <w:lang w:eastAsia="pl-PL"/>
              </w:rPr>
            </w:pPr>
            <w:r w:rsidRPr="00EE0C8C">
              <w:rPr>
                <w:rFonts w:ascii="Calibri" w:eastAsia="Times New Roman" w:hAnsi="Calibri" w:cs="Arial"/>
              </w:rPr>
              <w:t>RAZEM</w:t>
            </w:r>
          </w:p>
        </w:tc>
        <w:tc>
          <w:tcPr>
            <w:tcW w:w="3730" w:type="dxa"/>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lang w:eastAsia="pl-PL"/>
              </w:rPr>
            </w:pPr>
            <w:r w:rsidRPr="00EE0C8C">
              <w:rPr>
                <w:rFonts w:ascii="Calibri" w:eastAsia="Times New Roman" w:hAnsi="Calibri" w:cs="Arial"/>
              </w:rPr>
              <w:t>51</w:t>
            </w:r>
          </w:p>
        </w:tc>
      </w:tr>
    </w:tbl>
    <w:p w:rsidR="00EE0C8C" w:rsidRPr="00EE0C8C" w:rsidRDefault="00EE0C8C" w:rsidP="00EE0C8C">
      <w:pPr>
        <w:spacing w:after="0"/>
        <w:jc w:val="center"/>
        <w:rPr>
          <w:rFonts w:ascii="Calibri" w:eastAsia="Times New Roman" w:hAnsi="Calibri" w:cs="Arial"/>
          <w:i/>
          <w:lang w:eastAsia="pl-PL"/>
        </w:rPr>
      </w:pPr>
      <w:r w:rsidRPr="00EE0C8C">
        <w:rPr>
          <w:rFonts w:ascii="Calibri" w:eastAsia="Times New Roman" w:hAnsi="Calibri" w:cs="Arial"/>
          <w:i/>
          <w:lang w:eastAsia="pl-PL"/>
        </w:rPr>
        <w:t>(Źródło: Urząd Gminy w Mircu)</w:t>
      </w:r>
    </w:p>
    <w:p w:rsidR="00EE0C8C" w:rsidRPr="00EE0C8C" w:rsidRDefault="00EE0C8C" w:rsidP="00EE0C8C">
      <w:pPr>
        <w:rPr>
          <w:rFonts w:ascii="Calibri" w:eastAsia="Times New Roman" w:hAnsi="Calibri" w:cs="Times New Roman"/>
          <w:lang w:eastAsia="pl-PL"/>
        </w:rPr>
      </w:pPr>
    </w:p>
    <w:p w:rsidR="00EE0C8C" w:rsidRPr="00EE0C8C" w:rsidRDefault="00EE0C8C" w:rsidP="00EE0C8C">
      <w:pPr>
        <w:keepNext/>
        <w:keepLines/>
        <w:spacing w:before="200" w:after="0"/>
        <w:outlineLvl w:val="3"/>
        <w:rPr>
          <w:rFonts w:ascii="Cambria" w:eastAsia="Times New Roman" w:hAnsi="Cambria" w:cs="Times New Roman"/>
          <w:b/>
          <w:bCs/>
          <w:i/>
          <w:iCs/>
          <w:color w:val="4F81BD"/>
        </w:rPr>
      </w:pPr>
      <w:r w:rsidRPr="00EE0C8C">
        <w:rPr>
          <w:rFonts w:ascii="Cambria" w:eastAsia="Times New Roman" w:hAnsi="Cambria" w:cs="Times New Roman"/>
          <w:b/>
          <w:bCs/>
          <w:i/>
          <w:iCs/>
          <w:color w:val="4F81BD"/>
        </w:rPr>
        <w:t>WODOCIĄGI</w:t>
      </w:r>
    </w:p>
    <w:p w:rsidR="00EE0C8C" w:rsidRPr="00EE0C8C" w:rsidRDefault="00EE0C8C" w:rsidP="00EE0C8C">
      <w:pPr>
        <w:spacing w:after="0"/>
        <w:jc w:val="both"/>
        <w:rPr>
          <w:rFonts w:ascii="Calibri" w:eastAsia="Times New Roman" w:hAnsi="Calibri" w:cs="Arial"/>
          <w:vertAlign w:val="superscript"/>
          <w:lang w:eastAsia="pl-PL"/>
        </w:rPr>
      </w:pPr>
      <w:r w:rsidRPr="00EE0C8C">
        <w:rPr>
          <w:rFonts w:ascii="Calibri" w:eastAsia="Times New Roman" w:hAnsi="Calibri" w:cs="Arial"/>
          <w:lang w:eastAsia="pl-PL"/>
        </w:rPr>
        <w:t>Zaopatrzenie ludności w wodę odbywa się z ujęcia wody gminy Mirów dla części Osin-Majorat oraz ujęcia wody Trębowiec (gmina Iłża), użytkowanego przez Przedsiębiorstwo Wodociągów i Kanalizacji w Starachowicach o wydajności ujęcia Q</w:t>
      </w:r>
      <w:r w:rsidRPr="00EE0C8C">
        <w:rPr>
          <w:rFonts w:ascii="Calibri" w:eastAsia="Times New Roman" w:hAnsi="Calibri" w:cs="Arial"/>
          <w:sz w:val="28"/>
          <w:szCs w:val="28"/>
          <w:vertAlign w:val="subscript"/>
          <w:lang w:eastAsia="pl-PL"/>
        </w:rPr>
        <w:t>śrd</w:t>
      </w:r>
      <w:r w:rsidRPr="00EE0C8C">
        <w:rPr>
          <w:rFonts w:ascii="Calibri" w:eastAsia="Times New Roman" w:hAnsi="Calibri" w:cs="Arial"/>
          <w:lang w:eastAsia="pl-PL"/>
        </w:rPr>
        <w:t>= 12357m</w:t>
      </w:r>
      <w:r w:rsidRPr="00EE0C8C">
        <w:rPr>
          <w:rFonts w:ascii="Calibri" w:eastAsia="Times New Roman" w:hAnsi="Calibri" w:cs="Arial"/>
          <w:sz w:val="20"/>
          <w:szCs w:val="20"/>
          <w:vertAlign w:val="superscript"/>
          <w:lang w:eastAsia="pl-PL"/>
        </w:rPr>
        <w:t>3</w:t>
      </w:r>
      <w:r w:rsidRPr="00EE0C8C">
        <w:rPr>
          <w:rFonts w:ascii="Calibri" w:eastAsia="Times New Roman" w:hAnsi="Calibri" w:cs="Arial"/>
          <w:lang w:eastAsia="pl-PL"/>
        </w:rPr>
        <w:t>/h. Proces uzdatniania wody polega na napowietrzeniu przez rozdeszczenie i filtracje w komorach otwartych z prędkością 10 m</w:t>
      </w:r>
      <w:r w:rsidRPr="00EE0C8C">
        <w:rPr>
          <w:rFonts w:ascii="Calibri" w:eastAsia="Times New Roman" w:hAnsi="Calibri" w:cs="Arial"/>
          <w:vertAlign w:val="superscript"/>
          <w:lang w:eastAsia="pl-PL"/>
        </w:rPr>
        <w:t>3</w:t>
      </w:r>
      <w:r w:rsidRPr="00EE0C8C">
        <w:rPr>
          <w:rFonts w:ascii="Calibri" w:eastAsia="Times New Roman" w:hAnsi="Calibri" w:cs="Arial"/>
          <w:lang w:eastAsia="pl-PL"/>
        </w:rPr>
        <w:t xml:space="preserve">/h przez złoże piaskowo-antracytowe. </w:t>
      </w:r>
    </w:p>
    <w:p w:rsidR="00EE0C8C" w:rsidRPr="00EE0C8C" w:rsidRDefault="00EE0C8C" w:rsidP="00EE0C8C">
      <w:pPr>
        <w:spacing w:after="0"/>
        <w:jc w:val="both"/>
        <w:rPr>
          <w:rFonts w:ascii="Calibri" w:eastAsia="Times New Roman" w:hAnsi="Calibri" w:cs="Arial"/>
          <w:lang w:eastAsia="pl-PL"/>
        </w:rPr>
      </w:pPr>
      <w:r w:rsidRPr="00EE0C8C">
        <w:rPr>
          <w:rFonts w:ascii="Calibri" w:eastAsia="Times New Roman" w:hAnsi="Calibri" w:cs="Arial"/>
          <w:lang w:eastAsia="pl-PL"/>
        </w:rPr>
        <w:t xml:space="preserve">Według danych GUS (stan na 31.12.2014) charakterystyka sieci wodociągowej na terenie gminy przedstawia się następująco: </w:t>
      </w:r>
    </w:p>
    <w:p w:rsidR="00EE0C8C" w:rsidRPr="00EE0C8C" w:rsidRDefault="00EE0C8C" w:rsidP="00EE0C8C">
      <w:pPr>
        <w:spacing w:after="0"/>
        <w:rPr>
          <w:rFonts w:ascii="Calibri" w:eastAsia="Times New Roman" w:hAnsi="Calibri" w:cs="Arial"/>
          <w:lang w:eastAsia="pl-PL"/>
        </w:rPr>
      </w:pPr>
      <w:r w:rsidRPr="00EE0C8C">
        <w:rPr>
          <w:rFonts w:ascii="Calibri" w:eastAsia="Times New Roman" w:hAnsi="Calibri" w:cs="Arial"/>
          <w:lang w:eastAsia="pl-PL"/>
        </w:rPr>
        <w:t>- długość czynnej sieci rozdzielczej – 99,1 km;</w:t>
      </w:r>
      <w:r w:rsidRPr="00EE0C8C">
        <w:rPr>
          <w:rFonts w:ascii="Calibri" w:eastAsia="Times New Roman" w:hAnsi="Calibri" w:cs="Arial"/>
          <w:lang w:eastAsia="pl-PL"/>
        </w:rPr>
        <w:br/>
      </w:r>
      <w:r w:rsidRPr="00EE0C8C">
        <w:rPr>
          <w:rFonts w:ascii="Arial" w:eastAsia="Times New Roman" w:hAnsi="Arial" w:cs="Arial"/>
          <w:sz w:val="23"/>
          <w:szCs w:val="23"/>
          <w:lang w:eastAsia="pl-PL"/>
        </w:rPr>
        <w:t xml:space="preserve">- </w:t>
      </w:r>
      <w:r w:rsidRPr="00EE0C8C">
        <w:rPr>
          <w:rFonts w:ascii="Calibri" w:eastAsia="Times New Roman" w:hAnsi="Calibri" w:cs="Arial"/>
          <w:lang w:eastAsia="pl-PL"/>
        </w:rPr>
        <w:t>połączenia prowadzące do budynków mieszkalnych i zbiorowego zamieszkania -2071 szt.;</w:t>
      </w:r>
    </w:p>
    <w:p w:rsidR="00EE0C8C" w:rsidRPr="00EE0C8C" w:rsidRDefault="00EE0C8C" w:rsidP="00EE0C8C">
      <w:pPr>
        <w:spacing w:after="0"/>
        <w:rPr>
          <w:rFonts w:ascii="Arial" w:eastAsia="Times New Roman" w:hAnsi="Arial" w:cs="Arial"/>
          <w:sz w:val="23"/>
          <w:szCs w:val="23"/>
          <w:lang w:eastAsia="pl-PL"/>
        </w:rPr>
      </w:pPr>
      <w:r w:rsidRPr="00EE0C8C">
        <w:rPr>
          <w:rFonts w:ascii="Arial" w:eastAsia="Times New Roman" w:hAnsi="Arial" w:cs="Arial"/>
          <w:sz w:val="23"/>
          <w:szCs w:val="23"/>
          <w:lang w:eastAsia="pl-PL"/>
        </w:rPr>
        <w:t xml:space="preserve">- </w:t>
      </w:r>
      <w:r w:rsidRPr="00EE0C8C">
        <w:rPr>
          <w:rFonts w:ascii="Calibri" w:eastAsia="Times New Roman" w:hAnsi="Calibri" w:cs="Arial"/>
          <w:lang w:eastAsia="pl-PL"/>
        </w:rPr>
        <w:t>ludność korzystająca sieci wodociągowej –7973osoby;</w:t>
      </w:r>
    </w:p>
    <w:p w:rsidR="00EE0C8C" w:rsidRPr="00EE0C8C" w:rsidRDefault="00EE0C8C" w:rsidP="00EE0C8C">
      <w:pPr>
        <w:spacing w:after="0"/>
        <w:rPr>
          <w:rFonts w:ascii="Calibri" w:eastAsia="Times New Roman" w:hAnsi="Calibri" w:cs="Arial"/>
          <w:lang w:eastAsia="pl-PL"/>
        </w:rPr>
      </w:pPr>
      <w:r w:rsidRPr="00EE0C8C">
        <w:rPr>
          <w:rFonts w:ascii="Calibri" w:eastAsia="Times New Roman" w:hAnsi="Calibri" w:cs="Arial"/>
          <w:lang w:eastAsia="pl-PL"/>
        </w:rPr>
        <w:t>- zużycie wody w gospodarstwach domowych na 1 mieszkańca  – 19,5 m</w:t>
      </w:r>
      <w:r w:rsidRPr="00EE0C8C">
        <w:rPr>
          <w:rFonts w:ascii="Calibri" w:eastAsia="Times New Roman" w:hAnsi="Calibri" w:cs="Arial"/>
          <w:vertAlign w:val="superscript"/>
          <w:lang w:eastAsia="pl-PL"/>
        </w:rPr>
        <w:t>3</w:t>
      </w:r>
      <w:r w:rsidRPr="00EE0C8C">
        <w:rPr>
          <w:rFonts w:ascii="Calibri" w:eastAsia="Times New Roman" w:hAnsi="Calibri" w:cs="Arial"/>
          <w:lang w:eastAsia="pl-PL"/>
        </w:rPr>
        <w:t>.</w:t>
      </w:r>
    </w:p>
    <w:p w:rsidR="00EE0C8C" w:rsidRPr="00EE0C8C" w:rsidRDefault="00EE0C8C" w:rsidP="00EE0C8C">
      <w:pPr>
        <w:keepNext/>
        <w:keepLines/>
        <w:spacing w:before="200" w:after="0"/>
        <w:outlineLvl w:val="3"/>
        <w:rPr>
          <w:rFonts w:ascii="Cambria" w:eastAsia="Times New Roman" w:hAnsi="Cambria" w:cs="Times New Roman"/>
          <w:b/>
          <w:bCs/>
          <w:i/>
          <w:iCs/>
          <w:color w:val="4F81BD"/>
        </w:rPr>
      </w:pPr>
    </w:p>
    <w:p w:rsidR="00EE0C8C" w:rsidRPr="00EE0C8C" w:rsidRDefault="00EE0C8C" w:rsidP="00EE0C8C">
      <w:pPr>
        <w:keepNext/>
        <w:keepLines/>
        <w:spacing w:before="200" w:after="0"/>
        <w:outlineLvl w:val="3"/>
        <w:rPr>
          <w:rFonts w:ascii="Cambria" w:eastAsia="Times New Roman" w:hAnsi="Cambria" w:cs="Times New Roman"/>
          <w:b/>
          <w:bCs/>
          <w:i/>
          <w:iCs/>
          <w:color w:val="4F81BD"/>
        </w:rPr>
      </w:pPr>
      <w:r w:rsidRPr="00EE0C8C">
        <w:rPr>
          <w:rFonts w:ascii="Cambria" w:eastAsia="Times New Roman" w:hAnsi="Cambria" w:cs="Times New Roman"/>
          <w:b/>
          <w:bCs/>
          <w:i/>
          <w:iCs/>
          <w:color w:val="4F81BD"/>
        </w:rPr>
        <w:t xml:space="preserve">GOSPODARKA ODPADAMI </w:t>
      </w:r>
    </w:p>
    <w:p w:rsidR="00EE0C8C" w:rsidRPr="00EE0C8C" w:rsidRDefault="00EE0C8C" w:rsidP="00EE0C8C">
      <w:pPr>
        <w:widowControl w:val="0"/>
        <w:suppressAutoHyphens/>
        <w:autoSpaceDN w:val="0"/>
        <w:spacing w:after="0" w:line="240" w:lineRule="auto"/>
        <w:jc w:val="both"/>
        <w:rPr>
          <w:rFonts w:ascii="Calibri" w:eastAsia="SimSun" w:hAnsi="Calibri" w:cs="Mangal"/>
          <w:color w:val="000000"/>
          <w:kern w:val="3"/>
          <w:sz w:val="23"/>
          <w:lang w:eastAsia="zh-CN" w:bidi="hi-IN"/>
        </w:rPr>
      </w:pPr>
      <w:r w:rsidRPr="00EE0C8C">
        <w:rPr>
          <w:rFonts w:ascii="Calibri" w:eastAsia="SimSun" w:hAnsi="Calibri" w:cs="Mangal"/>
          <w:color w:val="000000"/>
          <w:kern w:val="3"/>
          <w:sz w:val="23"/>
          <w:lang w:eastAsia="zh-CN" w:bidi="hi-IN"/>
        </w:rPr>
        <w:t xml:space="preserve">1 stycznia 2012 r. weszła w życie ustawa z dnia 1 lipca 2011 r. o zmianie ustawy o utrzymaniu czystości i porządku w gminach. Ustawa ta wprowadziła zupełnie nowe podejście do systemu gospodarki odpadami komunalnymi. System ten zaczął obowiązywać od 1 lipca 2013 r. </w:t>
      </w:r>
    </w:p>
    <w:p w:rsidR="00EE0C8C" w:rsidRPr="00EE0C8C" w:rsidRDefault="00EE0C8C" w:rsidP="00EE0C8C">
      <w:pPr>
        <w:widowControl w:val="0"/>
        <w:suppressAutoHyphens/>
        <w:autoSpaceDN w:val="0"/>
        <w:spacing w:after="0" w:line="240" w:lineRule="auto"/>
        <w:jc w:val="both"/>
        <w:rPr>
          <w:rFonts w:ascii="Calibri" w:eastAsia="SimSun" w:hAnsi="Calibri" w:cs="Mangal"/>
          <w:color w:val="000000"/>
          <w:kern w:val="3"/>
          <w:sz w:val="23"/>
          <w:lang w:eastAsia="zh-CN" w:bidi="hi-IN"/>
        </w:rPr>
      </w:pPr>
    </w:p>
    <w:p w:rsidR="00EE0C8C" w:rsidRPr="00EE0C8C" w:rsidRDefault="00EE0C8C" w:rsidP="00EE0C8C">
      <w:pPr>
        <w:widowControl w:val="0"/>
        <w:suppressAutoHyphens/>
        <w:autoSpaceDN w:val="0"/>
        <w:spacing w:after="0" w:line="240" w:lineRule="auto"/>
        <w:jc w:val="both"/>
        <w:rPr>
          <w:rFonts w:ascii="Calibri" w:eastAsia="SimSun" w:hAnsi="Calibri" w:cs="Mangal"/>
          <w:color w:val="000000"/>
          <w:kern w:val="3"/>
          <w:sz w:val="23"/>
          <w:lang w:eastAsia="zh-CN" w:bidi="hi-IN"/>
        </w:rPr>
      </w:pPr>
      <w:r w:rsidRPr="00EE0C8C">
        <w:rPr>
          <w:rFonts w:ascii="Calibri" w:eastAsia="SimSun" w:hAnsi="Calibri" w:cs="Mangal"/>
          <w:color w:val="000000"/>
          <w:kern w:val="3"/>
          <w:sz w:val="23"/>
          <w:lang w:eastAsia="zh-CN" w:bidi="hi-IN"/>
        </w:rPr>
        <w:t>Główne cele wprowadzenia ustawy:</w:t>
      </w:r>
    </w:p>
    <w:p w:rsidR="00EE0C8C" w:rsidRPr="00EE0C8C" w:rsidRDefault="00EE0C8C" w:rsidP="00EE0C8C">
      <w:pPr>
        <w:widowControl w:val="0"/>
        <w:suppressAutoHyphens/>
        <w:autoSpaceDN w:val="0"/>
        <w:spacing w:after="0" w:line="240" w:lineRule="auto"/>
        <w:ind w:left="567"/>
        <w:jc w:val="both"/>
        <w:rPr>
          <w:rFonts w:ascii="Calibri" w:eastAsia="SimSun" w:hAnsi="Calibri" w:cs="Mangal"/>
          <w:color w:val="000000"/>
          <w:kern w:val="3"/>
          <w:sz w:val="23"/>
          <w:lang w:eastAsia="zh-CN" w:bidi="hi-IN"/>
        </w:rPr>
      </w:pPr>
      <w:r w:rsidRPr="00EE0C8C">
        <w:rPr>
          <w:rFonts w:ascii="Calibri" w:eastAsia="SimSun" w:hAnsi="Calibri" w:cs="Mangal"/>
          <w:color w:val="000000"/>
          <w:kern w:val="3"/>
          <w:sz w:val="23"/>
          <w:lang w:eastAsia="zh-CN" w:bidi="hi-IN"/>
        </w:rPr>
        <w:lastRenderedPageBreak/>
        <w:t>•</w:t>
      </w:r>
      <w:r w:rsidRPr="00EE0C8C">
        <w:rPr>
          <w:rFonts w:ascii="Calibri" w:eastAsia="SimSun" w:hAnsi="Calibri" w:cs="Mangal"/>
          <w:color w:val="000000"/>
          <w:kern w:val="3"/>
          <w:sz w:val="23"/>
          <w:lang w:eastAsia="zh-CN" w:bidi="hi-IN"/>
        </w:rPr>
        <w:tab/>
        <w:t>uszczelnienie gospodarki odpadami komunalnymi poprzez objęcie systemem wszystkich mieszkańców gminy</w:t>
      </w:r>
    </w:p>
    <w:p w:rsidR="00EE0C8C" w:rsidRPr="00EE0C8C" w:rsidRDefault="00EE0C8C" w:rsidP="00EE0C8C">
      <w:pPr>
        <w:widowControl w:val="0"/>
        <w:suppressAutoHyphens/>
        <w:autoSpaceDN w:val="0"/>
        <w:spacing w:after="0" w:line="240" w:lineRule="auto"/>
        <w:ind w:left="567"/>
        <w:jc w:val="both"/>
        <w:rPr>
          <w:rFonts w:ascii="Calibri" w:eastAsia="SimSun" w:hAnsi="Calibri" w:cs="Mangal"/>
          <w:color w:val="000000"/>
          <w:kern w:val="3"/>
          <w:sz w:val="23"/>
          <w:lang w:eastAsia="zh-CN" w:bidi="hi-IN"/>
        </w:rPr>
      </w:pPr>
      <w:r w:rsidRPr="00EE0C8C">
        <w:rPr>
          <w:rFonts w:ascii="Calibri" w:eastAsia="SimSun" w:hAnsi="Calibri" w:cs="Mangal"/>
          <w:color w:val="000000"/>
          <w:kern w:val="3"/>
          <w:sz w:val="23"/>
          <w:lang w:eastAsia="zh-CN" w:bidi="hi-IN"/>
        </w:rPr>
        <w:t>•</w:t>
      </w:r>
      <w:r w:rsidRPr="00EE0C8C">
        <w:rPr>
          <w:rFonts w:ascii="Calibri" w:eastAsia="SimSun" w:hAnsi="Calibri" w:cs="Mangal"/>
          <w:color w:val="000000"/>
          <w:kern w:val="3"/>
          <w:sz w:val="23"/>
          <w:lang w:eastAsia="zh-CN" w:bidi="hi-IN"/>
        </w:rPr>
        <w:tab/>
        <w:t xml:space="preserve">zapobieganie wywożeniu odpadów komunalnych do lasu na dzikie wysypiska </w:t>
      </w:r>
      <w:r w:rsidRPr="00EE0C8C">
        <w:rPr>
          <w:rFonts w:ascii="Calibri" w:eastAsia="SimSun" w:hAnsi="Calibri" w:cs="Mangal"/>
          <w:color w:val="000000"/>
          <w:kern w:val="3"/>
          <w:sz w:val="23"/>
          <w:lang w:eastAsia="zh-CN" w:bidi="hi-IN"/>
        </w:rPr>
        <w:br/>
        <w:t>i spalaniu odpadów w piecach domowych, a przez to poprawa ochrony środowiska,</w:t>
      </w:r>
    </w:p>
    <w:p w:rsidR="00EE0C8C" w:rsidRPr="00EE0C8C" w:rsidRDefault="00EE0C8C" w:rsidP="00EE0C8C">
      <w:pPr>
        <w:widowControl w:val="0"/>
        <w:suppressAutoHyphens/>
        <w:autoSpaceDN w:val="0"/>
        <w:spacing w:after="0" w:line="240" w:lineRule="auto"/>
        <w:ind w:left="567"/>
        <w:jc w:val="both"/>
        <w:rPr>
          <w:rFonts w:ascii="Calibri" w:eastAsia="SimSun" w:hAnsi="Calibri" w:cs="Mangal"/>
          <w:color w:val="000000"/>
          <w:kern w:val="3"/>
          <w:sz w:val="23"/>
          <w:lang w:eastAsia="zh-CN" w:bidi="hi-IN"/>
        </w:rPr>
      </w:pPr>
      <w:r w:rsidRPr="00EE0C8C">
        <w:rPr>
          <w:rFonts w:ascii="Calibri" w:eastAsia="SimSun" w:hAnsi="Calibri" w:cs="Mangal"/>
          <w:color w:val="000000"/>
          <w:kern w:val="3"/>
          <w:sz w:val="23"/>
          <w:lang w:eastAsia="zh-CN" w:bidi="hi-IN"/>
        </w:rPr>
        <w:t>•</w:t>
      </w:r>
      <w:r w:rsidRPr="00EE0C8C">
        <w:rPr>
          <w:rFonts w:ascii="Calibri" w:eastAsia="SimSun" w:hAnsi="Calibri" w:cs="Mangal"/>
          <w:color w:val="000000"/>
          <w:kern w:val="3"/>
          <w:sz w:val="23"/>
          <w:lang w:eastAsia="zh-CN" w:bidi="hi-IN"/>
        </w:rPr>
        <w:tab/>
        <w:t xml:space="preserve">dostosowanie polskich przepisów dotyczących ochrony środowiska do wymogów unijnych. </w:t>
      </w:r>
    </w:p>
    <w:p w:rsidR="00EE0C8C" w:rsidRPr="00EE0C8C" w:rsidRDefault="00EE0C8C" w:rsidP="00EE0C8C">
      <w:pPr>
        <w:widowControl w:val="0"/>
        <w:suppressAutoHyphens/>
        <w:autoSpaceDN w:val="0"/>
        <w:spacing w:after="0" w:line="240" w:lineRule="auto"/>
        <w:jc w:val="both"/>
        <w:rPr>
          <w:rFonts w:ascii="Calibri" w:eastAsia="SimSun" w:hAnsi="Calibri" w:cs="Mangal"/>
          <w:color w:val="000000"/>
          <w:kern w:val="3"/>
          <w:sz w:val="23"/>
          <w:lang w:eastAsia="zh-CN" w:bidi="hi-IN"/>
        </w:rPr>
      </w:pPr>
      <w:r w:rsidRPr="00EE0C8C">
        <w:rPr>
          <w:rFonts w:ascii="Calibri" w:eastAsia="SimSun" w:hAnsi="Calibri" w:cs="Mangal"/>
          <w:color w:val="000000"/>
          <w:kern w:val="3"/>
          <w:sz w:val="23"/>
          <w:lang w:eastAsia="zh-CN" w:bidi="hi-IN"/>
        </w:rPr>
        <w:t>Dotychczas to właściciele nieruchomości podpisywali umowę z firmą wywożącą śmieci. Od 1 lipca 2013 r. to gmina jest właścicielem wytworzonych na terenie gminy odpadów komunalnych i jej obowiązkiem będzie odebranie tych odpadów od właścicieli nieruchomości w zamian za uiszczoną przez nich opłatę.</w:t>
      </w:r>
    </w:p>
    <w:p w:rsidR="00EE0C8C" w:rsidRPr="00EE0C8C" w:rsidRDefault="00EE0C8C" w:rsidP="00EE0C8C">
      <w:pPr>
        <w:widowControl w:val="0"/>
        <w:suppressAutoHyphens/>
        <w:autoSpaceDN w:val="0"/>
        <w:spacing w:after="0" w:line="240" w:lineRule="auto"/>
        <w:jc w:val="both"/>
        <w:rPr>
          <w:rFonts w:ascii="Calibri" w:eastAsia="SimSun" w:hAnsi="Calibri" w:cs="Mangal"/>
          <w:color w:val="000000"/>
          <w:kern w:val="3"/>
          <w:lang w:eastAsia="zh-CN" w:bidi="hi-IN"/>
        </w:rPr>
      </w:pPr>
      <w:r w:rsidRPr="00EE0C8C">
        <w:rPr>
          <w:rFonts w:ascii="Calibri" w:eastAsia="SimSun" w:hAnsi="Calibri" w:cs="Mangal"/>
          <w:color w:val="000000"/>
          <w:kern w:val="3"/>
          <w:sz w:val="23"/>
          <w:lang w:eastAsia="zh-CN" w:bidi="hi-IN"/>
        </w:rPr>
        <w:t>Zgodnie z Wojewódzkim Planem Gospodarki Odpadami, Regionalną Instalacją Przetwarzania Odpadów Komunalnych (RIPOK) dla gminy Mirzec (region II) jest Zakład Unieszkodliwiania Odpadów „Janik” Sp. z o.o. w Janiku ul. Borkowska 1, 27-415 Kunów.</w:t>
      </w:r>
    </w:p>
    <w:p w:rsidR="00EE0C8C" w:rsidRPr="00EE0C8C" w:rsidRDefault="00EE0C8C" w:rsidP="00EE0C8C">
      <w:pPr>
        <w:widowControl w:val="0"/>
        <w:suppressAutoHyphens/>
        <w:autoSpaceDN w:val="0"/>
        <w:spacing w:after="0" w:line="240" w:lineRule="auto"/>
        <w:rPr>
          <w:rFonts w:ascii="Calibri" w:eastAsia="SimSun" w:hAnsi="Calibri" w:cs="Mangal"/>
          <w:color w:val="000000"/>
          <w:kern w:val="3"/>
          <w:lang w:eastAsia="zh-CN" w:bidi="hi-IN"/>
        </w:rPr>
      </w:pPr>
    </w:p>
    <w:p w:rsidR="00EE0C8C" w:rsidRPr="00EE0C8C" w:rsidRDefault="00EE0C8C" w:rsidP="00EE0C8C">
      <w:pPr>
        <w:widowControl w:val="0"/>
        <w:suppressAutoHyphens/>
        <w:autoSpaceDN w:val="0"/>
        <w:spacing w:after="0" w:line="240" w:lineRule="auto"/>
        <w:jc w:val="both"/>
        <w:rPr>
          <w:rFonts w:ascii="Calibri" w:eastAsia="SimSun" w:hAnsi="Calibri" w:cs="Mangal"/>
          <w:color w:val="000000"/>
          <w:kern w:val="3"/>
          <w:sz w:val="23"/>
          <w:lang w:eastAsia="zh-CN" w:bidi="hi-IN"/>
        </w:rPr>
      </w:pPr>
      <w:r w:rsidRPr="00EE0C8C">
        <w:rPr>
          <w:rFonts w:ascii="Calibri" w:eastAsia="SimSun" w:hAnsi="Calibri" w:cs="Mangal"/>
          <w:color w:val="000000"/>
          <w:kern w:val="3"/>
          <w:sz w:val="23"/>
          <w:lang w:eastAsia="zh-CN" w:bidi="hi-IN"/>
        </w:rPr>
        <w:t>Odpady komunalne na terenie gminy Mirzec powstają przede wszystkim w sektorze gospodarstw domowych oraz w obiektach infrastruktury społecznej, handlu, zakładach rzemieślniczych, zakładach produkcyjnych itp.. System zbiórki odpadów komunalnych na terenie gminy obejmuje wszystkie gospodarstwa zamieszkałe (bez sklepów, firm itd., które to mają podpisane indywidualne umowy na odbiór odpadów).</w:t>
      </w:r>
    </w:p>
    <w:p w:rsidR="00EE0C8C" w:rsidRPr="00EE0C8C" w:rsidRDefault="00EE0C8C" w:rsidP="00EE0C8C">
      <w:pPr>
        <w:widowControl w:val="0"/>
        <w:suppressAutoHyphens/>
        <w:autoSpaceDN w:val="0"/>
        <w:spacing w:after="0" w:line="240" w:lineRule="auto"/>
        <w:ind w:firstLine="1134"/>
        <w:jc w:val="both"/>
        <w:rPr>
          <w:rFonts w:ascii="Calibri" w:eastAsia="SimSun" w:hAnsi="Calibri" w:cs="Mangal"/>
          <w:color w:val="000000"/>
          <w:kern w:val="3"/>
          <w:lang w:eastAsia="zh-CN" w:bidi="hi-IN"/>
        </w:rPr>
      </w:pPr>
    </w:p>
    <w:p w:rsidR="00EE0C8C" w:rsidRPr="00EE0C8C" w:rsidRDefault="00EE0C8C" w:rsidP="00EE0C8C">
      <w:pPr>
        <w:widowControl w:val="0"/>
        <w:suppressAutoHyphens/>
        <w:autoSpaceDN w:val="0"/>
        <w:spacing w:after="0" w:line="240" w:lineRule="auto"/>
        <w:rPr>
          <w:rFonts w:ascii="Calibri" w:eastAsia="SimSun" w:hAnsi="Calibri" w:cs="Mangal"/>
          <w:color w:val="000000"/>
          <w:kern w:val="3"/>
          <w:sz w:val="23"/>
          <w:lang w:eastAsia="zh-CN" w:bidi="hi-IN"/>
        </w:rPr>
      </w:pPr>
      <w:r w:rsidRPr="00EE0C8C">
        <w:rPr>
          <w:rFonts w:ascii="Calibri" w:eastAsia="SimSun" w:hAnsi="Calibri" w:cs="Mangal"/>
          <w:color w:val="000000"/>
          <w:kern w:val="3"/>
          <w:sz w:val="23"/>
          <w:lang w:eastAsia="zh-CN" w:bidi="hi-IN"/>
        </w:rPr>
        <w:t>Odbiór odpadów komunalnych odbywa się według następujących zasad:</w:t>
      </w:r>
    </w:p>
    <w:p w:rsidR="00EE0C8C" w:rsidRPr="00EE0C8C" w:rsidRDefault="00EE0C8C" w:rsidP="00EE0C8C">
      <w:pPr>
        <w:widowControl w:val="0"/>
        <w:suppressAutoHyphens/>
        <w:autoSpaceDN w:val="0"/>
        <w:spacing w:after="0" w:line="240" w:lineRule="auto"/>
        <w:ind w:firstLine="1134"/>
        <w:rPr>
          <w:rFonts w:ascii="Calibri" w:eastAsia="SimSun" w:hAnsi="Calibri" w:cs="Mangal"/>
          <w:color w:val="000000"/>
          <w:kern w:val="3"/>
          <w:lang w:eastAsia="zh-CN" w:bidi="hi-IN"/>
        </w:rPr>
      </w:pPr>
    </w:p>
    <w:p w:rsidR="00EE0C8C" w:rsidRPr="00EE0C8C" w:rsidRDefault="00EE0C8C" w:rsidP="00EE0C8C">
      <w:pPr>
        <w:widowControl w:val="0"/>
        <w:suppressAutoHyphens/>
        <w:autoSpaceDN w:val="0"/>
        <w:spacing w:after="34" w:line="240" w:lineRule="auto"/>
        <w:rPr>
          <w:rFonts w:ascii="Calibri" w:eastAsia="SimSun" w:hAnsi="Calibri" w:cs="Mangal"/>
          <w:color w:val="000000"/>
          <w:kern w:val="3"/>
          <w:sz w:val="24"/>
          <w:szCs w:val="24"/>
          <w:lang w:eastAsia="zh-CN" w:bidi="hi-IN"/>
        </w:rPr>
      </w:pPr>
      <w:r w:rsidRPr="00EE0C8C">
        <w:rPr>
          <w:rFonts w:ascii="Wingdings" w:eastAsia="SimSun" w:hAnsi="Wingdings" w:cs="Mangal"/>
          <w:color w:val="000000"/>
          <w:kern w:val="3"/>
          <w:sz w:val="23"/>
          <w:szCs w:val="24"/>
          <w:lang w:eastAsia="zh-CN" w:bidi="hi-IN"/>
        </w:rPr>
        <w:t></w:t>
      </w:r>
      <w:r w:rsidRPr="00EE0C8C">
        <w:rPr>
          <w:rFonts w:ascii="Wingdings" w:eastAsia="SimSun" w:hAnsi="Wingdings" w:cs="Mangal"/>
          <w:color w:val="000000"/>
          <w:kern w:val="3"/>
          <w:sz w:val="23"/>
          <w:szCs w:val="24"/>
          <w:lang w:eastAsia="zh-CN" w:bidi="hi-IN"/>
        </w:rPr>
        <w:t></w:t>
      </w:r>
      <w:r w:rsidRPr="00EE0C8C">
        <w:rPr>
          <w:rFonts w:ascii="Calibri" w:eastAsia="SimSun" w:hAnsi="Calibri" w:cs="Mangal"/>
          <w:color w:val="000000"/>
          <w:kern w:val="3"/>
          <w:sz w:val="23"/>
          <w:szCs w:val="24"/>
          <w:lang w:eastAsia="zh-CN" w:bidi="hi-IN"/>
        </w:rPr>
        <w:t>odpady komunalne zbierane w sposób selektywny gromadzone w workach:</w:t>
      </w:r>
    </w:p>
    <w:p w:rsidR="00EE0C8C" w:rsidRPr="00EE0C8C" w:rsidRDefault="00EE0C8C" w:rsidP="00EE0C8C">
      <w:pPr>
        <w:widowControl w:val="0"/>
        <w:suppressAutoHyphens/>
        <w:autoSpaceDN w:val="0"/>
        <w:spacing w:after="34" w:line="240" w:lineRule="auto"/>
        <w:rPr>
          <w:rFonts w:ascii="Calibri" w:eastAsia="SimSun" w:hAnsi="Calibri" w:cs="Mangal"/>
          <w:color w:val="000000"/>
          <w:kern w:val="3"/>
          <w:sz w:val="24"/>
          <w:szCs w:val="24"/>
          <w:lang w:eastAsia="zh-CN" w:bidi="hi-IN"/>
        </w:rPr>
      </w:pPr>
      <w:r w:rsidRPr="00EE0C8C">
        <w:rPr>
          <w:rFonts w:ascii="Calibri" w:eastAsia="SimSun" w:hAnsi="Calibri" w:cs="Mangal"/>
          <w:color w:val="000000"/>
          <w:kern w:val="3"/>
          <w:sz w:val="23"/>
          <w:szCs w:val="24"/>
          <w:lang w:eastAsia="zh-CN" w:bidi="hi-IN"/>
        </w:rPr>
        <w:t>- papier i tektura (worek niebieski) odbiór raz w miesiącu,</w:t>
      </w:r>
    </w:p>
    <w:p w:rsidR="00EE0C8C" w:rsidRPr="00EE0C8C" w:rsidRDefault="00EE0C8C" w:rsidP="00EE0C8C">
      <w:pPr>
        <w:widowControl w:val="0"/>
        <w:suppressAutoHyphens/>
        <w:autoSpaceDN w:val="0"/>
        <w:spacing w:after="34" w:line="240" w:lineRule="auto"/>
        <w:rPr>
          <w:rFonts w:ascii="Calibri" w:eastAsia="SimSun" w:hAnsi="Calibri" w:cs="Mangal"/>
          <w:color w:val="000000"/>
          <w:kern w:val="3"/>
          <w:sz w:val="24"/>
          <w:szCs w:val="24"/>
          <w:lang w:eastAsia="zh-CN" w:bidi="hi-IN"/>
        </w:rPr>
      </w:pPr>
      <w:r w:rsidRPr="00EE0C8C">
        <w:rPr>
          <w:rFonts w:ascii="Calibri" w:eastAsia="SimSun" w:hAnsi="Calibri" w:cs="Mangal"/>
          <w:color w:val="000000"/>
          <w:kern w:val="3"/>
          <w:sz w:val="23"/>
          <w:szCs w:val="24"/>
          <w:lang w:eastAsia="zh-CN" w:bidi="hi-IN"/>
        </w:rPr>
        <w:t>- tworzywa sztuczne, opakowania wielomateriałowe i metale (worek żółty) odbiór raz w miesiącu,</w:t>
      </w:r>
    </w:p>
    <w:p w:rsidR="00EE0C8C" w:rsidRPr="00EE0C8C" w:rsidRDefault="00EE0C8C" w:rsidP="00EE0C8C">
      <w:pPr>
        <w:widowControl w:val="0"/>
        <w:suppressAutoHyphens/>
        <w:autoSpaceDN w:val="0"/>
        <w:spacing w:after="34" w:line="240" w:lineRule="auto"/>
        <w:rPr>
          <w:rFonts w:ascii="Calibri" w:eastAsia="SimSun" w:hAnsi="Calibri" w:cs="Mangal"/>
          <w:color w:val="000000"/>
          <w:kern w:val="3"/>
          <w:sz w:val="23"/>
          <w:szCs w:val="24"/>
          <w:lang w:eastAsia="zh-CN" w:bidi="hi-IN"/>
        </w:rPr>
      </w:pPr>
      <w:r w:rsidRPr="00EE0C8C">
        <w:rPr>
          <w:rFonts w:ascii="Calibri" w:eastAsia="SimSun" w:hAnsi="Calibri" w:cs="Mangal"/>
          <w:color w:val="000000"/>
          <w:kern w:val="3"/>
          <w:sz w:val="23"/>
          <w:szCs w:val="24"/>
          <w:lang w:eastAsia="zh-CN" w:bidi="hi-IN"/>
        </w:rPr>
        <w:t>- opakowanie szklane (worek zielony) odbiór raz na kwartał,</w:t>
      </w:r>
    </w:p>
    <w:p w:rsidR="00EE0C8C" w:rsidRPr="00EE0C8C" w:rsidRDefault="00EE0C8C" w:rsidP="00EE0C8C">
      <w:pPr>
        <w:widowControl w:val="0"/>
        <w:suppressAutoHyphens/>
        <w:autoSpaceDN w:val="0"/>
        <w:spacing w:after="0" w:line="240" w:lineRule="auto"/>
        <w:rPr>
          <w:rFonts w:ascii="Calibri" w:eastAsia="SimSun" w:hAnsi="Calibri" w:cs="Mangal"/>
          <w:color w:val="000000"/>
          <w:kern w:val="3"/>
          <w:sz w:val="24"/>
          <w:szCs w:val="24"/>
          <w:lang w:eastAsia="zh-CN" w:bidi="hi-IN"/>
        </w:rPr>
      </w:pPr>
    </w:p>
    <w:p w:rsidR="00EE0C8C" w:rsidRPr="00EE0C8C" w:rsidRDefault="00EE0C8C" w:rsidP="00EE0C8C">
      <w:pPr>
        <w:widowControl w:val="0"/>
        <w:suppressAutoHyphens/>
        <w:autoSpaceDN w:val="0"/>
        <w:spacing w:after="34" w:line="240" w:lineRule="auto"/>
        <w:rPr>
          <w:rFonts w:ascii="Calibri" w:eastAsia="SimSun" w:hAnsi="Calibri" w:cs="Mangal"/>
          <w:color w:val="000000"/>
          <w:kern w:val="3"/>
          <w:sz w:val="24"/>
          <w:szCs w:val="24"/>
          <w:lang w:eastAsia="zh-CN" w:bidi="hi-IN"/>
        </w:rPr>
      </w:pPr>
      <w:r w:rsidRPr="00EE0C8C">
        <w:rPr>
          <w:rFonts w:ascii="Wingdings" w:eastAsia="SimSun" w:hAnsi="Wingdings" w:cs="Mangal"/>
          <w:color w:val="000000"/>
          <w:kern w:val="3"/>
          <w:sz w:val="23"/>
          <w:szCs w:val="24"/>
          <w:lang w:eastAsia="zh-CN" w:bidi="hi-IN"/>
        </w:rPr>
        <w:t></w:t>
      </w:r>
      <w:r w:rsidRPr="00EE0C8C">
        <w:rPr>
          <w:rFonts w:ascii="Wingdings" w:eastAsia="SimSun" w:hAnsi="Wingdings" w:cs="Mangal"/>
          <w:color w:val="000000"/>
          <w:kern w:val="3"/>
          <w:sz w:val="23"/>
          <w:szCs w:val="24"/>
          <w:lang w:eastAsia="zh-CN" w:bidi="hi-IN"/>
        </w:rPr>
        <w:t></w:t>
      </w:r>
      <w:r w:rsidRPr="00EE0C8C">
        <w:rPr>
          <w:rFonts w:ascii="Calibri" w:eastAsia="SimSun" w:hAnsi="Calibri" w:cs="Mangal"/>
          <w:color w:val="000000"/>
          <w:kern w:val="3"/>
          <w:sz w:val="23"/>
          <w:szCs w:val="24"/>
          <w:lang w:eastAsia="zh-CN" w:bidi="hi-IN"/>
        </w:rPr>
        <w:t>inne odpady komunalne zbierane w sposób selektywny:</w:t>
      </w:r>
    </w:p>
    <w:p w:rsidR="00EE0C8C" w:rsidRPr="00EE0C8C" w:rsidRDefault="00EE0C8C" w:rsidP="00EE0C8C">
      <w:pPr>
        <w:widowControl w:val="0"/>
        <w:suppressAutoHyphens/>
        <w:autoSpaceDN w:val="0"/>
        <w:spacing w:after="34" w:line="240" w:lineRule="auto"/>
        <w:rPr>
          <w:rFonts w:ascii="Calibri" w:eastAsia="SimSun" w:hAnsi="Calibri" w:cs="Mangal"/>
          <w:color w:val="000000"/>
          <w:kern w:val="3"/>
          <w:sz w:val="24"/>
          <w:szCs w:val="24"/>
          <w:lang w:eastAsia="zh-CN" w:bidi="hi-IN"/>
        </w:rPr>
      </w:pPr>
      <w:r w:rsidRPr="00EE0C8C">
        <w:rPr>
          <w:rFonts w:ascii="Calibri" w:eastAsia="SimSun" w:hAnsi="Calibri" w:cs="Mangal"/>
          <w:color w:val="000000"/>
          <w:kern w:val="3"/>
          <w:sz w:val="23"/>
          <w:szCs w:val="24"/>
          <w:lang w:eastAsia="zh-CN" w:bidi="hi-IN"/>
        </w:rPr>
        <w:t>- odpady wielkogabarytowe odbiór raz w roku,</w:t>
      </w:r>
    </w:p>
    <w:p w:rsidR="00EE0C8C" w:rsidRPr="00EE0C8C" w:rsidRDefault="00EE0C8C" w:rsidP="00EE0C8C">
      <w:pPr>
        <w:widowControl w:val="0"/>
        <w:suppressAutoHyphens/>
        <w:autoSpaceDN w:val="0"/>
        <w:spacing w:after="34" w:line="240" w:lineRule="auto"/>
        <w:rPr>
          <w:rFonts w:ascii="Calibri" w:eastAsia="SimSun" w:hAnsi="Calibri" w:cs="Mangal"/>
          <w:color w:val="000000"/>
          <w:kern w:val="3"/>
          <w:sz w:val="24"/>
          <w:szCs w:val="24"/>
          <w:lang w:eastAsia="zh-CN" w:bidi="hi-IN"/>
        </w:rPr>
      </w:pPr>
      <w:r w:rsidRPr="00EE0C8C">
        <w:rPr>
          <w:rFonts w:ascii="Calibri" w:eastAsia="SimSun" w:hAnsi="Calibri" w:cs="Mangal"/>
          <w:color w:val="000000"/>
          <w:kern w:val="3"/>
          <w:sz w:val="23"/>
          <w:szCs w:val="24"/>
          <w:lang w:eastAsia="zh-CN" w:bidi="hi-IN"/>
        </w:rPr>
        <w:t>- zużyty sprzęt elektryczny i elektroniczny odbiór raz w roku,</w:t>
      </w:r>
    </w:p>
    <w:p w:rsidR="00EE0C8C" w:rsidRPr="00EE0C8C" w:rsidRDefault="00EE0C8C" w:rsidP="00EE0C8C">
      <w:pPr>
        <w:widowControl w:val="0"/>
        <w:suppressAutoHyphens/>
        <w:autoSpaceDN w:val="0"/>
        <w:spacing w:after="34" w:line="240" w:lineRule="auto"/>
        <w:rPr>
          <w:rFonts w:ascii="Calibri" w:eastAsia="SimSun" w:hAnsi="Calibri" w:cs="Mangal"/>
          <w:color w:val="000000"/>
          <w:kern w:val="3"/>
          <w:sz w:val="24"/>
          <w:szCs w:val="24"/>
          <w:lang w:eastAsia="zh-CN" w:bidi="hi-IN"/>
        </w:rPr>
      </w:pPr>
      <w:r w:rsidRPr="00EE0C8C">
        <w:rPr>
          <w:rFonts w:ascii="Calibri" w:eastAsia="SimSun" w:hAnsi="Calibri" w:cs="Mangal"/>
          <w:color w:val="000000"/>
          <w:kern w:val="3"/>
          <w:sz w:val="23"/>
          <w:szCs w:val="24"/>
          <w:lang w:eastAsia="zh-CN" w:bidi="hi-IN"/>
        </w:rPr>
        <w:t>- zużyte opony (samochodowe, maszyn rolniczych i traktorów)– odbiór raz w roku,</w:t>
      </w:r>
    </w:p>
    <w:p w:rsidR="00EE0C8C" w:rsidRPr="00EE0C8C" w:rsidRDefault="00EE0C8C" w:rsidP="00EE0C8C">
      <w:pPr>
        <w:widowControl w:val="0"/>
        <w:suppressAutoHyphens/>
        <w:autoSpaceDN w:val="0"/>
        <w:spacing w:after="34" w:line="240" w:lineRule="auto"/>
        <w:jc w:val="both"/>
        <w:rPr>
          <w:rFonts w:ascii="Calibri" w:eastAsia="SimSun" w:hAnsi="Calibri" w:cs="Mangal"/>
          <w:color w:val="000000"/>
          <w:kern w:val="3"/>
          <w:sz w:val="23"/>
          <w:szCs w:val="24"/>
          <w:lang w:eastAsia="zh-CN" w:bidi="hi-IN"/>
        </w:rPr>
      </w:pPr>
      <w:r w:rsidRPr="00EE0C8C">
        <w:rPr>
          <w:rFonts w:ascii="Calibri" w:eastAsia="SimSun" w:hAnsi="Calibri" w:cs="Mangal"/>
          <w:color w:val="000000"/>
          <w:kern w:val="3"/>
          <w:sz w:val="23"/>
          <w:szCs w:val="24"/>
          <w:lang w:eastAsia="zh-CN" w:bidi="hi-IN"/>
        </w:rPr>
        <w:t>- odpady niebezpieczne (przeterminowane leki, zużyte baterie, chemikalia, świetlówki, środki ochrony roślin, farby-lakiery itp.) odbiór raz w roku,</w:t>
      </w:r>
    </w:p>
    <w:p w:rsidR="00EE0C8C" w:rsidRPr="00EE0C8C" w:rsidRDefault="00EE0C8C" w:rsidP="00EE0C8C">
      <w:pPr>
        <w:widowControl w:val="0"/>
        <w:suppressAutoHyphens/>
        <w:autoSpaceDN w:val="0"/>
        <w:spacing w:after="0" w:line="240" w:lineRule="auto"/>
        <w:jc w:val="both"/>
        <w:rPr>
          <w:rFonts w:ascii="Calibri" w:eastAsia="SimSun" w:hAnsi="Calibri" w:cs="Mangal"/>
          <w:color w:val="000000"/>
          <w:kern w:val="3"/>
          <w:sz w:val="24"/>
          <w:szCs w:val="24"/>
          <w:lang w:eastAsia="zh-CN" w:bidi="hi-IN"/>
        </w:rPr>
      </w:pPr>
    </w:p>
    <w:p w:rsidR="00EE0C8C" w:rsidRPr="00EE0C8C" w:rsidRDefault="00EE0C8C" w:rsidP="00EE0C8C">
      <w:pPr>
        <w:widowControl w:val="0"/>
        <w:suppressAutoHyphens/>
        <w:autoSpaceDN w:val="0"/>
        <w:spacing w:after="34" w:line="240" w:lineRule="auto"/>
        <w:rPr>
          <w:rFonts w:ascii="Calibri" w:eastAsia="SimSun" w:hAnsi="Calibri" w:cs="Mangal"/>
          <w:color w:val="000000"/>
          <w:kern w:val="3"/>
          <w:sz w:val="24"/>
          <w:szCs w:val="24"/>
          <w:lang w:eastAsia="zh-CN" w:bidi="hi-IN"/>
        </w:rPr>
      </w:pPr>
      <w:r w:rsidRPr="00EE0C8C">
        <w:rPr>
          <w:rFonts w:ascii="Wingdings" w:eastAsia="SimSun" w:hAnsi="Wingdings" w:cs="Mangal"/>
          <w:color w:val="000000"/>
          <w:kern w:val="3"/>
          <w:sz w:val="23"/>
          <w:szCs w:val="24"/>
          <w:lang w:eastAsia="zh-CN" w:bidi="hi-IN"/>
        </w:rPr>
        <w:t></w:t>
      </w:r>
      <w:r w:rsidRPr="00EE0C8C">
        <w:rPr>
          <w:rFonts w:ascii="Wingdings" w:eastAsia="SimSun" w:hAnsi="Wingdings" w:cs="Mangal"/>
          <w:color w:val="000000"/>
          <w:kern w:val="3"/>
          <w:sz w:val="23"/>
          <w:szCs w:val="24"/>
          <w:lang w:eastAsia="zh-CN" w:bidi="hi-IN"/>
        </w:rPr>
        <w:t></w:t>
      </w:r>
      <w:r w:rsidRPr="00EE0C8C">
        <w:rPr>
          <w:rFonts w:ascii="Calibri" w:eastAsia="SimSun" w:hAnsi="Calibri" w:cs="Mangal"/>
          <w:color w:val="000000"/>
          <w:kern w:val="3"/>
          <w:sz w:val="23"/>
          <w:szCs w:val="24"/>
          <w:lang w:eastAsia="zh-CN" w:bidi="hi-IN"/>
        </w:rPr>
        <w:t>odpady budowlano–remontowe:</w:t>
      </w:r>
    </w:p>
    <w:p w:rsidR="00EE0C8C" w:rsidRPr="00EE0C8C" w:rsidRDefault="00EE0C8C" w:rsidP="00EE0C8C">
      <w:pPr>
        <w:widowControl w:val="0"/>
        <w:suppressAutoHyphens/>
        <w:autoSpaceDN w:val="0"/>
        <w:spacing w:after="0" w:line="240" w:lineRule="auto"/>
        <w:jc w:val="both"/>
        <w:rPr>
          <w:rFonts w:ascii="Calibri" w:eastAsia="SimSun" w:hAnsi="Calibri" w:cs="Mangal"/>
          <w:color w:val="000000"/>
          <w:kern w:val="3"/>
          <w:sz w:val="24"/>
          <w:szCs w:val="24"/>
          <w:lang w:eastAsia="zh-CN" w:bidi="hi-IN"/>
        </w:rPr>
      </w:pPr>
      <w:r w:rsidRPr="00EE0C8C">
        <w:rPr>
          <w:rFonts w:ascii="Calibri" w:eastAsia="SimSun" w:hAnsi="Calibri" w:cs="Mangal"/>
          <w:color w:val="000000"/>
          <w:kern w:val="3"/>
          <w:sz w:val="23"/>
          <w:szCs w:val="24"/>
          <w:lang w:eastAsia="zh-CN" w:bidi="hi-IN"/>
        </w:rPr>
        <w:t xml:space="preserve">- odpady budowlano-remontowe - odbiór z 10 punktów mobilnych zlokalizowanych po jednym </w:t>
      </w:r>
      <w:r w:rsidRPr="00EE0C8C">
        <w:rPr>
          <w:rFonts w:ascii="Calibri" w:eastAsia="SimSun" w:hAnsi="Calibri" w:cs="Mangal"/>
          <w:color w:val="000000"/>
          <w:kern w:val="3"/>
          <w:sz w:val="23"/>
          <w:szCs w:val="24"/>
          <w:lang w:eastAsia="zh-CN" w:bidi="hi-IN"/>
        </w:rPr>
        <w:br/>
        <w:t>w każdym sołectwie (wskazanych przez Urząd Gminy) raz w roku,</w:t>
      </w:r>
    </w:p>
    <w:p w:rsidR="00EE0C8C" w:rsidRPr="00EE0C8C" w:rsidRDefault="00EE0C8C" w:rsidP="00EE0C8C">
      <w:pPr>
        <w:widowControl w:val="0"/>
        <w:suppressAutoHyphens/>
        <w:autoSpaceDN w:val="0"/>
        <w:spacing w:after="0" w:line="240" w:lineRule="auto"/>
        <w:rPr>
          <w:rFonts w:ascii="Calibri" w:eastAsia="SimSun" w:hAnsi="Calibri" w:cs="Mangal"/>
          <w:color w:val="000000"/>
          <w:kern w:val="3"/>
          <w:lang w:eastAsia="zh-CN" w:bidi="hi-IN"/>
        </w:rPr>
      </w:pPr>
    </w:p>
    <w:p w:rsidR="00EE0C8C" w:rsidRPr="00EE0C8C" w:rsidRDefault="00EE0C8C" w:rsidP="00EE0C8C">
      <w:pPr>
        <w:widowControl w:val="0"/>
        <w:suppressAutoHyphens/>
        <w:autoSpaceDN w:val="0"/>
        <w:spacing w:after="34" w:line="240" w:lineRule="auto"/>
        <w:jc w:val="both"/>
        <w:rPr>
          <w:rFonts w:ascii="Calibri" w:eastAsia="SimSun" w:hAnsi="Calibri" w:cs="Mangal"/>
          <w:color w:val="000000"/>
          <w:kern w:val="3"/>
          <w:sz w:val="24"/>
          <w:szCs w:val="24"/>
          <w:lang w:eastAsia="zh-CN" w:bidi="hi-IN"/>
        </w:rPr>
      </w:pPr>
      <w:r w:rsidRPr="00EE0C8C">
        <w:rPr>
          <w:rFonts w:ascii="Wingdings" w:eastAsia="SimSun" w:hAnsi="Wingdings" w:cs="Mangal"/>
          <w:color w:val="000000"/>
          <w:kern w:val="3"/>
          <w:sz w:val="23"/>
          <w:szCs w:val="24"/>
          <w:lang w:eastAsia="zh-CN" w:bidi="hi-IN"/>
        </w:rPr>
        <w:t></w:t>
      </w:r>
      <w:r w:rsidRPr="00EE0C8C">
        <w:rPr>
          <w:rFonts w:ascii="Wingdings" w:eastAsia="SimSun" w:hAnsi="Wingdings" w:cs="Mangal"/>
          <w:color w:val="000000"/>
          <w:kern w:val="3"/>
          <w:sz w:val="23"/>
          <w:szCs w:val="24"/>
          <w:lang w:eastAsia="zh-CN" w:bidi="hi-IN"/>
        </w:rPr>
        <w:t></w:t>
      </w:r>
      <w:r w:rsidRPr="00EE0C8C">
        <w:rPr>
          <w:rFonts w:ascii="Calibri" w:eastAsia="SimSun" w:hAnsi="Calibri" w:cs="Mangal"/>
          <w:color w:val="000000"/>
          <w:kern w:val="3"/>
          <w:sz w:val="23"/>
          <w:szCs w:val="24"/>
          <w:lang w:eastAsia="zh-CN" w:bidi="hi-IN"/>
        </w:rPr>
        <w:t xml:space="preserve">odpady komunalne zbierane w sposób nieselektywny (zmieszane odpady komunalne) gromadzone w pojemnikach o pojemnościach od 110 l – 240 l lub w przypadku ich braku </w:t>
      </w:r>
      <w:r w:rsidRPr="00EE0C8C">
        <w:rPr>
          <w:rFonts w:ascii="Calibri" w:eastAsia="SimSun" w:hAnsi="Calibri" w:cs="Mangal"/>
          <w:color w:val="000000"/>
          <w:kern w:val="3"/>
          <w:sz w:val="23"/>
          <w:szCs w:val="24"/>
          <w:lang w:eastAsia="zh-CN" w:bidi="hi-IN"/>
        </w:rPr>
        <w:br/>
        <w:t>w czarnych workach (które zapewni właściciel nieruchomości)</w:t>
      </w:r>
    </w:p>
    <w:p w:rsidR="00EE0C8C" w:rsidRPr="00EE0C8C" w:rsidRDefault="00EE0C8C" w:rsidP="00EE0C8C">
      <w:pPr>
        <w:widowControl w:val="0"/>
        <w:suppressAutoHyphens/>
        <w:autoSpaceDN w:val="0"/>
        <w:spacing w:after="34" w:line="240" w:lineRule="auto"/>
        <w:rPr>
          <w:rFonts w:ascii="Calibri" w:eastAsia="SimSun" w:hAnsi="Calibri" w:cs="Mangal"/>
          <w:color w:val="000000"/>
          <w:kern w:val="3"/>
          <w:sz w:val="23"/>
          <w:szCs w:val="24"/>
          <w:lang w:eastAsia="zh-CN" w:bidi="hi-IN"/>
        </w:rPr>
      </w:pPr>
      <w:r w:rsidRPr="00EE0C8C">
        <w:rPr>
          <w:rFonts w:ascii="Calibri" w:eastAsia="SimSun" w:hAnsi="Calibri" w:cs="Mangal"/>
          <w:color w:val="000000"/>
          <w:kern w:val="3"/>
          <w:sz w:val="23"/>
          <w:szCs w:val="24"/>
          <w:lang w:eastAsia="zh-CN" w:bidi="hi-IN"/>
        </w:rPr>
        <w:t>-  zmieszane odpady komunalne (w tym popiół z palenisk domowych) odbiór raz w miesiącu,</w:t>
      </w:r>
    </w:p>
    <w:p w:rsidR="00EE0C8C" w:rsidRPr="00EE0C8C" w:rsidRDefault="00EE0C8C" w:rsidP="00EE0C8C">
      <w:pPr>
        <w:widowControl w:val="0"/>
        <w:suppressAutoHyphens/>
        <w:autoSpaceDN w:val="0"/>
        <w:spacing w:after="0" w:line="240" w:lineRule="auto"/>
        <w:rPr>
          <w:rFonts w:ascii="Calibri" w:eastAsia="SimSun" w:hAnsi="Calibri" w:cs="Mangal"/>
          <w:color w:val="000000"/>
          <w:kern w:val="3"/>
          <w:sz w:val="24"/>
          <w:szCs w:val="24"/>
          <w:lang w:eastAsia="zh-CN" w:bidi="hi-IN"/>
        </w:rPr>
      </w:pPr>
    </w:p>
    <w:p w:rsidR="00EE0C8C" w:rsidRPr="00EE0C8C" w:rsidRDefault="00EE0C8C" w:rsidP="00EE0C8C">
      <w:pPr>
        <w:widowControl w:val="0"/>
        <w:suppressAutoHyphens/>
        <w:autoSpaceDN w:val="0"/>
        <w:spacing w:after="0" w:line="240" w:lineRule="auto"/>
        <w:jc w:val="both"/>
        <w:rPr>
          <w:rFonts w:ascii="Calibri" w:eastAsia="SimSun" w:hAnsi="Calibri" w:cs="Mangal"/>
          <w:color w:val="000000"/>
          <w:kern w:val="3"/>
          <w:sz w:val="23"/>
          <w:szCs w:val="24"/>
          <w:lang w:eastAsia="zh-CN" w:bidi="hi-IN"/>
        </w:rPr>
      </w:pPr>
      <w:r w:rsidRPr="00EE0C8C">
        <w:rPr>
          <w:rFonts w:ascii="Wingdings" w:eastAsia="SimSun" w:hAnsi="Wingdings" w:cs="Mangal"/>
          <w:color w:val="000000"/>
          <w:kern w:val="3"/>
          <w:sz w:val="23"/>
          <w:szCs w:val="24"/>
          <w:lang w:eastAsia="zh-CN" w:bidi="hi-IN"/>
        </w:rPr>
        <w:t></w:t>
      </w:r>
      <w:r w:rsidRPr="00EE0C8C">
        <w:rPr>
          <w:rFonts w:ascii="Wingdings" w:eastAsia="SimSun" w:hAnsi="Wingdings" w:cs="Mangal"/>
          <w:color w:val="000000"/>
          <w:kern w:val="3"/>
          <w:sz w:val="23"/>
          <w:szCs w:val="24"/>
          <w:lang w:eastAsia="zh-CN" w:bidi="hi-IN"/>
        </w:rPr>
        <w:t></w:t>
      </w:r>
      <w:r w:rsidRPr="00EE0C8C">
        <w:rPr>
          <w:rFonts w:ascii="Calibri" w:eastAsia="SimSun" w:hAnsi="Calibri" w:cs="Mangal"/>
          <w:color w:val="000000"/>
          <w:kern w:val="3"/>
          <w:sz w:val="23"/>
          <w:szCs w:val="24"/>
          <w:lang w:eastAsia="zh-CN" w:bidi="hi-IN"/>
        </w:rPr>
        <w:t xml:space="preserve">odbiór przeterminowanych leków z punktów zlokalizowanych w ośrodkach zdrowia </w:t>
      </w:r>
      <w:r w:rsidRPr="00EE0C8C">
        <w:rPr>
          <w:rFonts w:ascii="Calibri" w:eastAsia="SimSun" w:hAnsi="Calibri" w:cs="Mangal"/>
          <w:color w:val="000000"/>
          <w:kern w:val="3"/>
          <w:sz w:val="23"/>
          <w:szCs w:val="24"/>
          <w:lang w:eastAsia="zh-CN" w:bidi="hi-IN"/>
        </w:rPr>
        <w:br/>
        <w:t>w miejscowości Mirzec Stary 14 - Publiczny Zakład Opieki Zdrowotnej w Mircu oraz Jagodnem 126 - Ośrodek Zdrowia w Jagodnem.</w:t>
      </w:r>
    </w:p>
    <w:p w:rsidR="00EE0C8C" w:rsidRPr="00EE0C8C" w:rsidRDefault="00EE0C8C" w:rsidP="00EE0C8C">
      <w:pPr>
        <w:widowControl w:val="0"/>
        <w:suppressAutoHyphens/>
        <w:autoSpaceDN w:val="0"/>
        <w:spacing w:after="0" w:line="240" w:lineRule="auto"/>
        <w:rPr>
          <w:rFonts w:ascii="Calibri" w:eastAsia="SimSun" w:hAnsi="Calibri" w:cs="Mangal"/>
          <w:color w:val="000000"/>
          <w:kern w:val="3"/>
          <w:sz w:val="24"/>
          <w:szCs w:val="24"/>
          <w:lang w:eastAsia="zh-CN" w:bidi="hi-IN"/>
        </w:rPr>
      </w:pPr>
    </w:p>
    <w:p w:rsidR="00EE0C8C" w:rsidRPr="00EE0C8C" w:rsidRDefault="00EE0C8C" w:rsidP="00EE0C8C">
      <w:pPr>
        <w:widowControl w:val="0"/>
        <w:suppressAutoHyphens/>
        <w:autoSpaceDN w:val="0"/>
        <w:spacing w:after="0" w:line="240" w:lineRule="auto"/>
        <w:jc w:val="both"/>
        <w:rPr>
          <w:rFonts w:ascii="Calibri" w:eastAsia="SimSun" w:hAnsi="Calibri" w:cs="Mangal"/>
          <w:color w:val="000000"/>
          <w:kern w:val="3"/>
          <w:sz w:val="23"/>
          <w:lang w:eastAsia="zh-CN" w:bidi="hi-IN"/>
        </w:rPr>
      </w:pPr>
      <w:r w:rsidRPr="00EE0C8C">
        <w:rPr>
          <w:rFonts w:ascii="Calibri" w:eastAsia="SimSun" w:hAnsi="Calibri" w:cs="Mangal"/>
          <w:color w:val="000000"/>
          <w:kern w:val="3"/>
          <w:sz w:val="23"/>
          <w:lang w:eastAsia="zh-CN" w:bidi="hi-IN"/>
        </w:rPr>
        <w:lastRenderedPageBreak/>
        <w:t xml:space="preserve">Według gminnego sprawozdania z planu gospodarki odpadami w 2014 roku zebranych zostało 439,1Mg zmieszanych odpadów komunalnych oraz 298,2Mg odpadów zebranych selektywnie, </w:t>
      </w:r>
      <w:r w:rsidRPr="00EE0C8C">
        <w:rPr>
          <w:rFonts w:ascii="Calibri" w:eastAsia="SimSun" w:hAnsi="Calibri" w:cs="Mangal"/>
          <w:color w:val="000000"/>
          <w:kern w:val="3"/>
          <w:sz w:val="23"/>
          <w:lang w:eastAsia="zh-CN" w:bidi="hi-IN"/>
        </w:rPr>
        <w:br/>
        <w:t xml:space="preserve">w tym: odpady wielkogabarytowe – 23Mg, odpady budowlane i remontowe – 18Mg, zmieszane odpady opakowaniowe – 13,5Mg, papier i tektura –102Mg, tworzywa sztuczne – 49,7Mg, odpady ze szkła – 82,1Mg oraz inne niewymienione frakcje odpadów zebrane selektywnie – 9,9Mg. </w:t>
      </w:r>
      <w:r w:rsidRPr="00EE0C8C">
        <w:rPr>
          <w:rFonts w:ascii="Calibri" w:eastAsia="SimSun" w:hAnsi="Calibri" w:cs="Mangal"/>
          <w:color w:val="000000"/>
          <w:kern w:val="3"/>
          <w:sz w:val="23"/>
          <w:lang w:eastAsia="zh-CN" w:bidi="hi-IN"/>
        </w:rPr>
        <w:br/>
        <w:t>W sumie całkowita ilość odebranych z terenu Gminy Mirzec odpadów komunalnych wynosi 737,30 [Mg].</w:t>
      </w:r>
    </w:p>
    <w:p w:rsidR="00EE0C8C" w:rsidRPr="00EE0C8C" w:rsidRDefault="00EE0C8C" w:rsidP="00EE0C8C">
      <w:pPr>
        <w:widowControl w:val="0"/>
        <w:suppressAutoHyphens/>
        <w:autoSpaceDN w:val="0"/>
        <w:spacing w:after="0" w:line="240" w:lineRule="auto"/>
        <w:ind w:firstLine="1134"/>
        <w:jc w:val="both"/>
        <w:rPr>
          <w:rFonts w:ascii="Calibri" w:eastAsia="SimSun" w:hAnsi="Calibri" w:cs="Mangal"/>
          <w:color w:val="000000"/>
          <w:kern w:val="3"/>
          <w:lang w:eastAsia="zh-CN" w:bidi="hi-IN"/>
        </w:rPr>
      </w:pPr>
    </w:p>
    <w:p w:rsidR="00EE0C8C" w:rsidRPr="00EE0C8C" w:rsidRDefault="00EE0C8C" w:rsidP="00EE0C8C">
      <w:pPr>
        <w:widowControl w:val="0"/>
        <w:suppressAutoHyphens/>
        <w:autoSpaceDN w:val="0"/>
        <w:spacing w:after="0" w:line="240" w:lineRule="auto"/>
        <w:ind w:firstLine="1134"/>
        <w:jc w:val="both"/>
        <w:rPr>
          <w:rFonts w:ascii="Calibri" w:eastAsia="SimSun" w:hAnsi="Calibri" w:cs="Mangal"/>
          <w:color w:val="000000"/>
          <w:kern w:val="3"/>
          <w:lang w:eastAsia="zh-CN" w:bidi="hi-IN"/>
        </w:rPr>
      </w:pPr>
    </w:p>
    <w:p w:rsidR="00EE0C8C" w:rsidRPr="00EE0C8C" w:rsidRDefault="00EE0C8C" w:rsidP="00A76BDB">
      <w:pPr>
        <w:widowControl w:val="0"/>
        <w:suppressAutoHyphens/>
        <w:autoSpaceDN w:val="0"/>
        <w:spacing w:after="0" w:line="240" w:lineRule="auto"/>
        <w:jc w:val="both"/>
        <w:rPr>
          <w:rFonts w:ascii="Calibri" w:eastAsia="SimSun" w:hAnsi="Calibri" w:cs="Mangal"/>
          <w:color w:val="000000"/>
          <w:kern w:val="3"/>
          <w:lang w:eastAsia="zh-CN" w:bidi="hi-IN"/>
        </w:rPr>
      </w:pPr>
    </w:p>
    <w:p w:rsidR="00EE0C8C" w:rsidRPr="00EE0C8C" w:rsidRDefault="00EE0C8C" w:rsidP="00EE0C8C">
      <w:pPr>
        <w:widowControl w:val="0"/>
        <w:suppressAutoHyphens/>
        <w:autoSpaceDN w:val="0"/>
        <w:spacing w:after="0" w:line="240" w:lineRule="auto"/>
        <w:ind w:firstLine="1134"/>
        <w:jc w:val="both"/>
        <w:rPr>
          <w:rFonts w:ascii="Calibri" w:eastAsia="SimSun" w:hAnsi="Calibri" w:cs="Mangal"/>
          <w:color w:val="000000"/>
          <w:kern w:val="3"/>
          <w:lang w:eastAsia="zh-CN" w:bidi="hi-IN"/>
        </w:rPr>
      </w:pPr>
    </w:p>
    <w:tbl>
      <w:tblPr>
        <w:tblStyle w:val="redniecieniowanie2akcent51"/>
        <w:tblW w:w="0" w:type="auto"/>
        <w:tblLook w:val="04A0" w:firstRow="1" w:lastRow="0" w:firstColumn="1" w:lastColumn="0" w:noHBand="0" w:noVBand="1"/>
      </w:tblPr>
      <w:tblGrid>
        <w:gridCol w:w="2615"/>
        <w:gridCol w:w="1462"/>
        <w:gridCol w:w="2410"/>
        <w:gridCol w:w="2693"/>
      </w:tblGrid>
      <w:tr w:rsidR="00EE0C8C" w:rsidRPr="00EE0C8C" w:rsidTr="00A76BD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15" w:type="dxa"/>
          </w:tcPr>
          <w:p w:rsidR="00EE0C8C" w:rsidRPr="00EE0C8C" w:rsidRDefault="00EE0C8C" w:rsidP="00EE0C8C">
            <w:pPr>
              <w:jc w:val="center"/>
              <w:rPr>
                <w:rFonts w:ascii="Calibri" w:eastAsia="Times New Roman" w:hAnsi="Calibri" w:cs="Arial"/>
                <w:lang w:eastAsia="pl-PL"/>
              </w:rPr>
            </w:pPr>
            <w:r w:rsidRPr="00EE0C8C">
              <w:rPr>
                <w:rFonts w:ascii="Calibri" w:eastAsia="Times New Roman" w:hAnsi="Calibri" w:cs="Arial"/>
              </w:rPr>
              <w:t>Sołectwo</w:t>
            </w:r>
          </w:p>
        </w:tc>
        <w:tc>
          <w:tcPr>
            <w:tcW w:w="1462" w:type="dxa"/>
          </w:tcPr>
          <w:p w:rsidR="00EE0C8C" w:rsidRPr="00EE0C8C" w:rsidRDefault="00EE0C8C" w:rsidP="00EE0C8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lang w:eastAsia="pl-PL"/>
              </w:rPr>
            </w:pPr>
            <w:r w:rsidRPr="00EE0C8C">
              <w:rPr>
                <w:rFonts w:ascii="Calibri" w:eastAsia="Times New Roman" w:hAnsi="Calibri" w:cs="Arial"/>
              </w:rPr>
              <w:t>Ilość gospodarstw</w:t>
            </w:r>
          </w:p>
        </w:tc>
        <w:tc>
          <w:tcPr>
            <w:tcW w:w="2410" w:type="dxa"/>
          </w:tcPr>
          <w:p w:rsidR="00EE0C8C" w:rsidRPr="00EE0C8C" w:rsidRDefault="00EE0C8C" w:rsidP="00EE0C8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rPr>
            </w:pPr>
            <w:r w:rsidRPr="00EE0C8C">
              <w:rPr>
                <w:rFonts w:ascii="Calibri" w:eastAsia="Times New Roman" w:hAnsi="Calibri" w:cs="Arial"/>
              </w:rPr>
              <w:t>Ilość gospodarstw</w:t>
            </w:r>
          </w:p>
          <w:p w:rsidR="00EE0C8C" w:rsidRPr="00EE0C8C" w:rsidRDefault="00EE0C8C" w:rsidP="00EE0C8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lang w:eastAsia="pl-PL"/>
              </w:rPr>
            </w:pPr>
            <w:r w:rsidRPr="00EE0C8C">
              <w:rPr>
                <w:rFonts w:ascii="Calibri" w:eastAsia="Times New Roman" w:hAnsi="Calibri" w:cs="Arial"/>
              </w:rPr>
              <w:t>sortujących odpady</w:t>
            </w:r>
          </w:p>
        </w:tc>
        <w:tc>
          <w:tcPr>
            <w:tcW w:w="2693" w:type="dxa"/>
          </w:tcPr>
          <w:p w:rsidR="00EE0C8C" w:rsidRPr="00EE0C8C" w:rsidRDefault="00EE0C8C" w:rsidP="00EE0C8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lang w:eastAsia="pl-PL"/>
              </w:rPr>
            </w:pPr>
            <w:r w:rsidRPr="00EE0C8C">
              <w:rPr>
                <w:rFonts w:ascii="Calibri" w:eastAsia="Times New Roman" w:hAnsi="Calibri" w:cs="Arial"/>
              </w:rPr>
              <w:t xml:space="preserve">% sortujących </w:t>
            </w:r>
          </w:p>
        </w:tc>
      </w:tr>
      <w:tr w:rsidR="00EE0C8C" w:rsidRPr="00EE0C8C" w:rsidTr="00A76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5" w:type="dxa"/>
            <w:shd w:val="clear" w:color="auto" w:fill="FF0000"/>
          </w:tcPr>
          <w:p w:rsidR="00EE0C8C" w:rsidRPr="00EE0C8C" w:rsidRDefault="00EE0C8C" w:rsidP="00EE0C8C">
            <w:pPr>
              <w:jc w:val="both"/>
              <w:rPr>
                <w:rFonts w:ascii="Calibri" w:eastAsia="Times New Roman" w:hAnsi="Calibri" w:cs="Arial"/>
              </w:rPr>
            </w:pPr>
            <w:r w:rsidRPr="00EE0C8C">
              <w:rPr>
                <w:rFonts w:ascii="Calibri" w:eastAsia="Times New Roman" w:hAnsi="Calibri" w:cs="Arial"/>
              </w:rPr>
              <w:t>Mirzec I</w:t>
            </w:r>
          </w:p>
        </w:tc>
        <w:tc>
          <w:tcPr>
            <w:tcW w:w="1462" w:type="dxa"/>
            <w:shd w:val="clear" w:color="auto" w:fill="FF0000"/>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rPr>
            </w:pPr>
            <w:r w:rsidRPr="00EE0C8C">
              <w:rPr>
                <w:rFonts w:ascii="Calibri" w:eastAsia="Times New Roman" w:hAnsi="Calibri" w:cs="Arial"/>
              </w:rPr>
              <w:t>292</w:t>
            </w:r>
          </w:p>
        </w:tc>
        <w:tc>
          <w:tcPr>
            <w:tcW w:w="2410" w:type="dxa"/>
            <w:shd w:val="clear" w:color="auto" w:fill="FF0000"/>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rPr>
            </w:pPr>
            <w:r w:rsidRPr="00EE0C8C">
              <w:rPr>
                <w:rFonts w:ascii="Calibri" w:eastAsia="Times New Roman" w:hAnsi="Calibri" w:cs="Arial"/>
              </w:rPr>
              <w:t>266</w:t>
            </w:r>
          </w:p>
        </w:tc>
        <w:tc>
          <w:tcPr>
            <w:tcW w:w="2693" w:type="dxa"/>
            <w:shd w:val="clear" w:color="auto" w:fill="FF0000"/>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rPr>
            </w:pPr>
            <w:r w:rsidRPr="00EE0C8C">
              <w:rPr>
                <w:rFonts w:ascii="Calibri" w:eastAsia="Times New Roman" w:hAnsi="Calibri" w:cs="Arial"/>
              </w:rPr>
              <w:t>91,1 %</w:t>
            </w:r>
          </w:p>
        </w:tc>
      </w:tr>
      <w:tr w:rsidR="00EE0C8C" w:rsidRPr="00EE0C8C" w:rsidTr="00A76BDB">
        <w:tc>
          <w:tcPr>
            <w:cnfStyle w:val="001000000000" w:firstRow="0" w:lastRow="0" w:firstColumn="1" w:lastColumn="0" w:oddVBand="0" w:evenVBand="0" w:oddHBand="0" w:evenHBand="0" w:firstRowFirstColumn="0" w:firstRowLastColumn="0" w:lastRowFirstColumn="0" w:lastRowLastColumn="0"/>
            <w:tcW w:w="2615" w:type="dxa"/>
            <w:shd w:val="clear" w:color="auto" w:fill="FF0000"/>
          </w:tcPr>
          <w:p w:rsidR="00EE0C8C" w:rsidRPr="00EE0C8C" w:rsidRDefault="00EE0C8C" w:rsidP="00EE0C8C">
            <w:pPr>
              <w:jc w:val="both"/>
              <w:rPr>
                <w:rFonts w:ascii="Calibri" w:eastAsia="Times New Roman" w:hAnsi="Calibri" w:cs="Arial"/>
                <w:lang w:eastAsia="pl-PL"/>
              </w:rPr>
            </w:pPr>
            <w:r w:rsidRPr="00EE0C8C">
              <w:rPr>
                <w:rFonts w:ascii="Calibri" w:eastAsia="Times New Roman" w:hAnsi="Calibri" w:cs="Arial"/>
              </w:rPr>
              <w:t>Mirzec II</w:t>
            </w:r>
          </w:p>
        </w:tc>
        <w:tc>
          <w:tcPr>
            <w:tcW w:w="1462" w:type="dxa"/>
            <w:shd w:val="clear" w:color="auto" w:fill="FF0000"/>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lang w:eastAsia="pl-PL"/>
              </w:rPr>
            </w:pPr>
            <w:r w:rsidRPr="00EE0C8C">
              <w:rPr>
                <w:rFonts w:ascii="Calibri" w:eastAsia="Times New Roman" w:hAnsi="Calibri" w:cs="Arial"/>
              </w:rPr>
              <w:t>201</w:t>
            </w:r>
          </w:p>
        </w:tc>
        <w:tc>
          <w:tcPr>
            <w:tcW w:w="2410" w:type="dxa"/>
            <w:shd w:val="clear" w:color="auto" w:fill="FF0000"/>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lang w:eastAsia="pl-PL"/>
              </w:rPr>
            </w:pPr>
            <w:r w:rsidRPr="00EE0C8C">
              <w:rPr>
                <w:rFonts w:ascii="Calibri" w:eastAsia="Times New Roman" w:hAnsi="Calibri" w:cs="Arial"/>
              </w:rPr>
              <w:t>180</w:t>
            </w:r>
          </w:p>
        </w:tc>
        <w:tc>
          <w:tcPr>
            <w:tcW w:w="2693" w:type="dxa"/>
            <w:shd w:val="clear" w:color="auto" w:fill="FF0000"/>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lang w:eastAsia="pl-PL"/>
              </w:rPr>
            </w:pPr>
            <w:r w:rsidRPr="00EE0C8C">
              <w:rPr>
                <w:rFonts w:ascii="Calibri" w:eastAsia="Times New Roman" w:hAnsi="Calibri" w:cs="Arial"/>
              </w:rPr>
              <w:t>89,55 %</w:t>
            </w:r>
          </w:p>
        </w:tc>
      </w:tr>
      <w:tr w:rsidR="00EE0C8C" w:rsidRPr="00EE0C8C" w:rsidTr="00A76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5" w:type="dxa"/>
          </w:tcPr>
          <w:p w:rsidR="00EE0C8C" w:rsidRPr="00EE0C8C" w:rsidRDefault="00EE0C8C" w:rsidP="00EE0C8C">
            <w:pPr>
              <w:jc w:val="both"/>
              <w:rPr>
                <w:rFonts w:ascii="Calibri" w:eastAsia="Times New Roman" w:hAnsi="Calibri" w:cs="Arial"/>
                <w:lang w:eastAsia="pl-PL"/>
              </w:rPr>
            </w:pPr>
            <w:r w:rsidRPr="00EE0C8C">
              <w:rPr>
                <w:rFonts w:ascii="Calibri" w:eastAsia="Times New Roman" w:hAnsi="Calibri" w:cs="Arial"/>
              </w:rPr>
              <w:t>Tychów Nowy</w:t>
            </w:r>
          </w:p>
        </w:tc>
        <w:tc>
          <w:tcPr>
            <w:tcW w:w="1462"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lang w:eastAsia="pl-PL"/>
              </w:rPr>
            </w:pPr>
            <w:r w:rsidRPr="00EE0C8C">
              <w:rPr>
                <w:rFonts w:ascii="Calibri" w:eastAsia="Times New Roman" w:hAnsi="Calibri" w:cs="Arial"/>
              </w:rPr>
              <w:t>176</w:t>
            </w:r>
          </w:p>
        </w:tc>
        <w:tc>
          <w:tcPr>
            <w:tcW w:w="2410"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lang w:eastAsia="pl-PL"/>
              </w:rPr>
            </w:pPr>
            <w:r w:rsidRPr="00EE0C8C">
              <w:rPr>
                <w:rFonts w:ascii="Calibri" w:eastAsia="Times New Roman" w:hAnsi="Calibri" w:cs="Arial"/>
              </w:rPr>
              <w:t>165</w:t>
            </w:r>
          </w:p>
        </w:tc>
        <w:tc>
          <w:tcPr>
            <w:tcW w:w="2693"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lang w:eastAsia="pl-PL"/>
              </w:rPr>
            </w:pPr>
            <w:r w:rsidRPr="00EE0C8C">
              <w:rPr>
                <w:rFonts w:ascii="Calibri" w:eastAsia="Times New Roman" w:hAnsi="Calibri" w:cs="Arial"/>
              </w:rPr>
              <w:t>93,75 %</w:t>
            </w:r>
          </w:p>
        </w:tc>
      </w:tr>
      <w:tr w:rsidR="00EE0C8C" w:rsidRPr="00EE0C8C" w:rsidTr="00A76BDB">
        <w:tc>
          <w:tcPr>
            <w:cnfStyle w:val="001000000000" w:firstRow="0" w:lastRow="0" w:firstColumn="1" w:lastColumn="0" w:oddVBand="0" w:evenVBand="0" w:oddHBand="0" w:evenHBand="0" w:firstRowFirstColumn="0" w:firstRowLastColumn="0" w:lastRowFirstColumn="0" w:lastRowLastColumn="0"/>
            <w:tcW w:w="2615" w:type="dxa"/>
          </w:tcPr>
          <w:p w:rsidR="00EE0C8C" w:rsidRPr="00EE0C8C" w:rsidRDefault="00EE0C8C" w:rsidP="00EE0C8C">
            <w:pPr>
              <w:jc w:val="both"/>
              <w:rPr>
                <w:rFonts w:ascii="Calibri" w:eastAsia="Times New Roman" w:hAnsi="Calibri" w:cs="Arial"/>
                <w:lang w:eastAsia="pl-PL"/>
              </w:rPr>
            </w:pPr>
            <w:r w:rsidRPr="00EE0C8C">
              <w:rPr>
                <w:rFonts w:ascii="Calibri" w:eastAsia="Times New Roman" w:hAnsi="Calibri" w:cs="Arial"/>
              </w:rPr>
              <w:t>Tychów Stary</w:t>
            </w:r>
          </w:p>
        </w:tc>
        <w:tc>
          <w:tcPr>
            <w:tcW w:w="1462" w:type="dxa"/>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lang w:eastAsia="pl-PL"/>
              </w:rPr>
            </w:pPr>
            <w:r w:rsidRPr="00EE0C8C">
              <w:rPr>
                <w:rFonts w:ascii="Calibri" w:eastAsia="Times New Roman" w:hAnsi="Calibri" w:cs="Arial"/>
              </w:rPr>
              <w:t>188</w:t>
            </w:r>
          </w:p>
        </w:tc>
        <w:tc>
          <w:tcPr>
            <w:tcW w:w="2410" w:type="dxa"/>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lang w:eastAsia="pl-PL"/>
              </w:rPr>
            </w:pPr>
            <w:r w:rsidRPr="00EE0C8C">
              <w:rPr>
                <w:rFonts w:ascii="Calibri" w:eastAsia="Times New Roman" w:hAnsi="Calibri" w:cs="Arial"/>
              </w:rPr>
              <w:t>66</w:t>
            </w:r>
          </w:p>
        </w:tc>
        <w:tc>
          <w:tcPr>
            <w:tcW w:w="2693" w:type="dxa"/>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lang w:eastAsia="pl-PL"/>
              </w:rPr>
            </w:pPr>
            <w:r w:rsidRPr="00EE0C8C">
              <w:rPr>
                <w:rFonts w:ascii="Calibri" w:eastAsia="Times New Roman" w:hAnsi="Calibri" w:cs="Arial"/>
              </w:rPr>
              <w:t>88,83 %</w:t>
            </w:r>
          </w:p>
        </w:tc>
      </w:tr>
      <w:tr w:rsidR="00EE0C8C" w:rsidRPr="00EE0C8C" w:rsidTr="00A76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5" w:type="dxa"/>
          </w:tcPr>
          <w:p w:rsidR="00EE0C8C" w:rsidRPr="00EE0C8C" w:rsidRDefault="00EE0C8C" w:rsidP="00EE0C8C">
            <w:pPr>
              <w:jc w:val="both"/>
              <w:rPr>
                <w:rFonts w:ascii="Calibri" w:eastAsia="Times New Roman" w:hAnsi="Calibri" w:cs="Arial"/>
                <w:lang w:eastAsia="pl-PL"/>
              </w:rPr>
            </w:pPr>
            <w:r w:rsidRPr="00EE0C8C">
              <w:rPr>
                <w:rFonts w:ascii="Calibri" w:eastAsia="Times New Roman" w:hAnsi="Calibri" w:cs="Arial"/>
              </w:rPr>
              <w:t>Ostrożanka</w:t>
            </w:r>
          </w:p>
        </w:tc>
        <w:tc>
          <w:tcPr>
            <w:tcW w:w="1462"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lang w:eastAsia="pl-PL"/>
              </w:rPr>
            </w:pPr>
            <w:r w:rsidRPr="00EE0C8C">
              <w:rPr>
                <w:rFonts w:ascii="Calibri" w:eastAsia="Times New Roman" w:hAnsi="Calibri" w:cs="Arial"/>
              </w:rPr>
              <w:t>89</w:t>
            </w:r>
          </w:p>
        </w:tc>
        <w:tc>
          <w:tcPr>
            <w:tcW w:w="2410"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lang w:eastAsia="pl-PL"/>
              </w:rPr>
            </w:pPr>
            <w:r w:rsidRPr="00EE0C8C">
              <w:rPr>
                <w:rFonts w:ascii="Calibri" w:eastAsia="Times New Roman" w:hAnsi="Calibri" w:cs="Arial"/>
              </w:rPr>
              <w:t>82</w:t>
            </w:r>
          </w:p>
        </w:tc>
        <w:tc>
          <w:tcPr>
            <w:tcW w:w="2693"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lang w:eastAsia="pl-PL"/>
              </w:rPr>
            </w:pPr>
            <w:r w:rsidRPr="00EE0C8C">
              <w:rPr>
                <w:rFonts w:ascii="Calibri" w:eastAsia="Times New Roman" w:hAnsi="Calibri" w:cs="Arial"/>
              </w:rPr>
              <w:t>92,13, %</w:t>
            </w:r>
          </w:p>
        </w:tc>
      </w:tr>
      <w:tr w:rsidR="00EE0C8C" w:rsidRPr="00EE0C8C" w:rsidTr="00A76BDB">
        <w:tc>
          <w:tcPr>
            <w:cnfStyle w:val="001000000000" w:firstRow="0" w:lastRow="0" w:firstColumn="1" w:lastColumn="0" w:oddVBand="0" w:evenVBand="0" w:oddHBand="0" w:evenHBand="0" w:firstRowFirstColumn="0" w:firstRowLastColumn="0" w:lastRowFirstColumn="0" w:lastRowLastColumn="0"/>
            <w:tcW w:w="2615" w:type="dxa"/>
          </w:tcPr>
          <w:p w:rsidR="00EE0C8C" w:rsidRPr="00EE0C8C" w:rsidRDefault="00EE0C8C" w:rsidP="00EE0C8C">
            <w:pPr>
              <w:jc w:val="both"/>
              <w:rPr>
                <w:rFonts w:ascii="Calibri" w:eastAsia="Times New Roman" w:hAnsi="Calibri" w:cs="Arial"/>
                <w:lang w:eastAsia="pl-PL"/>
              </w:rPr>
            </w:pPr>
            <w:r w:rsidRPr="00EE0C8C">
              <w:rPr>
                <w:rFonts w:ascii="Calibri" w:eastAsia="Times New Roman" w:hAnsi="Calibri" w:cs="Arial"/>
              </w:rPr>
              <w:t>Małyszyn</w:t>
            </w:r>
          </w:p>
        </w:tc>
        <w:tc>
          <w:tcPr>
            <w:tcW w:w="1462" w:type="dxa"/>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lang w:eastAsia="pl-PL"/>
              </w:rPr>
            </w:pPr>
            <w:r w:rsidRPr="00EE0C8C">
              <w:rPr>
                <w:rFonts w:ascii="Calibri" w:eastAsia="Times New Roman" w:hAnsi="Calibri" w:cs="Arial"/>
              </w:rPr>
              <w:t>211</w:t>
            </w:r>
          </w:p>
        </w:tc>
        <w:tc>
          <w:tcPr>
            <w:tcW w:w="2410" w:type="dxa"/>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lang w:eastAsia="pl-PL"/>
              </w:rPr>
            </w:pPr>
            <w:r w:rsidRPr="00EE0C8C">
              <w:rPr>
                <w:rFonts w:ascii="Calibri" w:eastAsia="Times New Roman" w:hAnsi="Calibri" w:cs="Arial"/>
              </w:rPr>
              <w:t>185</w:t>
            </w:r>
          </w:p>
        </w:tc>
        <w:tc>
          <w:tcPr>
            <w:tcW w:w="2693" w:type="dxa"/>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lang w:eastAsia="pl-PL"/>
              </w:rPr>
            </w:pPr>
            <w:r w:rsidRPr="00EE0C8C">
              <w:rPr>
                <w:rFonts w:ascii="Calibri" w:eastAsia="Times New Roman" w:hAnsi="Calibri" w:cs="Arial"/>
              </w:rPr>
              <w:t>87,68 %</w:t>
            </w:r>
          </w:p>
        </w:tc>
      </w:tr>
      <w:tr w:rsidR="00EE0C8C" w:rsidRPr="00EE0C8C" w:rsidTr="00A76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5" w:type="dxa"/>
          </w:tcPr>
          <w:p w:rsidR="00EE0C8C" w:rsidRPr="00EE0C8C" w:rsidRDefault="00EE0C8C" w:rsidP="00EE0C8C">
            <w:pPr>
              <w:jc w:val="both"/>
              <w:rPr>
                <w:rFonts w:ascii="Calibri" w:eastAsia="Times New Roman" w:hAnsi="Calibri" w:cs="Arial"/>
                <w:lang w:eastAsia="pl-PL"/>
              </w:rPr>
            </w:pPr>
            <w:r w:rsidRPr="00EE0C8C">
              <w:rPr>
                <w:rFonts w:ascii="Calibri" w:eastAsia="Times New Roman" w:hAnsi="Calibri" w:cs="Arial"/>
              </w:rPr>
              <w:t xml:space="preserve">Trębowiec </w:t>
            </w:r>
          </w:p>
        </w:tc>
        <w:tc>
          <w:tcPr>
            <w:tcW w:w="1462"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lang w:eastAsia="pl-PL"/>
              </w:rPr>
            </w:pPr>
            <w:r w:rsidRPr="00EE0C8C">
              <w:rPr>
                <w:rFonts w:ascii="Calibri" w:eastAsia="Times New Roman" w:hAnsi="Calibri" w:cs="Arial"/>
              </w:rPr>
              <w:t>126</w:t>
            </w:r>
          </w:p>
        </w:tc>
        <w:tc>
          <w:tcPr>
            <w:tcW w:w="2410"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lang w:eastAsia="pl-PL"/>
              </w:rPr>
            </w:pPr>
            <w:r w:rsidRPr="00EE0C8C">
              <w:rPr>
                <w:rFonts w:ascii="Calibri" w:eastAsia="Times New Roman" w:hAnsi="Calibri" w:cs="Arial"/>
              </w:rPr>
              <w:t>120</w:t>
            </w:r>
          </w:p>
        </w:tc>
        <w:tc>
          <w:tcPr>
            <w:tcW w:w="2693"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lang w:eastAsia="pl-PL"/>
              </w:rPr>
            </w:pPr>
            <w:r w:rsidRPr="00EE0C8C">
              <w:rPr>
                <w:rFonts w:ascii="Calibri" w:eastAsia="Times New Roman" w:hAnsi="Calibri" w:cs="Arial"/>
              </w:rPr>
              <w:t>95,24 %</w:t>
            </w:r>
          </w:p>
        </w:tc>
      </w:tr>
      <w:tr w:rsidR="00EE0C8C" w:rsidRPr="00EE0C8C" w:rsidTr="00A76BDB">
        <w:tc>
          <w:tcPr>
            <w:cnfStyle w:val="001000000000" w:firstRow="0" w:lastRow="0" w:firstColumn="1" w:lastColumn="0" w:oddVBand="0" w:evenVBand="0" w:oddHBand="0" w:evenHBand="0" w:firstRowFirstColumn="0" w:firstRowLastColumn="0" w:lastRowFirstColumn="0" w:lastRowLastColumn="0"/>
            <w:tcW w:w="2615" w:type="dxa"/>
          </w:tcPr>
          <w:p w:rsidR="00EE0C8C" w:rsidRPr="00EE0C8C" w:rsidRDefault="00EE0C8C" w:rsidP="00EE0C8C">
            <w:pPr>
              <w:jc w:val="both"/>
              <w:rPr>
                <w:rFonts w:ascii="Calibri" w:eastAsia="Times New Roman" w:hAnsi="Calibri" w:cs="Arial"/>
                <w:lang w:eastAsia="pl-PL"/>
              </w:rPr>
            </w:pPr>
            <w:r w:rsidRPr="00EE0C8C">
              <w:rPr>
                <w:rFonts w:ascii="Calibri" w:eastAsia="Times New Roman" w:hAnsi="Calibri" w:cs="Arial"/>
              </w:rPr>
              <w:t>Osiny</w:t>
            </w:r>
          </w:p>
        </w:tc>
        <w:tc>
          <w:tcPr>
            <w:tcW w:w="1462" w:type="dxa"/>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lang w:eastAsia="pl-PL"/>
              </w:rPr>
            </w:pPr>
            <w:r w:rsidRPr="00EE0C8C">
              <w:rPr>
                <w:rFonts w:ascii="Calibri" w:eastAsia="Times New Roman" w:hAnsi="Calibri" w:cs="Arial"/>
              </w:rPr>
              <w:t>195</w:t>
            </w:r>
          </w:p>
        </w:tc>
        <w:tc>
          <w:tcPr>
            <w:tcW w:w="2410" w:type="dxa"/>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lang w:eastAsia="pl-PL"/>
              </w:rPr>
            </w:pPr>
            <w:r w:rsidRPr="00EE0C8C">
              <w:rPr>
                <w:rFonts w:ascii="Calibri" w:eastAsia="Times New Roman" w:hAnsi="Calibri" w:cs="Arial"/>
              </w:rPr>
              <w:t>187</w:t>
            </w:r>
          </w:p>
        </w:tc>
        <w:tc>
          <w:tcPr>
            <w:tcW w:w="2693" w:type="dxa"/>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lang w:eastAsia="pl-PL"/>
              </w:rPr>
            </w:pPr>
            <w:r w:rsidRPr="00EE0C8C">
              <w:rPr>
                <w:rFonts w:ascii="Calibri" w:eastAsia="Times New Roman" w:hAnsi="Calibri" w:cs="Arial"/>
              </w:rPr>
              <w:t>95,89 %</w:t>
            </w:r>
          </w:p>
        </w:tc>
      </w:tr>
      <w:tr w:rsidR="00EE0C8C" w:rsidRPr="00EE0C8C" w:rsidTr="00A76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5" w:type="dxa"/>
          </w:tcPr>
          <w:p w:rsidR="00EE0C8C" w:rsidRPr="00EE0C8C" w:rsidRDefault="00EE0C8C" w:rsidP="00EE0C8C">
            <w:pPr>
              <w:jc w:val="both"/>
              <w:rPr>
                <w:rFonts w:ascii="Calibri" w:eastAsia="Times New Roman" w:hAnsi="Calibri" w:cs="Arial"/>
                <w:lang w:eastAsia="pl-PL"/>
              </w:rPr>
            </w:pPr>
            <w:r w:rsidRPr="00EE0C8C">
              <w:rPr>
                <w:rFonts w:ascii="Calibri" w:eastAsia="Times New Roman" w:hAnsi="Calibri" w:cs="Arial"/>
              </w:rPr>
              <w:t>Jagodne</w:t>
            </w:r>
          </w:p>
        </w:tc>
        <w:tc>
          <w:tcPr>
            <w:tcW w:w="1462"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lang w:eastAsia="pl-PL"/>
              </w:rPr>
            </w:pPr>
            <w:r w:rsidRPr="00EE0C8C">
              <w:rPr>
                <w:rFonts w:ascii="Calibri" w:eastAsia="Times New Roman" w:hAnsi="Calibri" w:cs="Arial"/>
              </w:rPr>
              <w:t>154</w:t>
            </w:r>
          </w:p>
        </w:tc>
        <w:tc>
          <w:tcPr>
            <w:tcW w:w="2410"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lang w:eastAsia="pl-PL"/>
              </w:rPr>
            </w:pPr>
            <w:r w:rsidRPr="00EE0C8C">
              <w:rPr>
                <w:rFonts w:ascii="Calibri" w:eastAsia="Times New Roman" w:hAnsi="Calibri" w:cs="Arial"/>
              </w:rPr>
              <w:t>135</w:t>
            </w:r>
          </w:p>
        </w:tc>
        <w:tc>
          <w:tcPr>
            <w:tcW w:w="2693"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lang w:eastAsia="pl-PL"/>
              </w:rPr>
            </w:pPr>
            <w:r w:rsidRPr="00EE0C8C">
              <w:rPr>
                <w:rFonts w:ascii="Calibri" w:eastAsia="Times New Roman" w:hAnsi="Calibri" w:cs="Arial"/>
              </w:rPr>
              <w:t>87,66 %</w:t>
            </w:r>
          </w:p>
        </w:tc>
      </w:tr>
      <w:tr w:rsidR="00EE0C8C" w:rsidRPr="00EE0C8C" w:rsidTr="00A76BDB">
        <w:tc>
          <w:tcPr>
            <w:cnfStyle w:val="001000000000" w:firstRow="0" w:lastRow="0" w:firstColumn="1" w:lastColumn="0" w:oddVBand="0" w:evenVBand="0" w:oddHBand="0" w:evenHBand="0" w:firstRowFirstColumn="0" w:firstRowLastColumn="0" w:lastRowFirstColumn="0" w:lastRowLastColumn="0"/>
            <w:tcW w:w="2615" w:type="dxa"/>
          </w:tcPr>
          <w:p w:rsidR="00EE0C8C" w:rsidRPr="00EE0C8C" w:rsidRDefault="00EE0C8C" w:rsidP="00EE0C8C">
            <w:pPr>
              <w:jc w:val="both"/>
              <w:rPr>
                <w:rFonts w:ascii="Calibri" w:eastAsia="Times New Roman" w:hAnsi="Calibri" w:cs="Arial"/>
                <w:lang w:eastAsia="pl-PL"/>
              </w:rPr>
            </w:pPr>
            <w:r w:rsidRPr="00EE0C8C">
              <w:rPr>
                <w:rFonts w:ascii="Calibri" w:eastAsia="Times New Roman" w:hAnsi="Calibri" w:cs="Arial"/>
              </w:rPr>
              <w:t>Gadka</w:t>
            </w:r>
          </w:p>
        </w:tc>
        <w:tc>
          <w:tcPr>
            <w:tcW w:w="1462" w:type="dxa"/>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lang w:eastAsia="pl-PL"/>
              </w:rPr>
            </w:pPr>
            <w:r w:rsidRPr="00EE0C8C">
              <w:rPr>
                <w:rFonts w:ascii="Calibri" w:eastAsia="Times New Roman" w:hAnsi="Calibri" w:cs="Arial"/>
              </w:rPr>
              <w:t>292</w:t>
            </w:r>
          </w:p>
        </w:tc>
        <w:tc>
          <w:tcPr>
            <w:tcW w:w="2410" w:type="dxa"/>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lang w:eastAsia="pl-PL"/>
              </w:rPr>
            </w:pPr>
            <w:r w:rsidRPr="00EE0C8C">
              <w:rPr>
                <w:rFonts w:ascii="Calibri" w:eastAsia="Times New Roman" w:hAnsi="Calibri" w:cs="Arial"/>
              </w:rPr>
              <w:t>262</w:t>
            </w:r>
          </w:p>
        </w:tc>
        <w:tc>
          <w:tcPr>
            <w:tcW w:w="2693" w:type="dxa"/>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lang w:eastAsia="pl-PL"/>
              </w:rPr>
            </w:pPr>
            <w:r w:rsidRPr="00EE0C8C">
              <w:rPr>
                <w:rFonts w:ascii="Calibri" w:eastAsia="Times New Roman" w:hAnsi="Calibri" w:cs="Arial"/>
              </w:rPr>
              <w:t>89,73 %</w:t>
            </w:r>
          </w:p>
        </w:tc>
      </w:tr>
      <w:tr w:rsidR="00EE0C8C" w:rsidRPr="00EE0C8C" w:rsidTr="00A76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5" w:type="dxa"/>
          </w:tcPr>
          <w:p w:rsidR="00EE0C8C" w:rsidRPr="00EE0C8C" w:rsidRDefault="00EE0C8C" w:rsidP="00EE0C8C">
            <w:pPr>
              <w:jc w:val="both"/>
              <w:rPr>
                <w:rFonts w:ascii="Calibri" w:eastAsia="Times New Roman" w:hAnsi="Calibri" w:cs="Arial"/>
                <w:lang w:eastAsia="pl-PL"/>
              </w:rPr>
            </w:pPr>
            <w:r w:rsidRPr="00EE0C8C">
              <w:rPr>
                <w:rFonts w:ascii="Calibri" w:eastAsia="Times New Roman" w:hAnsi="Calibri" w:cs="Arial"/>
              </w:rPr>
              <w:t>RAZEM</w:t>
            </w:r>
          </w:p>
        </w:tc>
        <w:tc>
          <w:tcPr>
            <w:tcW w:w="1462"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lang w:eastAsia="pl-PL"/>
              </w:rPr>
            </w:pPr>
            <w:r w:rsidRPr="00EE0C8C">
              <w:rPr>
                <w:rFonts w:ascii="Calibri" w:eastAsia="Times New Roman" w:hAnsi="Calibri" w:cs="Arial"/>
              </w:rPr>
              <w:t>1924</w:t>
            </w:r>
          </w:p>
        </w:tc>
        <w:tc>
          <w:tcPr>
            <w:tcW w:w="2410"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lang w:eastAsia="pl-PL"/>
              </w:rPr>
            </w:pPr>
            <w:r w:rsidRPr="00EE0C8C">
              <w:rPr>
                <w:rFonts w:ascii="Calibri" w:eastAsia="Times New Roman" w:hAnsi="Calibri" w:cs="Arial"/>
              </w:rPr>
              <w:t>1749</w:t>
            </w:r>
          </w:p>
        </w:tc>
        <w:tc>
          <w:tcPr>
            <w:tcW w:w="2693"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lang w:eastAsia="pl-PL"/>
              </w:rPr>
            </w:pPr>
          </w:p>
        </w:tc>
      </w:tr>
    </w:tbl>
    <w:p w:rsidR="00EE0C8C" w:rsidRPr="00EE0C8C" w:rsidRDefault="00EE0C8C" w:rsidP="00EE0C8C">
      <w:pPr>
        <w:spacing w:after="0"/>
        <w:jc w:val="center"/>
        <w:rPr>
          <w:rFonts w:ascii="Calibri" w:eastAsia="Times New Roman" w:hAnsi="Calibri" w:cs="Arial"/>
          <w:i/>
          <w:lang w:eastAsia="pl-PL"/>
        </w:rPr>
      </w:pPr>
      <w:r w:rsidRPr="00EE0C8C">
        <w:rPr>
          <w:rFonts w:ascii="Calibri" w:eastAsia="Times New Roman" w:hAnsi="Calibri" w:cs="Arial"/>
          <w:i/>
          <w:lang w:eastAsia="pl-PL"/>
        </w:rPr>
        <w:t>(Źródło: Opracowanie własne na podstawie danych z Urzędu Gminy w Mircu)</w:t>
      </w:r>
    </w:p>
    <w:p w:rsidR="00E421E1" w:rsidRDefault="00E421E1" w:rsidP="00EE0C8C">
      <w:pPr>
        <w:rPr>
          <w:rFonts w:ascii="Calibri" w:eastAsia="Times New Roman" w:hAnsi="Calibri" w:cs="Times New Roman"/>
          <w:lang w:eastAsia="pl-PL"/>
        </w:rPr>
      </w:pPr>
    </w:p>
    <w:p w:rsidR="00E421E1" w:rsidRPr="00853156" w:rsidRDefault="00853156" w:rsidP="00EE0C8C">
      <w:pPr>
        <w:rPr>
          <w:rFonts w:ascii="Calibri" w:eastAsia="Times New Roman" w:hAnsi="Calibri" w:cs="Times New Roman"/>
          <w:b/>
          <w:i/>
          <w:color w:val="548DD4" w:themeColor="text2" w:themeTint="99"/>
          <w:lang w:eastAsia="pl-PL"/>
        </w:rPr>
      </w:pPr>
      <w:r w:rsidRPr="00853156">
        <w:rPr>
          <w:rFonts w:ascii="Calibri" w:eastAsia="Times New Roman" w:hAnsi="Calibri" w:cs="Times New Roman"/>
          <w:b/>
          <w:i/>
          <w:color w:val="548DD4" w:themeColor="text2" w:themeTint="99"/>
          <w:lang w:eastAsia="pl-PL"/>
        </w:rPr>
        <w:t>AZBEST</w:t>
      </w:r>
    </w:p>
    <w:p w:rsidR="00EE0C8C" w:rsidRDefault="00E421E1" w:rsidP="00514A8C">
      <w:pPr>
        <w:jc w:val="both"/>
        <w:rPr>
          <w:rFonts w:ascii="Calibri" w:eastAsia="Times New Roman" w:hAnsi="Calibri" w:cs="Times New Roman"/>
          <w:lang w:eastAsia="pl-PL"/>
        </w:rPr>
      </w:pPr>
      <w:r>
        <w:rPr>
          <w:rFonts w:ascii="Calibri" w:eastAsia="Times New Roman" w:hAnsi="Calibri" w:cs="Times New Roman"/>
          <w:lang w:eastAsia="pl-PL"/>
        </w:rPr>
        <w:t xml:space="preserve">W gminie Mirzec realizowany jest także </w:t>
      </w:r>
      <w:r w:rsidR="00514A8C">
        <w:rPr>
          <w:rFonts w:ascii="Calibri" w:eastAsia="Times New Roman" w:hAnsi="Calibri" w:cs="Times New Roman"/>
          <w:lang w:eastAsia="pl-PL"/>
        </w:rPr>
        <w:t>,,Program usuwania wyrobów zawierających azbest dla Gminy Mirzec na lata 2013-2032” – oczyszczenie z azbestu oraz usunięcie stosowanych od wielu lat wyrobów zawierających azbest, ograniczenie negatywnego wypływu azbestu na zdrowie i życie ludzi, a także oddziaływaniu na środowisko. Realizacja zadania polega na wyborze  w trybie zamówień publicznych firmy zajmującej się demontażem, usunięciem, transportem i unieszkodliwieniem wyrobów w postaci pokryć dachowych zawierających azbest. W 2013 roku w wyniku przeprowadzonej aktualizacji inwentaryzacji azbestu na budynkach mieszkalnych i gospodarczych zidentyfikowano 466 111 m</w:t>
      </w:r>
      <w:r w:rsidR="00514A8C">
        <w:rPr>
          <w:rFonts w:ascii="Calibri" w:eastAsia="Times New Roman" w:hAnsi="Calibri" w:cs="Times New Roman"/>
          <w:vertAlign w:val="superscript"/>
          <w:lang w:eastAsia="pl-PL"/>
        </w:rPr>
        <w:t>2</w:t>
      </w:r>
      <w:r w:rsidR="00514A8C">
        <w:rPr>
          <w:rFonts w:ascii="Calibri" w:eastAsia="Times New Roman" w:hAnsi="Calibri" w:cs="Times New Roman"/>
          <w:lang w:eastAsia="pl-PL"/>
        </w:rPr>
        <w:t xml:space="preserve"> wyrobów zawierających azbest, co daje około 5127,221 Mg. W latach 2009-2014 z terenu Gminy Mirzec zostało usuniętych 567,722 Mg odpadów zawierających azbest. Celem planowanym do osiągnięcia jest doprowadzenie do stopniowej eliminacji wyrobów zawierających azbest z otoczenia człowieka oraz ich bezpieczne i prawidłowe unieszkodliwienie.</w:t>
      </w:r>
    </w:p>
    <w:p w:rsidR="00514A8C" w:rsidRPr="00853156" w:rsidRDefault="00514A8C" w:rsidP="00514A8C">
      <w:pPr>
        <w:jc w:val="both"/>
        <w:rPr>
          <w:rFonts w:ascii="Calibri" w:eastAsia="Times New Roman" w:hAnsi="Calibri" w:cs="Times New Roman"/>
          <w:b/>
          <w:i/>
          <w:color w:val="548DD4" w:themeColor="text2" w:themeTint="99"/>
          <w:lang w:eastAsia="pl-PL"/>
        </w:rPr>
      </w:pPr>
      <w:r w:rsidRPr="00853156">
        <w:rPr>
          <w:rFonts w:ascii="Calibri" w:eastAsia="Times New Roman" w:hAnsi="Calibri" w:cs="Times New Roman"/>
          <w:b/>
          <w:i/>
          <w:color w:val="548DD4" w:themeColor="text2" w:themeTint="99"/>
          <w:lang w:eastAsia="pl-PL"/>
        </w:rPr>
        <w:t>PSZOKU</w:t>
      </w:r>
    </w:p>
    <w:p w:rsidR="00514A8C" w:rsidRPr="00514A8C" w:rsidRDefault="00514A8C" w:rsidP="00514A8C">
      <w:pPr>
        <w:jc w:val="both"/>
        <w:rPr>
          <w:rFonts w:ascii="Calibri" w:eastAsia="Times New Roman" w:hAnsi="Calibri" w:cs="Times New Roman"/>
          <w:lang w:eastAsia="pl-PL"/>
        </w:rPr>
      </w:pPr>
      <w:r>
        <w:rPr>
          <w:rFonts w:ascii="Calibri" w:eastAsia="Times New Roman" w:hAnsi="Calibri" w:cs="Times New Roman"/>
          <w:lang w:eastAsia="pl-PL"/>
        </w:rPr>
        <w:t xml:space="preserve">Zgodnie z obowiązkiem wynikającym z ustawy z dnia 13 września 1996 roku o utrzymaniu czystości </w:t>
      </w:r>
      <w:r w:rsidR="00F02F4D">
        <w:rPr>
          <w:rFonts w:ascii="Calibri" w:eastAsia="Times New Roman" w:hAnsi="Calibri" w:cs="Times New Roman"/>
          <w:lang w:eastAsia="pl-PL"/>
        </w:rPr>
        <w:br/>
      </w:r>
      <w:r>
        <w:rPr>
          <w:rFonts w:ascii="Calibri" w:eastAsia="Times New Roman" w:hAnsi="Calibri" w:cs="Times New Roman"/>
          <w:lang w:eastAsia="pl-PL"/>
        </w:rPr>
        <w:t xml:space="preserve">w gminach (tekst jed. Dz.U. 2016r., poz. 250) art. 3 ust. 2b gmina Mirzec jest zobowiązana utworzyć co najmniej jeden stacjonarny punkt selektywnego zbierania odpadów komunalnych. Na dzień 31.12.2015 r. w gminie Mirzec nie wybudowano jeszcze punktu selektywnej zbiórki odpadów (PSZOK). Do czasu wybudowania PSZOK-U gmina Mirzec zapewniła mieszkańcom oddania </w:t>
      </w:r>
      <w:r w:rsidR="00F02F4D">
        <w:rPr>
          <w:rFonts w:ascii="Calibri" w:eastAsia="Times New Roman" w:hAnsi="Calibri" w:cs="Times New Roman"/>
          <w:lang w:eastAsia="pl-PL"/>
        </w:rPr>
        <w:t xml:space="preserve">odpadów </w:t>
      </w:r>
      <w:r w:rsidR="00F02F4D">
        <w:rPr>
          <w:rFonts w:ascii="Calibri" w:eastAsia="Times New Roman" w:hAnsi="Calibri" w:cs="Times New Roman"/>
          <w:lang w:eastAsia="pl-PL"/>
        </w:rPr>
        <w:lastRenderedPageBreak/>
        <w:t xml:space="preserve">wielkogabarytowych, zużytych urządzeń elektrycznych i elektronicznych, opon, odpadów niebezpiecznych poprzez obwoźną zbiórkę. Na odpady remontowo-budowlane raz w roku na każdym sołectwie ustawiony jest kontener do którego mieszkańcy dowożą odpady. Do priorytetowych zadań gminy w najbliższych latach będzie należało wybudowanie  odpowiednie zorganizowanie punktu selektywnej zbiórki odpadów na terenie gminy Mirzec.  </w:t>
      </w:r>
    </w:p>
    <w:p w:rsidR="00EE0C8C" w:rsidRPr="00EE0C8C" w:rsidRDefault="00EE0C8C" w:rsidP="00EE0C8C">
      <w:pPr>
        <w:keepNext/>
        <w:keepLines/>
        <w:spacing w:before="200" w:after="0"/>
        <w:outlineLvl w:val="3"/>
        <w:rPr>
          <w:rFonts w:ascii="Cambria" w:eastAsia="Times New Roman" w:hAnsi="Cambria" w:cs="Times New Roman"/>
          <w:b/>
          <w:bCs/>
          <w:i/>
          <w:iCs/>
          <w:color w:val="4F81BD"/>
        </w:rPr>
      </w:pPr>
      <w:r w:rsidRPr="00EE0C8C">
        <w:rPr>
          <w:rFonts w:ascii="Cambria" w:eastAsia="Times New Roman" w:hAnsi="Cambria" w:cs="Times New Roman"/>
          <w:b/>
          <w:bCs/>
          <w:i/>
          <w:iCs/>
          <w:color w:val="4F81BD"/>
        </w:rPr>
        <w:t>STAN ZAOPATRZENIA GMINY W GAZ</w:t>
      </w:r>
    </w:p>
    <w:p w:rsidR="00EE0C8C" w:rsidRPr="00EE0C8C" w:rsidRDefault="00EE0C8C" w:rsidP="00EE0C8C">
      <w:pPr>
        <w:jc w:val="both"/>
        <w:rPr>
          <w:rFonts w:ascii="Calibri" w:eastAsia="Times New Roman" w:hAnsi="Calibri" w:cs="Times New Roman"/>
          <w:lang w:eastAsia="pl-PL"/>
        </w:rPr>
      </w:pPr>
      <w:r w:rsidRPr="00EE0C8C">
        <w:rPr>
          <w:rFonts w:ascii="Calibri" w:eastAsia="Times New Roman" w:hAnsi="Calibri" w:cs="Times New Roman"/>
          <w:lang w:eastAsia="pl-PL"/>
        </w:rPr>
        <w:t xml:space="preserve">Przez teren gminy przebiega gazociąg wysokiego ciśnienia relacji Lubienia – Piotrków Trybunalski, którego właścicielem jest Polska Spółka Gazownictwa sp. z o.o. Oddział w Tarnowie – Zakład </w:t>
      </w:r>
      <w:r w:rsidRPr="00EE0C8C">
        <w:rPr>
          <w:rFonts w:ascii="Calibri" w:eastAsia="Times New Roman" w:hAnsi="Calibri" w:cs="Times New Roman"/>
          <w:lang w:eastAsia="pl-PL"/>
        </w:rPr>
        <w:br/>
        <w:t xml:space="preserve">w Kielcach. </w:t>
      </w:r>
    </w:p>
    <w:p w:rsidR="00EE0C8C" w:rsidRPr="00EE0C8C" w:rsidRDefault="00EE0C8C" w:rsidP="00EE0C8C">
      <w:pPr>
        <w:jc w:val="both"/>
        <w:rPr>
          <w:rFonts w:ascii="Calibri" w:eastAsia="Times New Roman" w:hAnsi="Calibri" w:cs="Times New Roman"/>
          <w:lang w:eastAsia="pl-PL"/>
        </w:rPr>
      </w:pPr>
      <w:r w:rsidRPr="00EE0C8C">
        <w:rPr>
          <w:rFonts w:ascii="Calibri" w:eastAsia="Times New Roman" w:hAnsi="Calibri" w:cs="Times New Roman"/>
          <w:lang w:eastAsia="pl-PL"/>
        </w:rPr>
        <w:t xml:space="preserve">System zaopatrzenia w gaz przewodowy odbiorców z gminy Mirzec obejmuje sieć gazociągów średniego ciśnienia zasilanych z dwóch kierunków: - podstawą zasilania istniejącej sieci gazowej średniego ciśnienia jest gazociąg w/c i stacja redukcyjno-pomiarowa I stopnia znajdujące się </w:t>
      </w:r>
      <w:r w:rsidRPr="00EE0C8C">
        <w:rPr>
          <w:rFonts w:ascii="Calibri" w:eastAsia="Times New Roman" w:hAnsi="Calibri" w:cs="Times New Roman"/>
          <w:lang w:eastAsia="pl-PL"/>
        </w:rPr>
        <w:br/>
        <w:t>w Starachowicach; - istniejąca sieć gazowa średniego ciśnienia dla miejscowości: Ostrożanka, Małyszyn Górny, Krzewa i Małyszyn Dolny zasilana jest z gazociągów w/c poprzez stacje gazowe wysokiego ciśnienia „Jasieniec Iłżecki” oraz „Skaryszew”. Teren gminy Mirzec obsługiwany jest przez dwa Zakłady Polskiej Spółki Gazownictwa:</w:t>
      </w:r>
    </w:p>
    <w:p w:rsidR="00EE0C8C" w:rsidRPr="00EE0C8C" w:rsidRDefault="00EE0C8C" w:rsidP="00EE0C8C">
      <w:pPr>
        <w:jc w:val="both"/>
        <w:rPr>
          <w:rFonts w:ascii="Calibri" w:eastAsia="Times New Roman" w:hAnsi="Calibri" w:cs="Times New Roman"/>
          <w:lang w:eastAsia="pl-PL"/>
        </w:rPr>
      </w:pPr>
      <w:r w:rsidRPr="00EE0C8C">
        <w:rPr>
          <w:rFonts w:ascii="Calibri" w:eastAsia="Times New Roman" w:hAnsi="Calibri" w:cs="Times New Roman"/>
          <w:lang w:eastAsia="pl-PL"/>
        </w:rPr>
        <w:t>- Zakład w Kielcach, który swoim działaniem obejmuje 13 miejscowości: Mirzec, Mirzec Stary, Mirzec-Majorat, Mirzec-Malcówki, Mirzec-Ogrody, Mirzec-Poduchowane, Mirzec-Korzonek, Mirzec-Podkowalów, Mirzec-Poddąbrowa, Mirzec-Podborki, Gadka, Tychów Stary, Tychów Nowy – łącznie 587 odbiorców gazu. Zakład w Kielcach świadczy usługi dystrybucji paliwa gazowego na terenie w/w miejscowości za pośrednictwem sieci gazowej o łącznej długości 70,1km, w tym: 1,0 km gazociągu wysokiego ciśnienia, 55,0 km gazociągu średniego ciśnienia oraz 921 szt. przyłączy gazowych o łącznej długości 14,1km;</w:t>
      </w:r>
    </w:p>
    <w:p w:rsidR="00EE0C8C" w:rsidRPr="00EE0C8C" w:rsidRDefault="00EE0C8C" w:rsidP="00EE0C8C">
      <w:pPr>
        <w:jc w:val="both"/>
        <w:rPr>
          <w:rFonts w:ascii="Calibri" w:eastAsia="Times New Roman" w:hAnsi="Calibri" w:cs="Times New Roman"/>
          <w:lang w:eastAsia="pl-PL"/>
        </w:rPr>
      </w:pPr>
      <w:r w:rsidRPr="00EE0C8C">
        <w:rPr>
          <w:rFonts w:ascii="Calibri" w:eastAsia="Times New Roman" w:hAnsi="Calibri" w:cs="Times New Roman"/>
          <w:lang w:eastAsia="pl-PL"/>
        </w:rPr>
        <w:t>- Zakład w Radomiu, który na terenie gminy posiada sieć gazową średniego ciśnienia o długości sumarycznej ok. 10 km, czynnych przyłączy gazowych – 196 szt. (sumarycznie ok. 1,7 km). Paliwo gazowe dostarczane jest do 89 odbiorców w miejscowościach: Ostrożanka, Małyszyn Górny, Krzewa i Małyszyn Dolny.</w:t>
      </w:r>
    </w:p>
    <w:p w:rsidR="00EE0C8C" w:rsidRPr="00EE0C8C" w:rsidRDefault="00EE0C8C" w:rsidP="00EE0C8C">
      <w:pPr>
        <w:jc w:val="both"/>
        <w:rPr>
          <w:rFonts w:ascii="Calibri" w:eastAsia="Times New Roman" w:hAnsi="Calibri" w:cs="Times New Roman"/>
          <w:lang w:eastAsia="pl-PL"/>
        </w:rPr>
      </w:pPr>
      <w:r w:rsidRPr="00EE0C8C">
        <w:rPr>
          <w:rFonts w:ascii="Calibri" w:eastAsia="Times New Roman" w:hAnsi="Calibri" w:cs="Times New Roman"/>
          <w:lang w:eastAsia="pl-PL"/>
        </w:rPr>
        <w:t>Dla obszaru gminy Mirzec wskaźnik zgazyfikowania (źródło danych GUS 2014r.), określony jako liczba osób korzystających z instalacji gazowej w stosunku do ogółu mieszkańców wynosi 21,6% i jest średni w skali powiatu wśród gmin wiejskich. Dostęp do gazu ziemnego posiadają wszystkie gminy powiatu, jednak stopień rozbudowy sieci w poszczególnych obszarach jest zróżnicowany. W przypadku Gminy Mirzec wskaźnik zgazyfikowania gminy na tle powiatu starachowickiego wynosi ok. 22%.</w:t>
      </w:r>
    </w:p>
    <w:p w:rsidR="00EE0C8C" w:rsidRPr="00EE0C8C" w:rsidRDefault="00EE0C8C" w:rsidP="00EE0C8C">
      <w:pPr>
        <w:jc w:val="both"/>
        <w:rPr>
          <w:rFonts w:ascii="Calibri" w:eastAsia="Times New Roman" w:hAnsi="Calibri" w:cs="Times New Roman"/>
          <w:lang w:eastAsia="pl-PL"/>
        </w:rPr>
      </w:pPr>
      <w:r w:rsidRPr="00EE0C8C">
        <w:rPr>
          <w:rFonts w:ascii="Calibri" w:eastAsia="Times New Roman" w:hAnsi="Calibri" w:cs="Times New Roman"/>
          <w:lang w:eastAsia="pl-PL"/>
        </w:rPr>
        <w:t>Stan sieci gazowych na terenie gminy Mirzec jest dobry, co zapewnia bezpieczeństwo zarówno dostaw gazu jak również bezpieczeństwo publiczne. Zagrożenia występujące w sytuacjach awaryjnych są likwidowane przez służby pogotowia gazowego.</w:t>
      </w:r>
    </w:p>
    <w:p w:rsidR="00EE0C8C" w:rsidRPr="00EE0C8C" w:rsidRDefault="00EE0C8C" w:rsidP="00EE0C8C">
      <w:pPr>
        <w:keepNext/>
        <w:keepLines/>
        <w:spacing w:before="200" w:after="0"/>
        <w:outlineLvl w:val="3"/>
        <w:rPr>
          <w:rFonts w:ascii="Cambria" w:eastAsia="Times New Roman" w:hAnsi="Cambria" w:cs="Times New Roman"/>
          <w:b/>
          <w:bCs/>
          <w:i/>
          <w:iCs/>
          <w:color w:val="4F81BD"/>
        </w:rPr>
      </w:pPr>
      <w:r w:rsidRPr="00EE0C8C">
        <w:rPr>
          <w:rFonts w:ascii="Cambria" w:eastAsia="Times New Roman" w:hAnsi="Cambria" w:cs="Times New Roman"/>
          <w:b/>
          <w:bCs/>
          <w:i/>
          <w:iCs/>
          <w:color w:val="4F81BD"/>
        </w:rPr>
        <w:t>STAN ZAOPATRZENIA GMINY W ENERGIĘ CIEPLNĄ</w:t>
      </w:r>
    </w:p>
    <w:p w:rsidR="00EE0C8C" w:rsidRPr="00EE0C8C" w:rsidRDefault="00EE0C8C" w:rsidP="00EE0C8C">
      <w:pPr>
        <w:jc w:val="both"/>
        <w:rPr>
          <w:rFonts w:ascii="Calibri" w:eastAsia="Times New Roman" w:hAnsi="Calibri" w:cs="Times New Roman"/>
          <w:lang w:eastAsia="pl-PL"/>
        </w:rPr>
      </w:pPr>
      <w:r w:rsidRPr="00EE0C8C">
        <w:rPr>
          <w:rFonts w:ascii="Calibri" w:eastAsia="Times New Roman" w:hAnsi="Calibri" w:cs="Times New Roman"/>
          <w:lang w:eastAsia="pl-PL"/>
        </w:rPr>
        <w:t xml:space="preserve">Na  terenie  Gminy Mirzec nie istnieją centralne systemy zaopatrzenia w ciepło w postaci scentralizowanych źródeł ciepła i sieci cieplnych. Obszar gminy charakteryzuje się niską gęstością  cieplną,  co  wynika  z  charakteru  zainwestowania - przeważają  zabudowania mieszkaniowe, </w:t>
      </w:r>
      <w:r w:rsidRPr="00EE0C8C">
        <w:rPr>
          <w:rFonts w:ascii="Calibri" w:eastAsia="Times New Roman" w:hAnsi="Calibri" w:cs="Times New Roman"/>
          <w:lang w:eastAsia="pl-PL"/>
        </w:rPr>
        <w:lastRenderedPageBreak/>
        <w:t xml:space="preserve">głównie  jako  zabudowa  mieszkaniowa  zagrodowa  oraz  zabudowa jednorodzinna  (domy  wolnostojące  prywatne,  mieszanka  starej  i  nowej  zabudowy). </w:t>
      </w:r>
    </w:p>
    <w:p w:rsidR="00EE0C8C" w:rsidRPr="00EE0C8C" w:rsidRDefault="00EE0C8C" w:rsidP="00EE0C8C">
      <w:pPr>
        <w:jc w:val="both"/>
        <w:rPr>
          <w:rFonts w:ascii="Calibri" w:eastAsia="Times New Roman" w:hAnsi="Calibri" w:cs="Times New Roman"/>
          <w:lang w:eastAsia="pl-PL"/>
        </w:rPr>
      </w:pPr>
      <w:r w:rsidRPr="00EE0C8C">
        <w:rPr>
          <w:rFonts w:ascii="Calibri" w:eastAsia="Times New Roman" w:hAnsi="Calibri" w:cs="Times New Roman"/>
          <w:lang w:eastAsia="pl-PL"/>
        </w:rPr>
        <w:t>Wszystkie  obiekty  i  mieszkania  są  zasilane  w ciepło,  na  potrzeby grzewcze oraz na przygotowanie  ciepłej  wody  użytkowej,  z  własnych  indywidualnych  źródeł.</w:t>
      </w:r>
    </w:p>
    <w:p w:rsidR="00EE0C8C" w:rsidRPr="00EE0C8C" w:rsidRDefault="00EE0C8C" w:rsidP="00EE0C8C">
      <w:pPr>
        <w:keepNext/>
        <w:keepLines/>
        <w:spacing w:before="200" w:after="0"/>
        <w:outlineLvl w:val="3"/>
        <w:rPr>
          <w:rFonts w:ascii="Cambria" w:eastAsia="Times New Roman" w:hAnsi="Cambria" w:cs="Times New Roman"/>
          <w:b/>
          <w:bCs/>
          <w:i/>
          <w:iCs/>
          <w:color w:val="4F81BD"/>
        </w:rPr>
      </w:pPr>
      <w:r w:rsidRPr="00EE0C8C">
        <w:rPr>
          <w:rFonts w:ascii="Cambria" w:eastAsia="Times New Roman" w:hAnsi="Cambria" w:cs="Times New Roman"/>
          <w:b/>
          <w:bCs/>
          <w:i/>
          <w:iCs/>
          <w:color w:val="4F81BD"/>
        </w:rPr>
        <w:t>STAN ZAOPATRZENIA GMINY W ENERGIĘ ELEKTRYCZNĄ</w:t>
      </w:r>
    </w:p>
    <w:p w:rsidR="00EE0C8C" w:rsidRPr="00EE0C8C" w:rsidRDefault="00EE0C8C" w:rsidP="00EE0C8C">
      <w:pPr>
        <w:jc w:val="both"/>
        <w:rPr>
          <w:rFonts w:ascii="Calibri" w:eastAsia="Times New Roman" w:hAnsi="Calibri" w:cs="Times New Roman"/>
          <w:lang w:eastAsia="pl-PL"/>
        </w:rPr>
      </w:pPr>
      <w:r w:rsidRPr="00EE0C8C">
        <w:rPr>
          <w:rFonts w:ascii="Calibri" w:eastAsia="Times New Roman" w:hAnsi="Calibri" w:cs="Times New Roman"/>
          <w:lang w:eastAsia="pl-PL"/>
        </w:rPr>
        <w:t xml:space="preserve">Zaopatrzenie  terenu Gminy Mirzec w  energię elektryczną odbywa się z krajowego  systemu elektroenergetycznego. W zakresie linii elektroenergetycznych najwyższego napięcia gmina leży </w:t>
      </w:r>
      <w:r w:rsidRPr="00EE0C8C">
        <w:rPr>
          <w:rFonts w:ascii="Calibri" w:eastAsia="Times New Roman" w:hAnsi="Calibri" w:cs="Times New Roman"/>
          <w:lang w:eastAsia="pl-PL"/>
        </w:rPr>
        <w:br/>
        <w:t>w zasięgu działania Operatora Systemu Przesyłowego Polskie Sieci Elektroenergetyczne S.A. Oddział w Radomiu. Operatorem  systemu  dystrybucyjnego na tym terenie jest spółka PGE Dystrybucja S.A. Oddział Skarżysko - Kamienna, która działa na obszarze 16 504 km</w:t>
      </w:r>
      <w:r w:rsidRPr="00EE0C8C">
        <w:rPr>
          <w:rFonts w:ascii="Calibri" w:eastAsia="Times New Roman" w:hAnsi="Calibri" w:cs="Times New Roman"/>
          <w:vertAlign w:val="superscript"/>
          <w:lang w:eastAsia="pl-PL"/>
        </w:rPr>
        <w:t>2</w:t>
      </w:r>
      <w:r w:rsidRPr="00EE0C8C">
        <w:rPr>
          <w:rFonts w:ascii="Calibri" w:eastAsia="Times New Roman" w:hAnsi="Calibri" w:cs="Times New Roman"/>
          <w:lang w:eastAsia="pl-PL"/>
        </w:rPr>
        <w:t xml:space="preserve"> w  województwie  świętokrzyskim.</w:t>
      </w:r>
    </w:p>
    <w:p w:rsidR="00EE0C8C" w:rsidRPr="00EE0C8C" w:rsidRDefault="00EE0C8C" w:rsidP="00EE0C8C">
      <w:pPr>
        <w:spacing w:after="120"/>
        <w:ind w:firstLine="1134"/>
        <w:rPr>
          <w:rFonts w:ascii="Calibri" w:eastAsia="Times New Roman" w:hAnsi="Calibri" w:cs="Times New Roman"/>
          <w:lang w:eastAsia="pl-PL"/>
        </w:rPr>
      </w:pPr>
      <w:r w:rsidRPr="00EE0C8C">
        <w:rPr>
          <w:rFonts w:ascii="Calibri" w:eastAsia="Times New Roman" w:hAnsi="Calibri" w:cs="Times New Roman"/>
          <w:lang w:eastAsia="pl-PL"/>
        </w:rPr>
        <w:t xml:space="preserve">Długość  linii  energetycznych:  39 802km. </w:t>
      </w:r>
    </w:p>
    <w:p w:rsidR="00EE0C8C" w:rsidRPr="00EE0C8C" w:rsidRDefault="00EE0C8C" w:rsidP="00EE0C8C">
      <w:pPr>
        <w:spacing w:after="120"/>
        <w:ind w:firstLine="1134"/>
        <w:rPr>
          <w:rFonts w:ascii="Calibri" w:eastAsia="Times New Roman" w:hAnsi="Calibri" w:cs="Times New Roman"/>
          <w:lang w:eastAsia="pl-PL"/>
        </w:rPr>
      </w:pPr>
      <w:r w:rsidRPr="00EE0C8C">
        <w:rPr>
          <w:rFonts w:ascii="Calibri" w:eastAsia="Times New Roman" w:hAnsi="Calibri" w:cs="Times New Roman"/>
          <w:lang w:eastAsia="pl-PL"/>
        </w:rPr>
        <w:t>Ilość  stacji transformatorowych:  13  091 szt.</w:t>
      </w:r>
    </w:p>
    <w:p w:rsidR="00EE0C8C" w:rsidRPr="00EE0C8C" w:rsidRDefault="00EE0C8C" w:rsidP="00EE0C8C">
      <w:pPr>
        <w:spacing w:after="120"/>
        <w:ind w:firstLine="1134"/>
        <w:rPr>
          <w:rFonts w:ascii="Calibri" w:eastAsia="Times New Roman" w:hAnsi="Calibri" w:cs="Times New Roman"/>
          <w:lang w:eastAsia="pl-PL"/>
        </w:rPr>
      </w:pPr>
      <w:r w:rsidRPr="00EE0C8C">
        <w:rPr>
          <w:rFonts w:ascii="Calibri" w:eastAsia="Times New Roman" w:hAnsi="Calibri" w:cs="Times New Roman"/>
          <w:lang w:eastAsia="pl-PL"/>
        </w:rPr>
        <w:t>Liczba odbiorców to ponad  770  tys.</w:t>
      </w:r>
    </w:p>
    <w:p w:rsidR="00EE0C8C" w:rsidRPr="00EE0C8C" w:rsidRDefault="00EE0C8C" w:rsidP="00EE0C8C">
      <w:pPr>
        <w:jc w:val="both"/>
        <w:rPr>
          <w:rFonts w:ascii="Calibri" w:eastAsia="Times New Roman" w:hAnsi="Calibri" w:cs="Times New Roman"/>
          <w:lang w:eastAsia="pl-PL"/>
        </w:rPr>
      </w:pPr>
      <w:r w:rsidRPr="00EE0C8C">
        <w:rPr>
          <w:rFonts w:ascii="Calibri" w:eastAsia="Times New Roman" w:hAnsi="Calibri" w:cs="Times New Roman"/>
          <w:lang w:eastAsia="pl-PL"/>
        </w:rPr>
        <w:t>Rejon  Energetyczny Skarżysko obsługuje gminy: Skarżysko Kamienna, Skarżysko Kościelne, Bliżyn, Suchedniów, Łączna, Starachowice, Mirzec, Wąchock, Brody Iłżeckie, Szydłowiec, Orońsko, Chlewiska, Jastrząb,  Mirów,  Bodzentyn,  Nowa  Słupia,  Zagnańsk,  Końskie,  Stąporków,  Borkowice, Przysucha, Wieniawa, Rusinów, Klwów, Potworów, Odrzywół, Drzewica, Gielniów, Ruda Maleniecka, Fałków, Radoszyce, Łopuszno, Słupia Konecka, Strawczyn, Smyków, Mniów, Ruda Białaczowska, Gowarczów, Przytyk, Piekoszów.</w:t>
      </w:r>
    </w:p>
    <w:p w:rsidR="00EE0C8C" w:rsidRPr="00EE0C8C" w:rsidRDefault="00EE0C8C" w:rsidP="00EE0C8C">
      <w:pPr>
        <w:jc w:val="both"/>
        <w:rPr>
          <w:rFonts w:ascii="Calibri" w:eastAsia="Times New Roman" w:hAnsi="Calibri" w:cs="Times New Roman"/>
          <w:lang w:eastAsia="pl-PL"/>
        </w:rPr>
      </w:pPr>
      <w:r w:rsidRPr="00EE0C8C">
        <w:rPr>
          <w:rFonts w:ascii="Calibri" w:eastAsia="Times New Roman" w:hAnsi="Calibri" w:cs="Times New Roman"/>
          <w:lang w:eastAsia="pl-PL"/>
        </w:rPr>
        <w:t>Na terenie Gminy Mirzec nie są zlokalizowane   GPZ.  Cała sieć  średniego  napięcia zlokalizowana  na  terenie  gminy  pracuje  na  napięciu  15kV. Linie magistralne SN zlokalizowane na terenie gminy Mirzec to:</w:t>
      </w:r>
    </w:p>
    <w:p w:rsidR="00EE0C8C" w:rsidRPr="00EE0C8C" w:rsidRDefault="00EE0C8C" w:rsidP="00EE0C8C">
      <w:pPr>
        <w:spacing w:after="120"/>
        <w:ind w:firstLine="1134"/>
        <w:rPr>
          <w:rFonts w:ascii="Calibri" w:eastAsia="Times New Roman" w:hAnsi="Calibri" w:cs="Times New Roman"/>
          <w:lang w:eastAsia="pl-PL"/>
        </w:rPr>
      </w:pPr>
      <w:r w:rsidRPr="00EE0C8C">
        <w:rPr>
          <w:rFonts w:ascii="Calibri" w:eastAsia="Times New Roman" w:hAnsi="Calibri" w:cs="Times New Roman"/>
          <w:lang w:eastAsia="pl-PL"/>
        </w:rPr>
        <w:t xml:space="preserve">-linia 15 kV  - GPZ Iłża – Seredzice, </w:t>
      </w:r>
    </w:p>
    <w:p w:rsidR="00EE0C8C" w:rsidRPr="00EE0C8C" w:rsidRDefault="00EE0C8C" w:rsidP="00EE0C8C">
      <w:pPr>
        <w:spacing w:after="120"/>
        <w:ind w:firstLine="1134"/>
        <w:rPr>
          <w:rFonts w:ascii="Calibri" w:eastAsia="Times New Roman" w:hAnsi="Calibri" w:cs="Times New Roman"/>
          <w:lang w:eastAsia="pl-PL"/>
        </w:rPr>
      </w:pPr>
      <w:r w:rsidRPr="00EE0C8C">
        <w:rPr>
          <w:rFonts w:ascii="Calibri" w:eastAsia="Times New Roman" w:hAnsi="Calibri" w:cs="Times New Roman"/>
          <w:lang w:eastAsia="pl-PL"/>
        </w:rPr>
        <w:t>- linia 15 kV  - GPZ Skarżysko Północ  - Kościelne,</w:t>
      </w:r>
    </w:p>
    <w:p w:rsidR="00EE0C8C" w:rsidRPr="00EE0C8C" w:rsidRDefault="00EE0C8C" w:rsidP="00EE0C8C">
      <w:pPr>
        <w:spacing w:after="120"/>
        <w:ind w:firstLine="1134"/>
        <w:rPr>
          <w:rFonts w:ascii="Calibri" w:eastAsia="Times New Roman" w:hAnsi="Calibri" w:cs="Times New Roman"/>
          <w:lang w:eastAsia="pl-PL"/>
        </w:rPr>
      </w:pPr>
      <w:r w:rsidRPr="00EE0C8C">
        <w:rPr>
          <w:rFonts w:ascii="Calibri" w:eastAsia="Times New Roman" w:hAnsi="Calibri" w:cs="Times New Roman"/>
          <w:lang w:eastAsia="pl-PL"/>
        </w:rPr>
        <w:t>- linia 15 kV  - GPZ Iłża  – Mirzec,</w:t>
      </w:r>
    </w:p>
    <w:p w:rsidR="00EE0C8C" w:rsidRPr="00EE0C8C" w:rsidRDefault="00EE0C8C" w:rsidP="00EE0C8C">
      <w:pPr>
        <w:spacing w:after="120"/>
        <w:ind w:firstLine="1134"/>
        <w:rPr>
          <w:rFonts w:ascii="Calibri" w:eastAsia="Times New Roman" w:hAnsi="Calibri" w:cs="Times New Roman"/>
          <w:lang w:eastAsia="pl-PL"/>
        </w:rPr>
      </w:pPr>
      <w:r w:rsidRPr="00EE0C8C">
        <w:rPr>
          <w:rFonts w:ascii="Calibri" w:eastAsia="Times New Roman" w:hAnsi="Calibri" w:cs="Times New Roman"/>
          <w:lang w:eastAsia="pl-PL"/>
        </w:rPr>
        <w:t>- linia 15 kV  - GPZ Iłża  – Henryk 2,</w:t>
      </w:r>
    </w:p>
    <w:p w:rsidR="00EE0C8C" w:rsidRPr="00EE0C8C" w:rsidRDefault="00EE0C8C" w:rsidP="00EE0C8C">
      <w:pPr>
        <w:spacing w:after="120"/>
        <w:ind w:firstLine="1134"/>
        <w:rPr>
          <w:rFonts w:ascii="Calibri" w:eastAsia="Times New Roman" w:hAnsi="Calibri" w:cs="Times New Roman"/>
          <w:lang w:eastAsia="pl-PL"/>
        </w:rPr>
      </w:pPr>
      <w:r w:rsidRPr="00EE0C8C">
        <w:rPr>
          <w:rFonts w:ascii="Calibri" w:eastAsia="Times New Roman" w:hAnsi="Calibri" w:cs="Times New Roman"/>
          <w:lang w:eastAsia="pl-PL"/>
        </w:rPr>
        <w:t>- linia 15 kV  - GPZ Starachowice Północ  – Trębowiec.</w:t>
      </w:r>
    </w:p>
    <w:p w:rsidR="00EE0C8C" w:rsidRPr="00EE0C8C" w:rsidRDefault="00EE0C8C" w:rsidP="00EE0C8C">
      <w:pPr>
        <w:jc w:val="both"/>
        <w:rPr>
          <w:rFonts w:ascii="Calibri" w:eastAsia="Times New Roman" w:hAnsi="Calibri" w:cs="Times New Roman"/>
          <w:lang w:eastAsia="pl-PL"/>
        </w:rPr>
      </w:pPr>
      <w:r w:rsidRPr="00EE0C8C">
        <w:rPr>
          <w:rFonts w:ascii="Calibri" w:eastAsia="Times New Roman" w:hAnsi="Calibri" w:cs="Times New Roman"/>
          <w:lang w:eastAsia="pl-PL"/>
        </w:rPr>
        <w:t>Z przedmiotowej sieci zasilanych jest 58 stacji transformatorowych będących na majątku PGE Dystrybucja  S.A.  Wszystkie  stacje  transformatorowe  zlokalizowane  na  terenie  gminy  poza stacją Mirzec UG są stacjami napowietrznymi.</w:t>
      </w:r>
    </w:p>
    <w:p w:rsidR="00EE0C8C" w:rsidRDefault="00EE0C8C" w:rsidP="00EE0C8C">
      <w:pPr>
        <w:jc w:val="both"/>
        <w:rPr>
          <w:rFonts w:ascii="Calibri" w:eastAsia="Times New Roman" w:hAnsi="Calibri" w:cs="Times New Roman"/>
          <w:lang w:eastAsia="pl-PL"/>
        </w:rPr>
      </w:pPr>
      <w:r w:rsidRPr="00EE0C8C">
        <w:rPr>
          <w:rFonts w:ascii="Calibri" w:eastAsia="Times New Roman" w:hAnsi="Calibri" w:cs="Times New Roman"/>
          <w:lang w:eastAsia="pl-PL"/>
        </w:rPr>
        <w:t>Długość linii napowietrznych i kablowych na terenie gminy Mirzec:</w:t>
      </w:r>
    </w:p>
    <w:p w:rsidR="00A76BDB" w:rsidRPr="00EE0C8C" w:rsidRDefault="00A76BDB" w:rsidP="00EE0C8C">
      <w:pPr>
        <w:jc w:val="both"/>
        <w:rPr>
          <w:rFonts w:ascii="Calibri" w:eastAsia="Times New Roman" w:hAnsi="Calibri" w:cs="Times New Roman"/>
          <w:lang w:eastAsia="pl-PL"/>
        </w:rPr>
      </w:pPr>
    </w:p>
    <w:tbl>
      <w:tblPr>
        <w:tblStyle w:val="redniecieniowanie1akcent51"/>
        <w:tblW w:w="0" w:type="auto"/>
        <w:tblLook w:val="04A0" w:firstRow="1" w:lastRow="0" w:firstColumn="1" w:lastColumn="0" w:noHBand="0" w:noVBand="1"/>
      </w:tblPr>
      <w:tblGrid>
        <w:gridCol w:w="4606"/>
        <w:gridCol w:w="4606"/>
      </w:tblGrid>
      <w:tr w:rsidR="00EE0C8C" w:rsidRPr="00EE0C8C" w:rsidTr="00A76B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EE0C8C" w:rsidRPr="00EE0C8C" w:rsidRDefault="00EE0C8C" w:rsidP="00EE0C8C">
            <w:pPr>
              <w:jc w:val="center"/>
              <w:rPr>
                <w:rFonts w:ascii="Calibri" w:eastAsia="Calibri" w:hAnsi="Calibri" w:cs="Times New Roman"/>
              </w:rPr>
            </w:pPr>
            <w:r w:rsidRPr="00EE0C8C">
              <w:rPr>
                <w:rFonts w:ascii="Calibri" w:eastAsia="Calibri" w:hAnsi="Calibri" w:cs="Times New Roman"/>
              </w:rPr>
              <w:t>Wyszczególnienie</w:t>
            </w:r>
          </w:p>
        </w:tc>
        <w:tc>
          <w:tcPr>
            <w:tcW w:w="4606" w:type="dxa"/>
          </w:tcPr>
          <w:p w:rsidR="00EE0C8C" w:rsidRPr="00EE0C8C" w:rsidRDefault="00EE0C8C" w:rsidP="00EE0C8C">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Długość [km]</w:t>
            </w:r>
          </w:p>
        </w:tc>
      </w:tr>
      <w:tr w:rsidR="00EE0C8C" w:rsidRPr="00EE0C8C" w:rsidTr="00A76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Linie napowietrzne niskiego napięcia</w:t>
            </w:r>
          </w:p>
        </w:tc>
        <w:tc>
          <w:tcPr>
            <w:tcW w:w="4606"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66,7</w:t>
            </w:r>
          </w:p>
        </w:tc>
      </w:tr>
      <w:tr w:rsidR="00EE0C8C" w:rsidRPr="00EE0C8C" w:rsidTr="00A76B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Linie kablowe niskiego napięcia</w:t>
            </w:r>
          </w:p>
        </w:tc>
        <w:tc>
          <w:tcPr>
            <w:tcW w:w="4606" w:type="dxa"/>
          </w:tcPr>
          <w:p w:rsidR="00EE0C8C" w:rsidRPr="00EE0C8C" w:rsidRDefault="00EE0C8C" w:rsidP="00EE0C8C">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rPr>
            </w:pPr>
            <w:r w:rsidRPr="00EE0C8C">
              <w:rPr>
                <w:rFonts w:ascii="Calibri" w:eastAsia="Calibri" w:hAnsi="Calibri" w:cs="Times New Roman"/>
              </w:rPr>
              <w:t>6,33</w:t>
            </w:r>
          </w:p>
        </w:tc>
      </w:tr>
      <w:tr w:rsidR="00EE0C8C" w:rsidRPr="00EE0C8C" w:rsidTr="00A76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lastRenderedPageBreak/>
              <w:t>Linie napowietrzne średniego napięcia (SN)</w:t>
            </w:r>
          </w:p>
        </w:tc>
        <w:tc>
          <w:tcPr>
            <w:tcW w:w="4606"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71,75</w:t>
            </w:r>
          </w:p>
        </w:tc>
      </w:tr>
      <w:tr w:rsidR="00EE0C8C" w:rsidRPr="00EE0C8C" w:rsidTr="00A76B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Linie kablowe średniego napięcia (SN)</w:t>
            </w:r>
          </w:p>
        </w:tc>
        <w:tc>
          <w:tcPr>
            <w:tcW w:w="4606" w:type="dxa"/>
          </w:tcPr>
          <w:p w:rsidR="00EE0C8C" w:rsidRPr="00EE0C8C" w:rsidRDefault="00EE0C8C" w:rsidP="00EE0C8C">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rPr>
            </w:pPr>
            <w:r w:rsidRPr="00EE0C8C">
              <w:rPr>
                <w:rFonts w:ascii="Calibri" w:eastAsia="Calibri" w:hAnsi="Calibri" w:cs="Times New Roman"/>
              </w:rPr>
              <w:t>0,27</w:t>
            </w:r>
          </w:p>
        </w:tc>
      </w:tr>
      <w:tr w:rsidR="00EE0C8C" w:rsidRPr="00EE0C8C" w:rsidTr="00A76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Linie napowietrzne wysokiego napięcia (WN)</w:t>
            </w:r>
          </w:p>
        </w:tc>
        <w:tc>
          <w:tcPr>
            <w:tcW w:w="4606"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Brak danych</w:t>
            </w:r>
          </w:p>
        </w:tc>
      </w:tr>
    </w:tbl>
    <w:p w:rsidR="00EE0C8C" w:rsidRPr="00EE0C8C" w:rsidRDefault="00EE0C8C" w:rsidP="00EE0C8C">
      <w:pPr>
        <w:jc w:val="center"/>
        <w:rPr>
          <w:rFonts w:ascii="Calibri" w:eastAsia="Times New Roman" w:hAnsi="Calibri" w:cs="Times New Roman"/>
          <w:i/>
          <w:lang w:eastAsia="pl-PL"/>
        </w:rPr>
      </w:pPr>
      <w:r w:rsidRPr="00EE0C8C">
        <w:rPr>
          <w:rFonts w:ascii="Calibri" w:eastAsia="Times New Roman" w:hAnsi="Calibri" w:cs="Times New Roman"/>
          <w:i/>
          <w:lang w:eastAsia="pl-PL"/>
        </w:rPr>
        <w:t>(Źródło: Założenia do planu zaopatrzenia w ciepło, energię elektryczną i paliwa gazowe dla Gminy Mirzec - opracowane na lata 2015-2031)</w:t>
      </w:r>
    </w:p>
    <w:p w:rsidR="00EE0C8C" w:rsidRPr="00EE0C8C" w:rsidRDefault="00EE0C8C" w:rsidP="00EE0C8C">
      <w:pPr>
        <w:jc w:val="both"/>
        <w:rPr>
          <w:rFonts w:ascii="Calibri" w:eastAsia="Times New Roman" w:hAnsi="Calibri" w:cs="Times New Roman"/>
          <w:lang w:eastAsia="pl-PL"/>
        </w:rPr>
      </w:pPr>
      <w:r w:rsidRPr="00EE0C8C">
        <w:rPr>
          <w:rFonts w:ascii="Calibri" w:eastAsia="Times New Roman" w:hAnsi="Calibri" w:cs="Times New Roman"/>
          <w:lang w:eastAsia="pl-PL"/>
        </w:rPr>
        <w:t xml:space="preserve">Większość linii zarówno średniego jak i niskiego napięcia znajduje się w dobrym stanie technicznym. </w:t>
      </w:r>
      <w:r w:rsidRPr="00EE0C8C">
        <w:rPr>
          <w:rFonts w:ascii="Calibri" w:eastAsia="Times New Roman" w:hAnsi="Calibri" w:cs="Times New Roman"/>
          <w:lang w:eastAsia="pl-PL"/>
        </w:rPr>
        <w:br/>
        <w:t>W najbliższych latach nie przewidujemy inwestycji związanych z przebudową linii SN.</w:t>
      </w:r>
    </w:p>
    <w:p w:rsidR="00EE0C8C" w:rsidRDefault="000B6F65" w:rsidP="00EE0C8C">
      <w:pPr>
        <w:keepNext/>
        <w:keepLines/>
        <w:spacing w:before="200" w:after="0"/>
        <w:outlineLvl w:val="2"/>
        <w:rPr>
          <w:rFonts w:ascii="Cambria" w:eastAsia="Times New Roman" w:hAnsi="Cambria" w:cs="Times New Roman"/>
          <w:b/>
          <w:bCs/>
          <w:i/>
          <w:iCs/>
          <w:color w:val="4F81BD"/>
        </w:rPr>
      </w:pPr>
      <w:bookmarkStart w:id="48" w:name="_Toc449963539"/>
      <w:bookmarkStart w:id="49" w:name="_Toc449965086"/>
      <w:bookmarkStart w:id="50" w:name="_Toc432515204"/>
      <w:bookmarkStart w:id="51" w:name="_Toc439077756"/>
      <w:bookmarkStart w:id="52" w:name="_Toc450562481"/>
      <w:r>
        <w:rPr>
          <w:rFonts w:ascii="Cambria" w:eastAsia="Times New Roman" w:hAnsi="Cambria" w:cs="Times New Roman"/>
          <w:b/>
          <w:bCs/>
          <w:i/>
          <w:iCs/>
          <w:color w:val="4F81BD"/>
        </w:rPr>
        <w:t>INFRASTRUKTURA TELEFOKUNIKACYJNA</w:t>
      </w:r>
      <w:bookmarkEnd w:id="48"/>
      <w:bookmarkEnd w:id="49"/>
      <w:bookmarkEnd w:id="52"/>
      <w:r>
        <w:rPr>
          <w:rFonts w:ascii="Cambria" w:eastAsia="Times New Roman" w:hAnsi="Cambria" w:cs="Times New Roman"/>
          <w:b/>
          <w:bCs/>
          <w:i/>
          <w:iCs/>
          <w:color w:val="4F81BD"/>
        </w:rPr>
        <w:t xml:space="preserve"> </w:t>
      </w:r>
    </w:p>
    <w:p w:rsidR="000B6F65" w:rsidRDefault="000B6F65" w:rsidP="000B6F65">
      <w:pPr>
        <w:keepNext/>
        <w:keepLines/>
        <w:spacing w:before="200" w:after="0"/>
        <w:jc w:val="both"/>
        <w:outlineLvl w:val="2"/>
        <w:rPr>
          <w:rFonts w:ascii="Calibri" w:eastAsia="Times New Roman" w:hAnsi="Calibri" w:cs="Times New Roman"/>
          <w:bCs/>
          <w:iCs/>
          <w:color w:val="000000" w:themeColor="text1"/>
        </w:rPr>
      </w:pPr>
      <w:bookmarkStart w:id="53" w:name="_Toc449963540"/>
      <w:bookmarkStart w:id="54" w:name="_Toc449965087"/>
      <w:bookmarkStart w:id="55" w:name="_Toc450562482"/>
      <w:r w:rsidRPr="000B6F65">
        <w:rPr>
          <w:rFonts w:ascii="Calibri" w:eastAsia="Times New Roman" w:hAnsi="Calibri" w:cs="Times New Roman"/>
          <w:bCs/>
          <w:iCs/>
          <w:color w:val="000000" w:themeColor="text1"/>
        </w:rPr>
        <w:t>Na terenie Mirca zainstalowano centralę automatyczną o pojemności</w:t>
      </w:r>
      <w:r>
        <w:rPr>
          <w:rFonts w:ascii="Calibri" w:eastAsia="Times New Roman" w:hAnsi="Calibri" w:cs="Times New Roman"/>
          <w:bCs/>
          <w:iCs/>
          <w:color w:val="000000" w:themeColor="text1"/>
        </w:rPr>
        <w:t xml:space="preserve"> 988 numerów. Połączona została ona linią światłowodową ze Starachowicami. Dzięki w/w centrali oraz zainstalowanej </w:t>
      </w:r>
      <w:r>
        <w:rPr>
          <w:rFonts w:ascii="Calibri" w:eastAsia="Times New Roman" w:hAnsi="Calibri" w:cs="Times New Roman"/>
          <w:bCs/>
          <w:iCs/>
          <w:color w:val="000000" w:themeColor="text1"/>
        </w:rPr>
        <w:br/>
        <w:t>w miejscowości Grzybowa Górna (gm. Skarżysko Kościelne) centrali automatycznej o pojemności 488 numerów, na ternie gminy Mirzec funkcjonuje łączność telefoniczna. Linie kablowe i napowietrzne poprowadzono wzdłuż ciągów drogowych.</w:t>
      </w:r>
      <w:bookmarkEnd w:id="53"/>
      <w:bookmarkEnd w:id="54"/>
      <w:bookmarkEnd w:id="55"/>
    </w:p>
    <w:p w:rsidR="000B6F65" w:rsidRDefault="000B6F65" w:rsidP="000B6F65">
      <w:pPr>
        <w:keepNext/>
        <w:keepLines/>
        <w:spacing w:before="200" w:after="0"/>
        <w:jc w:val="both"/>
        <w:outlineLvl w:val="2"/>
        <w:rPr>
          <w:rFonts w:ascii="Calibri" w:eastAsia="Times New Roman" w:hAnsi="Calibri" w:cs="Times New Roman"/>
          <w:bCs/>
          <w:iCs/>
          <w:color w:val="000000" w:themeColor="text1"/>
        </w:rPr>
      </w:pPr>
      <w:bookmarkStart w:id="56" w:name="_Toc449963541"/>
      <w:bookmarkStart w:id="57" w:name="_Toc449965088"/>
      <w:bookmarkStart w:id="58" w:name="_Toc450562483"/>
      <w:r>
        <w:rPr>
          <w:rFonts w:ascii="Calibri" w:eastAsia="Times New Roman" w:hAnsi="Calibri" w:cs="Times New Roman"/>
          <w:bCs/>
          <w:iCs/>
          <w:color w:val="000000" w:themeColor="text1"/>
        </w:rPr>
        <w:t>Na gruntach sołectwa Mirzec I zlokalizowany jest przekaźnik telefonii komórkowej.</w:t>
      </w:r>
      <w:bookmarkEnd w:id="56"/>
      <w:bookmarkEnd w:id="57"/>
      <w:bookmarkEnd w:id="58"/>
    </w:p>
    <w:p w:rsidR="000B6F65" w:rsidRDefault="000B6F65" w:rsidP="000B6F65">
      <w:pPr>
        <w:keepNext/>
        <w:keepLines/>
        <w:spacing w:before="200" w:after="0"/>
        <w:jc w:val="both"/>
        <w:outlineLvl w:val="2"/>
        <w:rPr>
          <w:rFonts w:ascii="Calibri" w:eastAsia="Times New Roman" w:hAnsi="Calibri" w:cs="Times New Roman"/>
          <w:bCs/>
          <w:iCs/>
          <w:color w:val="000000" w:themeColor="text1"/>
        </w:rPr>
      </w:pPr>
      <w:bookmarkStart w:id="59" w:name="_Toc449963542"/>
      <w:bookmarkStart w:id="60" w:name="_Toc449965089"/>
      <w:bookmarkStart w:id="61" w:name="_Toc450562484"/>
      <w:r>
        <w:rPr>
          <w:rFonts w:ascii="Cambria" w:eastAsia="Times New Roman" w:hAnsi="Cambria" w:cs="Times New Roman"/>
          <w:b/>
          <w:bCs/>
          <w:i/>
          <w:iCs/>
          <w:color w:val="4F81BD"/>
        </w:rPr>
        <w:t>OŚWIETLENIE ULICZNE</w:t>
      </w:r>
      <w:bookmarkEnd w:id="59"/>
      <w:bookmarkEnd w:id="60"/>
      <w:bookmarkEnd w:id="61"/>
    </w:p>
    <w:p w:rsidR="000B6F65" w:rsidRPr="000B6F65" w:rsidRDefault="000B6F65" w:rsidP="000B6F65">
      <w:pPr>
        <w:keepNext/>
        <w:keepLines/>
        <w:spacing w:before="200" w:after="0"/>
        <w:jc w:val="both"/>
        <w:outlineLvl w:val="2"/>
        <w:rPr>
          <w:rFonts w:ascii="Calibri" w:eastAsia="Times New Roman" w:hAnsi="Calibri" w:cs="Times New Roman"/>
          <w:bCs/>
          <w:color w:val="000000" w:themeColor="text1"/>
          <w:lang w:eastAsia="pl-PL"/>
        </w:rPr>
      </w:pPr>
      <w:bookmarkStart w:id="62" w:name="_Toc449963543"/>
      <w:bookmarkStart w:id="63" w:name="_Toc449965090"/>
      <w:bookmarkStart w:id="64" w:name="_Toc450562485"/>
      <w:r>
        <w:rPr>
          <w:rFonts w:ascii="Calibri" w:eastAsia="Times New Roman" w:hAnsi="Calibri" w:cs="Times New Roman"/>
          <w:bCs/>
          <w:iCs/>
          <w:color w:val="000000" w:themeColor="text1"/>
        </w:rPr>
        <w:t xml:space="preserve">W ramach rewitalizacji planuje się dokonanie wymiany oświetlenia sodowego na oświetlenie ledowe, co winno przyczynić się do zwiększenia efektywności energetycznej całej sieci oświetlenia ulicznego na obszarze rewitalizacji: Mirzec I i Mirzec II oraz poprawę estetyki i jakości oświetlenia </w:t>
      </w:r>
      <w:r>
        <w:rPr>
          <w:rFonts w:ascii="Calibri" w:eastAsia="Times New Roman" w:hAnsi="Calibri" w:cs="Times New Roman"/>
          <w:bCs/>
          <w:iCs/>
          <w:color w:val="000000" w:themeColor="text1"/>
        </w:rPr>
        <w:br/>
        <w:t>i bezpieczeństwa komunikacyjnego, zarówno dla ruchu samochodowego jak i ruchu pieszego.</w:t>
      </w:r>
      <w:bookmarkEnd w:id="62"/>
      <w:bookmarkEnd w:id="63"/>
      <w:bookmarkEnd w:id="64"/>
    </w:p>
    <w:p w:rsidR="00EE0C8C" w:rsidRPr="00EE0C8C" w:rsidRDefault="00EE0C8C" w:rsidP="00A76BDB">
      <w:pPr>
        <w:pStyle w:val="Nagwek2"/>
        <w:rPr>
          <w:lang w:eastAsia="pl-PL"/>
        </w:rPr>
      </w:pPr>
      <w:bookmarkStart w:id="65" w:name="_Toc450562486"/>
      <w:r w:rsidRPr="00EE0C8C">
        <w:rPr>
          <w:lang w:eastAsia="pl-PL"/>
        </w:rPr>
        <w:t>2.1.7. INFRASTRUKTURA DROGOWA</w:t>
      </w:r>
      <w:bookmarkEnd w:id="50"/>
      <w:bookmarkEnd w:id="51"/>
      <w:bookmarkEnd w:id="65"/>
    </w:p>
    <w:p w:rsidR="00EE0C8C" w:rsidRPr="00EE0C8C" w:rsidRDefault="00EE0C8C" w:rsidP="00EE0C8C">
      <w:pPr>
        <w:spacing w:after="0"/>
        <w:ind w:firstLine="1134"/>
        <w:jc w:val="both"/>
        <w:rPr>
          <w:rFonts w:ascii="Calibri" w:eastAsia="Times New Roman" w:hAnsi="Calibri" w:cs="Times New Roman"/>
          <w:lang w:eastAsia="pl-PL"/>
        </w:rPr>
      </w:pPr>
    </w:p>
    <w:p w:rsidR="00EE0C8C" w:rsidRPr="00EE0C8C" w:rsidRDefault="00EE0C8C" w:rsidP="00EE0C8C">
      <w:pPr>
        <w:jc w:val="both"/>
        <w:rPr>
          <w:rFonts w:ascii="Calibri" w:eastAsia="Times New Roman" w:hAnsi="Calibri" w:cs="Times New Roman"/>
          <w:lang w:eastAsia="pl-PL"/>
        </w:rPr>
      </w:pPr>
      <w:r w:rsidRPr="00EE0C8C">
        <w:rPr>
          <w:rFonts w:ascii="Calibri" w:eastAsia="Times New Roman" w:hAnsi="Calibri" w:cs="Times New Roman"/>
          <w:lang w:eastAsia="pl-PL"/>
        </w:rPr>
        <w:t xml:space="preserve">Podstawowy układ komunikacyjny gminy Mirzec o  znaczeniu  ponadlokalnym  stanowi  droga wojewódzka  Nr  744  Radom – Wierzbica - Starachowice  (dł.  </w:t>
      </w:r>
      <w:r w:rsidR="008E6844">
        <w:rPr>
          <w:rFonts w:ascii="Calibri" w:eastAsia="Times New Roman" w:hAnsi="Calibri" w:cs="Times New Roman"/>
          <w:lang w:eastAsia="pl-PL"/>
        </w:rPr>
        <w:t>16,9 km</w:t>
      </w:r>
      <w:r w:rsidRPr="00EE0C8C">
        <w:rPr>
          <w:rFonts w:ascii="Calibri" w:eastAsia="Times New Roman" w:hAnsi="Calibri" w:cs="Times New Roman"/>
          <w:lang w:eastAsia="pl-PL"/>
        </w:rPr>
        <w:t xml:space="preserve">),  13 odcinków  dróg powiatowych o łącznej długości 54,2km oraz 33  odcinki  dróg gminnych o łącznej długości </w:t>
      </w:r>
      <w:r w:rsidR="008E6844">
        <w:rPr>
          <w:rFonts w:ascii="Calibri" w:eastAsia="Times New Roman" w:hAnsi="Calibri" w:cs="Times New Roman"/>
          <w:lang w:eastAsia="pl-PL"/>
        </w:rPr>
        <w:t>41,3</w:t>
      </w:r>
      <w:r w:rsidRPr="00EE0C8C">
        <w:rPr>
          <w:rFonts w:ascii="Calibri" w:eastAsia="Times New Roman" w:hAnsi="Calibri" w:cs="Times New Roman"/>
          <w:lang w:eastAsia="pl-PL"/>
        </w:rPr>
        <w:t xml:space="preserve"> km. </w:t>
      </w:r>
    </w:p>
    <w:p w:rsidR="00EE0C8C" w:rsidRPr="00EE0C8C" w:rsidRDefault="00EE0C8C" w:rsidP="00EE0C8C">
      <w:pPr>
        <w:jc w:val="both"/>
        <w:rPr>
          <w:rFonts w:ascii="Calibri" w:eastAsia="Times New Roman" w:hAnsi="Calibri" w:cs="Times New Roman"/>
          <w:lang w:eastAsia="pl-PL"/>
        </w:rPr>
      </w:pPr>
      <w:r w:rsidRPr="00EE0C8C">
        <w:rPr>
          <w:rFonts w:ascii="Calibri" w:eastAsia="Times New Roman" w:hAnsi="Calibri" w:cs="Times New Roman"/>
          <w:lang w:eastAsia="pl-PL"/>
        </w:rPr>
        <w:t>Przebieg dróg powiatowych na terenie Gminy Mirzec:</w:t>
      </w:r>
    </w:p>
    <w:tbl>
      <w:tblPr>
        <w:tblStyle w:val="redniecieniowanie1akcent51"/>
        <w:tblW w:w="0" w:type="auto"/>
        <w:tblLook w:val="04A0" w:firstRow="1" w:lastRow="0" w:firstColumn="1" w:lastColumn="0" w:noHBand="0" w:noVBand="1"/>
      </w:tblPr>
      <w:tblGrid>
        <w:gridCol w:w="1242"/>
        <w:gridCol w:w="2721"/>
        <w:gridCol w:w="5325"/>
      </w:tblGrid>
      <w:tr w:rsidR="00EE0C8C" w:rsidRPr="00EE0C8C" w:rsidTr="00A76B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hideMark/>
          </w:tcPr>
          <w:p w:rsidR="00EE0C8C" w:rsidRPr="00EE0C8C" w:rsidRDefault="00EE0C8C" w:rsidP="00EE0C8C">
            <w:pPr>
              <w:jc w:val="center"/>
              <w:rPr>
                <w:rFonts w:ascii="Calibri" w:eastAsia="Times New Roman" w:hAnsi="Calibri" w:cs="Times New Roman"/>
                <w:lang w:eastAsia="pl-PL"/>
              </w:rPr>
            </w:pPr>
            <w:r w:rsidRPr="00EE0C8C">
              <w:rPr>
                <w:rFonts w:ascii="Calibri" w:eastAsia="Times New Roman" w:hAnsi="Calibri" w:cs="Times New Roman"/>
                <w:lang w:eastAsia="pl-PL"/>
              </w:rPr>
              <w:t>Nr ewid. dogi</w:t>
            </w:r>
          </w:p>
        </w:tc>
        <w:tc>
          <w:tcPr>
            <w:tcW w:w="2721" w:type="dxa"/>
            <w:hideMark/>
          </w:tcPr>
          <w:p w:rsidR="00EE0C8C" w:rsidRPr="00EE0C8C" w:rsidRDefault="00EE0C8C" w:rsidP="00EE0C8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pl-PL"/>
              </w:rPr>
            </w:pPr>
            <w:r w:rsidRPr="00EE0C8C">
              <w:rPr>
                <w:rFonts w:ascii="Calibri" w:eastAsia="Times New Roman" w:hAnsi="Calibri" w:cs="Times New Roman"/>
                <w:lang w:eastAsia="pl-PL"/>
              </w:rPr>
              <w:t>Stary nr ewid. drogi</w:t>
            </w:r>
          </w:p>
        </w:tc>
        <w:tc>
          <w:tcPr>
            <w:tcW w:w="5325" w:type="dxa"/>
            <w:hideMark/>
          </w:tcPr>
          <w:p w:rsidR="00EE0C8C" w:rsidRPr="00EE0C8C" w:rsidRDefault="00EE0C8C" w:rsidP="00EE0C8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pl-PL"/>
              </w:rPr>
            </w:pPr>
            <w:r w:rsidRPr="00EE0C8C">
              <w:rPr>
                <w:rFonts w:ascii="Calibri" w:eastAsia="Times New Roman" w:hAnsi="Calibri" w:cs="Times New Roman"/>
                <w:lang w:eastAsia="pl-PL"/>
              </w:rPr>
              <w:t>Nazwa drogi i opis przebiegu</w:t>
            </w:r>
          </w:p>
        </w:tc>
      </w:tr>
      <w:tr w:rsidR="00EE0C8C" w:rsidRPr="00EE0C8C" w:rsidTr="00A76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hideMark/>
          </w:tcPr>
          <w:p w:rsidR="00EE0C8C" w:rsidRPr="00EE0C8C" w:rsidRDefault="00EE0C8C" w:rsidP="00EE0C8C">
            <w:pPr>
              <w:jc w:val="center"/>
              <w:rPr>
                <w:rFonts w:ascii="Calibri" w:eastAsia="Times New Roman" w:hAnsi="Calibri" w:cs="Times New Roman"/>
                <w:lang w:eastAsia="pl-PL"/>
              </w:rPr>
            </w:pPr>
            <w:r w:rsidRPr="00EE0C8C">
              <w:rPr>
                <w:rFonts w:ascii="Calibri" w:eastAsia="Times New Roman" w:hAnsi="Calibri" w:cs="Times New Roman"/>
                <w:lang w:eastAsia="pl-PL"/>
              </w:rPr>
              <w:t>0557 T</w:t>
            </w:r>
          </w:p>
        </w:tc>
        <w:tc>
          <w:tcPr>
            <w:tcW w:w="2721" w:type="dxa"/>
            <w:hideMark/>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pl-PL"/>
              </w:rPr>
            </w:pPr>
            <w:r w:rsidRPr="00EE0C8C">
              <w:rPr>
                <w:rFonts w:ascii="Calibri" w:eastAsia="Times New Roman" w:hAnsi="Calibri" w:cs="Times New Roman"/>
                <w:lang w:eastAsia="pl-PL"/>
              </w:rPr>
              <w:t>15853</w:t>
            </w:r>
          </w:p>
        </w:tc>
        <w:tc>
          <w:tcPr>
            <w:tcW w:w="5325" w:type="dxa"/>
            <w:hideMark/>
          </w:tcPr>
          <w:p w:rsidR="00EE0C8C" w:rsidRPr="00EE0C8C" w:rsidRDefault="00EE0C8C" w:rsidP="00EE0C8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pl-PL"/>
              </w:rPr>
            </w:pPr>
            <w:r w:rsidRPr="00EE0C8C">
              <w:rPr>
                <w:rFonts w:ascii="Calibri" w:eastAsia="Times New Roman" w:hAnsi="Calibri" w:cs="Times New Roman"/>
                <w:u w:val="single"/>
                <w:lang w:eastAsia="pl-PL"/>
              </w:rPr>
              <w:t>Nazwa drogi</w:t>
            </w:r>
            <w:r w:rsidRPr="00EE0C8C">
              <w:rPr>
                <w:rFonts w:ascii="Calibri" w:eastAsia="Times New Roman" w:hAnsi="Calibri" w:cs="Times New Roman"/>
                <w:lang w:eastAsia="pl-PL"/>
              </w:rPr>
              <w:t xml:space="preserve">: </w:t>
            </w:r>
            <w:r w:rsidRPr="00EE0C8C">
              <w:rPr>
                <w:rFonts w:ascii="Calibri" w:eastAsia="Times New Roman" w:hAnsi="Calibri" w:cs="Times New Roman"/>
                <w:i/>
                <w:iCs/>
                <w:lang w:eastAsia="pl-PL"/>
              </w:rPr>
              <w:t>Skarżysko Kamienna - Mirzec</w:t>
            </w:r>
            <w:r w:rsidRPr="00EE0C8C">
              <w:rPr>
                <w:rFonts w:ascii="Calibri" w:eastAsia="Times New Roman" w:hAnsi="Calibri" w:cs="Times New Roman"/>
                <w:lang w:eastAsia="pl-PL"/>
              </w:rPr>
              <w:br/>
            </w:r>
            <w:r w:rsidRPr="00EE0C8C">
              <w:rPr>
                <w:rFonts w:ascii="Calibri" w:eastAsia="Times New Roman" w:hAnsi="Calibri" w:cs="Times New Roman"/>
                <w:u w:val="single"/>
                <w:lang w:eastAsia="pl-PL"/>
              </w:rPr>
              <w:t>Przebieg drogi</w:t>
            </w:r>
            <w:r w:rsidRPr="00EE0C8C">
              <w:rPr>
                <w:rFonts w:ascii="Calibri" w:eastAsia="Times New Roman" w:hAnsi="Calibri" w:cs="Times New Roman"/>
                <w:lang w:eastAsia="pl-PL"/>
              </w:rPr>
              <w:t>: odc. (Grzybowa Góra) gr. admin.powiatu – Gadka – Mirzec Ogrody –Mirzec - do dr. woj. nr 744</w:t>
            </w:r>
          </w:p>
        </w:tc>
      </w:tr>
      <w:tr w:rsidR="00EE0C8C" w:rsidRPr="00EE0C8C" w:rsidTr="00A76B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hideMark/>
          </w:tcPr>
          <w:p w:rsidR="00EE0C8C" w:rsidRPr="00EE0C8C" w:rsidRDefault="00EE0C8C" w:rsidP="00EE0C8C">
            <w:pPr>
              <w:jc w:val="center"/>
              <w:rPr>
                <w:rFonts w:ascii="Calibri" w:eastAsia="Times New Roman" w:hAnsi="Calibri" w:cs="Times New Roman"/>
                <w:lang w:eastAsia="pl-PL"/>
              </w:rPr>
            </w:pPr>
            <w:r w:rsidRPr="00EE0C8C">
              <w:rPr>
                <w:rFonts w:ascii="Calibri" w:eastAsia="Times New Roman" w:hAnsi="Calibri" w:cs="Times New Roman"/>
                <w:lang w:eastAsia="pl-PL"/>
              </w:rPr>
              <w:t>0558 T</w:t>
            </w:r>
          </w:p>
        </w:tc>
        <w:tc>
          <w:tcPr>
            <w:tcW w:w="2721" w:type="dxa"/>
            <w:hideMark/>
          </w:tcPr>
          <w:p w:rsidR="00EE0C8C" w:rsidRPr="00EE0C8C" w:rsidRDefault="00EE0C8C" w:rsidP="00EE0C8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lang w:eastAsia="pl-PL"/>
              </w:rPr>
            </w:pPr>
            <w:r w:rsidRPr="00EE0C8C">
              <w:rPr>
                <w:rFonts w:ascii="Calibri" w:eastAsia="Times New Roman" w:hAnsi="Calibri" w:cs="Times New Roman"/>
                <w:lang w:eastAsia="pl-PL"/>
              </w:rPr>
              <w:t>15854</w:t>
            </w:r>
          </w:p>
        </w:tc>
        <w:tc>
          <w:tcPr>
            <w:tcW w:w="5325" w:type="dxa"/>
            <w:hideMark/>
          </w:tcPr>
          <w:p w:rsidR="00EE0C8C" w:rsidRPr="00EE0C8C" w:rsidRDefault="00EE0C8C" w:rsidP="00EE0C8C">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lang w:eastAsia="pl-PL"/>
              </w:rPr>
            </w:pPr>
            <w:r w:rsidRPr="00EE0C8C">
              <w:rPr>
                <w:rFonts w:ascii="Calibri" w:eastAsia="Times New Roman" w:hAnsi="Calibri" w:cs="Times New Roman"/>
                <w:u w:val="single"/>
                <w:lang w:eastAsia="pl-PL"/>
              </w:rPr>
              <w:t>Nazwa drogi</w:t>
            </w:r>
            <w:r w:rsidRPr="00EE0C8C">
              <w:rPr>
                <w:rFonts w:ascii="Calibri" w:eastAsia="Times New Roman" w:hAnsi="Calibri" w:cs="Times New Roman"/>
                <w:lang w:eastAsia="pl-PL"/>
              </w:rPr>
              <w:t xml:space="preserve">: </w:t>
            </w:r>
            <w:r w:rsidRPr="00EE0C8C">
              <w:rPr>
                <w:rFonts w:ascii="Calibri" w:eastAsia="Times New Roman" w:hAnsi="Calibri" w:cs="Times New Roman"/>
                <w:i/>
                <w:iCs/>
                <w:lang w:eastAsia="pl-PL"/>
              </w:rPr>
              <w:t>(Zbijów Duży) – gr. woj. świętokrzysk. – Jagodne – Grzybowa Góra</w:t>
            </w:r>
            <w:r w:rsidRPr="00EE0C8C">
              <w:rPr>
                <w:rFonts w:ascii="Calibri" w:eastAsia="Times New Roman" w:hAnsi="Calibri" w:cs="Times New Roman"/>
                <w:lang w:eastAsia="pl-PL"/>
              </w:rPr>
              <w:br/>
            </w:r>
            <w:r w:rsidRPr="00EE0C8C">
              <w:rPr>
                <w:rFonts w:ascii="Calibri" w:eastAsia="Times New Roman" w:hAnsi="Calibri" w:cs="Times New Roman"/>
                <w:u w:val="single"/>
                <w:lang w:eastAsia="pl-PL"/>
              </w:rPr>
              <w:t>Przebieg drogi</w:t>
            </w:r>
            <w:r w:rsidRPr="00EE0C8C">
              <w:rPr>
                <w:rFonts w:ascii="Calibri" w:eastAsia="Times New Roman" w:hAnsi="Calibri" w:cs="Times New Roman"/>
                <w:lang w:eastAsia="pl-PL"/>
              </w:rPr>
              <w:t>: odc. (Zbijów Duży) gr. woj. świętokrzys., gr. powiatu – Jagodne – gr. administr. powiatu (Grzybowa Góra)</w:t>
            </w:r>
          </w:p>
        </w:tc>
      </w:tr>
      <w:tr w:rsidR="00EE0C8C" w:rsidRPr="00EE0C8C" w:rsidTr="00A76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hideMark/>
          </w:tcPr>
          <w:p w:rsidR="00EE0C8C" w:rsidRPr="00EE0C8C" w:rsidRDefault="00EE0C8C" w:rsidP="00EE0C8C">
            <w:pPr>
              <w:jc w:val="center"/>
              <w:rPr>
                <w:rFonts w:ascii="Calibri" w:eastAsia="Times New Roman" w:hAnsi="Calibri" w:cs="Times New Roman"/>
                <w:lang w:eastAsia="pl-PL"/>
              </w:rPr>
            </w:pPr>
            <w:r w:rsidRPr="00EE0C8C">
              <w:rPr>
                <w:rFonts w:ascii="Calibri" w:eastAsia="Times New Roman" w:hAnsi="Calibri" w:cs="Times New Roman"/>
                <w:lang w:eastAsia="pl-PL"/>
              </w:rPr>
              <w:t>0559 T</w:t>
            </w:r>
          </w:p>
        </w:tc>
        <w:tc>
          <w:tcPr>
            <w:tcW w:w="2721" w:type="dxa"/>
            <w:hideMark/>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pl-PL"/>
              </w:rPr>
            </w:pPr>
            <w:r w:rsidRPr="00EE0C8C">
              <w:rPr>
                <w:rFonts w:ascii="Calibri" w:eastAsia="Times New Roman" w:hAnsi="Calibri" w:cs="Times New Roman"/>
                <w:lang w:eastAsia="pl-PL"/>
              </w:rPr>
              <w:t>15855</w:t>
            </w:r>
          </w:p>
        </w:tc>
        <w:tc>
          <w:tcPr>
            <w:tcW w:w="5325" w:type="dxa"/>
            <w:hideMark/>
          </w:tcPr>
          <w:p w:rsidR="00EE0C8C" w:rsidRPr="00EE0C8C" w:rsidRDefault="00EE0C8C" w:rsidP="00EE0C8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pl-PL"/>
              </w:rPr>
            </w:pPr>
            <w:r w:rsidRPr="00EE0C8C">
              <w:rPr>
                <w:rFonts w:ascii="Calibri" w:eastAsia="Times New Roman" w:hAnsi="Calibri" w:cs="Times New Roman"/>
                <w:u w:val="single"/>
                <w:lang w:eastAsia="pl-PL"/>
              </w:rPr>
              <w:t>Nazwa drogi</w:t>
            </w:r>
            <w:r w:rsidRPr="00EE0C8C">
              <w:rPr>
                <w:rFonts w:ascii="Calibri" w:eastAsia="Times New Roman" w:hAnsi="Calibri" w:cs="Times New Roman"/>
                <w:lang w:eastAsia="pl-PL"/>
              </w:rPr>
              <w:t xml:space="preserve">: </w:t>
            </w:r>
            <w:r w:rsidRPr="00EE0C8C">
              <w:rPr>
                <w:rFonts w:ascii="Calibri" w:eastAsia="Times New Roman" w:hAnsi="Calibri" w:cs="Times New Roman"/>
                <w:i/>
                <w:iCs/>
                <w:lang w:eastAsia="pl-PL"/>
              </w:rPr>
              <w:t>Jagodne - Gadka</w:t>
            </w:r>
            <w:r w:rsidRPr="00EE0C8C">
              <w:rPr>
                <w:rFonts w:ascii="Calibri" w:eastAsia="Times New Roman" w:hAnsi="Calibri" w:cs="Times New Roman"/>
                <w:lang w:eastAsia="pl-PL"/>
              </w:rPr>
              <w:br/>
            </w:r>
            <w:r w:rsidRPr="00EE0C8C">
              <w:rPr>
                <w:rFonts w:ascii="Calibri" w:eastAsia="Times New Roman" w:hAnsi="Calibri" w:cs="Times New Roman"/>
                <w:u w:val="single"/>
                <w:lang w:eastAsia="pl-PL"/>
              </w:rPr>
              <w:t>Przebieg drogi</w:t>
            </w:r>
            <w:r w:rsidRPr="00EE0C8C">
              <w:rPr>
                <w:rFonts w:ascii="Calibri" w:eastAsia="Times New Roman" w:hAnsi="Calibri" w:cs="Times New Roman"/>
                <w:lang w:eastAsia="pl-PL"/>
              </w:rPr>
              <w:t>: od dr. powiat. nr 0558 T – Jagodne – Gadka – do dr. powiat. nr 0557 T</w:t>
            </w:r>
          </w:p>
        </w:tc>
      </w:tr>
      <w:tr w:rsidR="00EE0C8C" w:rsidRPr="00EE0C8C" w:rsidTr="00A76B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hideMark/>
          </w:tcPr>
          <w:p w:rsidR="00EE0C8C" w:rsidRPr="00EE0C8C" w:rsidRDefault="00EE0C8C" w:rsidP="00EE0C8C">
            <w:pPr>
              <w:jc w:val="center"/>
              <w:rPr>
                <w:rFonts w:ascii="Calibri" w:eastAsia="Times New Roman" w:hAnsi="Calibri" w:cs="Times New Roman"/>
                <w:lang w:eastAsia="pl-PL"/>
              </w:rPr>
            </w:pPr>
            <w:r w:rsidRPr="00EE0C8C">
              <w:rPr>
                <w:rFonts w:ascii="Calibri" w:eastAsia="Times New Roman" w:hAnsi="Calibri" w:cs="Times New Roman"/>
                <w:lang w:eastAsia="pl-PL"/>
              </w:rPr>
              <w:t>0560 T</w:t>
            </w:r>
          </w:p>
        </w:tc>
        <w:tc>
          <w:tcPr>
            <w:tcW w:w="2721" w:type="dxa"/>
            <w:hideMark/>
          </w:tcPr>
          <w:p w:rsidR="00EE0C8C" w:rsidRPr="00EE0C8C" w:rsidRDefault="00EE0C8C" w:rsidP="00EE0C8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lang w:eastAsia="pl-PL"/>
              </w:rPr>
            </w:pPr>
            <w:r w:rsidRPr="00EE0C8C">
              <w:rPr>
                <w:rFonts w:ascii="Calibri" w:eastAsia="Times New Roman" w:hAnsi="Calibri" w:cs="Times New Roman"/>
                <w:lang w:eastAsia="pl-PL"/>
              </w:rPr>
              <w:t>15856</w:t>
            </w:r>
          </w:p>
        </w:tc>
        <w:tc>
          <w:tcPr>
            <w:tcW w:w="5325" w:type="dxa"/>
            <w:hideMark/>
          </w:tcPr>
          <w:p w:rsidR="00EE0C8C" w:rsidRPr="00EE0C8C" w:rsidRDefault="00EE0C8C" w:rsidP="00EE0C8C">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lang w:eastAsia="pl-PL"/>
              </w:rPr>
            </w:pPr>
            <w:r w:rsidRPr="00EE0C8C">
              <w:rPr>
                <w:rFonts w:ascii="Calibri" w:eastAsia="Times New Roman" w:hAnsi="Calibri" w:cs="Times New Roman"/>
                <w:u w:val="single"/>
                <w:lang w:eastAsia="pl-PL"/>
              </w:rPr>
              <w:t>Nazwa drog</w:t>
            </w:r>
            <w:r w:rsidRPr="00EE0C8C">
              <w:rPr>
                <w:rFonts w:ascii="Calibri" w:eastAsia="Times New Roman" w:hAnsi="Calibri" w:cs="Times New Roman"/>
                <w:lang w:eastAsia="pl-PL"/>
              </w:rPr>
              <w:t xml:space="preserve">i: </w:t>
            </w:r>
            <w:r w:rsidRPr="00EE0C8C">
              <w:rPr>
                <w:rFonts w:ascii="Calibri" w:eastAsia="Times New Roman" w:hAnsi="Calibri" w:cs="Times New Roman"/>
                <w:i/>
                <w:iCs/>
                <w:lang w:eastAsia="pl-PL"/>
              </w:rPr>
              <w:t>Podkowalów – Mirzec – Poddąbrowa</w:t>
            </w:r>
            <w:r w:rsidRPr="00EE0C8C">
              <w:rPr>
                <w:rFonts w:ascii="Calibri" w:eastAsia="Times New Roman" w:hAnsi="Calibri" w:cs="Times New Roman"/>
                <w:lang w:eastAsia="pl-PL"/>
              </w:rPr>
              <w:br/>
            </w:r>
            <w:r w:rsidRPr="00EE0C8C">
              <w:rPr>
                <w:rFonts w:ascii="Calibri" w:eastAsia="Times New Roman" w:hAnsi="Calibri" w:cs="Times New Roman"/>
                <w:u w:val="single"/>
                <w:lang w:eastAsia="pl-PL"/>
              </w:rPr>
              <w:t>Przebieg drogi</w:t>
            </w:r>
            <w:r w:rsidRPr="00EE0C8C">
              <w:rPr>
                <w:rFonts w:ascii="Calibri" w:eastAsia="Times New Roman" w:hAnsi="Calibri" w:cs="Times New Roman"/>
                <w:lang w:eastAsia="pl-PL"/>
              </w:rPr>
              <w:t xml:space="preserve">: od dr. dojazdowej do pól – Podkowalów </w:t>
            </w:r>
            <w:r w:rsidRPr="00EE0C8C">
              <w:rPr>
                <w:rFonts w:ascii="Calibri" w:eastAsia="Times New Roman" w:hAnsi="Calibri" w:cs="Times New Roman"/>
                <w:lang w:eastAsia="pl-PL"/>
              </w:rPr>
              <w:lastRenderedPageBreak/>
              <w:t>– Mirzec – Poddąbrowa – do dr. powiat. nr 0561 T</w:t>
            </w:r>
          </w:p>
        </w:tc>
      </w:tr>
      <w:tr w:rsidR="00EE0C8C" w:rsidRPr="00EE0C8C" w:rsidTr="00A76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hideMark/>
          </w:tcPr>
          <w:p w:rsidR="00EE0C8C" w:rsidRPr="00EE0C8C" w:rsidRDefault="00EE0C8C" w:rsidP="00EE0C8C">
            <w:pPr>
              <w:jc w:val="center"/>
              <w:rPr>
                <w:rFonts w:ascii="Calibri" w:eastAsia="Times New Roman" w:hAnsi="Calibri" w:cs="Times New Roman"/>
                <w:lang w:eastAsia="pl-PL"/>
              </w:rPr>
            </w:pPr>
            <w:r w:rsidRPr="00EE0C8C">
              <w:rPr>
                <w:rFonts w:ascii="Calibri" w:eastAsia="Times New Roman" w:hAnsi="Calibri" w:cs="Times New Roman"/>
                <w:lang w:eastAsia="pl-PL"/>
              </w:rPr>
              <w:lastRenderedPageBreak/>
              <w:t>0561 T</w:t>
            </w:r>
          </w:p>
        </w:tc>
        <w:tc>
          <w:tcPr>
            <w:tcW w:w="2721" w:type="dxa"/>
            <w:hideMark/>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pl-PL"/>
              </w:rPr>
            </w:pPr>
            <w:r w:rsidRPr="00EE0C8C">
              <w:rPr>
                <w:rFonts w:ascii="Calibri" w:eastAsia="Times New Roman" w:hAnsi="Calibri" w:cs="Times New Roman"/>
                <w:lang w:eastAsia="pl-PL"/>
              </w:rPr>
              <w:t>15857</w:t>
            </w:r>
          </w:p>
        </w:tc>
        <w:tc>
          <w:tcPr>
            <w:tcW w:w="5325" w:type="dxa"/>
            <w:hideMark/>
          </w:tcPr>
          <w:p w:rsidR="00EE0C8C" w:rsidRPr="00EE0C8C" w:rsidRDefault="00EE0C8C" w:rsidP="00EE0C8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pl-PL"/>
              </w:rPr>
            </w:pPr>
            <w:r w:rsidRPr="00EE0C8C">
              <w:rPr>
                <w:rFonts w:ascii="Calibri" w:eastAsia="Times New Roman" w:hAnsi="Calibri" w:cs="Times New Roman"/>
                <w:u w:val="single"/>
                <w:lang w:eastAsia="pl-PL"/>
              </w:rPr>
              <w:t>Nazwa drogi</w:t>
            </w:r>
            <w:r w:rsidRPr="00EE0C8C">
              <w:rPr>
                <w:rFonts w:ascii="Calibri" w:eastAsia="Times New Roman" w:hAnsi="Calibri" w:cs="Times New Roman"/>
                <w:lang w:eastAsia="pl-PL"/>
              </w:rPr>
              <w:t xml:space="preserve">: </w:t>
            </w:r>
            <w:r w:rsidRPr="00EE0C8C">
              <w:rPr>
                <w:rFonts w:ascii="Calibri" w:eastAsia="Times New Roman" w:hAnsi="Calibri" w:cs="Times New Roman"/>
                <w:i/>
                <w:iCs/>
                <w:lang w:eastAsia="pl-PL"/>
              </w:rPr>
              <w:t>Mirzec (Ogrody) – Poddąbrowa – Tychów Stary – dr. woj. nr 744</w:t>
            </w:r>
            <w:r w:rsidRPr="00EE0C8C">
              <w:rPr>
                <w:rFonts w:ascii="Calibri" w:eastAsia="Times New Roman" w:hAnsi="Calibri" w:cs="Times New Roman"/>
                <w:lang w:eastAsia="pl-PL"/>
              </w:rPr>
              <w:br/>
            </w:r>
            <w:r w:rsidRPr="00EE0C8C">
              <w:rPr>
                <w:rFonts w:ascii="Calibri" w:eastAsia="Times New Roman" w:hAnsi="Calibri" w:cs="Times New Roman"/>
                <w:u w:val="single"/>
                <w:lang w:eastAsia="pl-PL"/>
              </w:rPr>
              <w:t>Przebieg drogi</w:t>
            </w:r>
            <w:r w:rsidRPr="00EE0C8C">
              <w:rPr>
                <w:rFonts w:ascii="Calibri" w:eastAsia="Times New Roman" w:hAnsi="Calibri" w:cs="Times New Roman"/>
                <w:lang w:eastAsia="pl-PL"/>
              </w:rPr>
              <w:t>: od dr. powiat. nr 0557 T – Mirzec Ogrody – Poddąbrowa – Malcówki – Tychów Stary – od dr. woj. nr 744</w:t>
            </w:r>
          </w:p>
        </w:tc>
      </w:tr>
      <w:tr w:rsidR="00EE0C8C" w:rsidRPr="00EE0C8C" w:rsidTr="00A76B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hideMark/>
          </w:tcPr>
          <w:p w:rsidR="00EE0C8C" w:rsidRPr="00EE0C8C" w:rsidRDefault="00EE0C8C" w:rsidP="00EE0C8C">
            <w:pPr>
              <w:jc w:val="center"/>
              <w:rPr>
                <w:rFonts w:ascii="Calibri" w:eastAsia="Times New Roman" w:hAnsi="Calibri" w:cs="Times New Roman"/>
                <w:lang w:eastAsia="pl-PL"/>
              </w:rPr>
            </w:pPr>
            <w:r w:rsidRPr="00EE0C8C">
              <w:rPr>
                <w:rFonts w:ascii="Calibri" w:eastAsia="Times New Roman" w:hAnsi="Calibri" w:cs="Times New Roman"/>
                <w:lang w:eastAsia="pl-PL"/>
              </w:rPr>
              <w:t>0563 T</w:t>
            </w:r>
          </w:p>
        </w:tc>
        <w:tc>
          <w:tcPr>
            <w:tcW w:w="2721" w:type="dxa"/>
            <w:hideMark/>
          </w:tcPr>
          <w:p w:rsidR="00EE0C8C" w:rsidRPr="00EE0C8C" w:rsidRDefault="00EE0C8C" w:rsidP="00EE0C8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lang w:eastAsia="pl-PL"/>
              </w:rPr>
            </w:pPr>
            <w:r w:rsidRPr="00EE0C8C">
              <w:rPr>
                <w:rFonts w:ascii="Calibri" w:eastAsia="Times New Roman" w:hAnsi="Calibri" w:cs="Times New Roman"/>
                <w:lang w:eastAsia="pl-PL"/>
              </w:rPr>
              <w:t>15858</w:t>
            </w:r>
          </w:p>
        </w:tc>
        <w:tc>
          <w:tcPr>
            <w:tcW w:w="5325" w:type="dxa"/>
            <w:hideMark/>
          </w:tcPr>
          <w:p w:rsidR="00EE0C8C" w:rsidRPr="00EE0C8C" w:rsidRDefault="00EE0C8C" w:rsidP="00EE0C8C">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lang w:eastAsia="pl-PL"/>
              </w:rPr>
            </w:pPr>
            <w:r w:rsidRPr="00EE0C8C">
              <w:rPr>
                <w:rFonts w:ascii="Calibri" w:eastAsia="Times New Roman" w:hAnsi="Calibri" w:cs="Times New Roman"/>
                <w:u w:val="single"/>
                <w:lang w:eastAsia="pl-PL"/>
              </w:rPr>
              <w:t>Nazwa drogi</w:t>
            </w:r>
            <w:r w:rsidRPr="00EE0C8C">
              <w:rPr>
                <w:rFonts w:ascii="Calibri" w:eastAsia="Times New Roman" w:hAnsi="Calibri" w:cs="Times New Roman"/>
                <w:lang w:eastAsia="pl-PL"/>
              </w:rPr>
              <w:t xml:space="preserve">: </w:t>
            </w:r>
            <w:r w:rsidRPr="00EE0C8C">
              <w:rPr>
                <w:rFonts w:ascii="Calibri" w:eastAsia="Times New Roman" w:hAnsi="Calibri" w:cs="Times New Roman"/>
                <w:i/>
                <w:iCs/>
                <w:lang w:eastAsia="pl-PL"/>
              </w:rPr>
              <w:t>Mirzec – Wąchock</w:t>
            </w:r>
            <w:r w:rsidRPr="00EE0C8C">
              <w:rPr>
                <w:rFonts w:ascii="Calibri" w:eastAsia="Times New Roman" w:hAnsi="Calibri" w:cs="Times New Roman"/>
                <w:lang w:eastAsia="pl-PL"/>
              </w:rPr>
              <w:br/>
            </w:r>
            <w:r w:rsidRPr="00EE0C8C">
              <w:rPr>
                <w:rFonts w:ascii="Calibri" w:eastAsia="Times New Roman" w:hAnsi="Calibri" w:cs="Times New Roman"/>
                <w:u w:val="single"/>
                <w:lang w:eastAsia="pl-PL"/>
              </w:rPr>
              <w:t>Przebieg drogi</w:t>
            </w:r>
            <w:r w:rsidRPr="00EE0C8C">
              <w:rPr>
                <w:rFonts w:ascii="Calibri" w:eastAsia="Times New Roman" w:hAnsi="Calibri" w:cs="Times New Roman"/>
                <w:lang w:eastAsia="pl-PL"/>
              </w:rPr>
              <w:t>: odc. od dr. woj. nr 744 – Mirzec – ul. Langiewicza – Wąchock, ul. Radomska – ul. Kolejowa – do dr. kraj nr. 42</w:t>
            </w:r>
          </w:p>
        </w:tc>
      </w:tr>
      <w:tr w:rsidR="00EE0C8C" w:rsidRPr="00EE0C8C" w:rsidTr="00A76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hideMark/>
          </w:tcPr>
          <w:p w:rsidR="00EE0C8C" w:rsidRPr="00EE0C8C" w:rsidRDefault="00EE0C8C" w:rsidP="00EE0C8C">
            <w:pPr>
              <w:jc w:val="center"/>
              <w:rPr>
                <w:rFonts w:ascii="Calibri" w:eastAsia="Times New Roman" w:hAnsi="Calibri" w:cs="Times New Roman"/>
                <w:lang w:eastAsia="pl-PL"/>
              </w:rPr>
            </w:pPr>
            <w:r w:rsidRPr="00EE0C8C">
              <w:rPr>
                <w:rFonts w:ascii="Calibri" w:eastAsia="Times New Roman" w:hAnsi="Calibri" w:cs="Times New Roman"/>
                <w:lang w:eastAsia="pl-PL"/>
              </w:rPr>
              <w:t>0564 T</w:t>
            </w:r>
          </w:p>
        </w:tc>
        <w:tc>
          <w:tcPr>
            <w:tcW w:w="2721" w:type="dxa"/>
            <w:hideMark/>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pl-PL"/>
              </w:rPr>
            </w:pPr>
            <w:r w:rsidRPr="00EE0C8C">
              <w:rPr>
                <w:rFonts w:ascii="Calibri" w:eastAsia="Times New Roman" w:hAnsi="Calibri" w:cs="Times New Roman"/>
                <w:lang w:eastAsia="pl-PL"/>
              </w:rPr>
              <w:t>15859</w:t>
            </w:r>
          </w:p>
        </w:tc>
        <w:tc>
          <w:tcPr>
            <w:tcW w:w="5325" w:type="dxa"/>
            <w:hideMark/>
          </w:tcPr>
          <w:p w:rsidR="00EE0C8C" w:rsidRPr="00EE0C8C" w:rsidRDefault="00EE0C8C" w:rsidP="00EE0C8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pl-PL"/>
              </w:rPr>
            </w:pPr>
            <w:r w:rsidRPr="00EE0C8C">
              <w:rPr>
                <w:rFonts w:ascii="Calibri" w:eastAsia="Times New Roman" w:hAnsi="Calibri" w:cs="Times New Roman"/>
                <w:u w:val="single"/>
                <w:lang w:eastAsia="pl-PL"/>
              </w:rPr>
              <w:t>Nazwa drogi</w:t>
            </w:r>
            <w:r w:rsidRPr="00EE0C8C">
              <w:rPr>
                <w:rFonts w:ascii="Calibri" w:eastAsia="Times New Roman" w:hAnsi="Calibri" w:cs="Times New Roman"/>
                <w:lang w:eastAsia="pl-PL"/>
              </w:rPr>
              <w:t xml:space="preserve">: </w:t>
            </w:r>
            <w:r w:rsidRPr="00EE0C8C">
              <w:rPr>
                <w:rFonts w:ascii="Calibri" w:eastAsia="Times New Roman" w:hAnsi="Calibri" w:cs="Times New Roman"/>
                <w:i/>
                <w:iCs/>
                <w:lang w:eastAsia="pl-PL"/>
              </w:rPr>
              <w:t>przez wieś Malcówki</w:t>
            </w:r>
            <w:r w:rsidRPr="00EE0C8C">
              <w:rPr>
                <w:rFonts w:ascii="Calibri" w:eastAsia="Times New Roman" w:hAnsi="Calibri" w:cs="Times New Roman"/>
                <w:lang w:eastAsia="pl-PL"/>
              </w:rPr>
              <w:br/>
            </w:r>
            <w:r w:rsidRPr="00EE0C8C">
              <w:rPr>
                <w:rFonts w:ascii="Calibri" w:eastAsia="Times New Roman" w:hAnsi="Calibri" w:cs="Times New Roman"/>
                <w:u w:val="single"/>
                <w:lang w:eastAsia="pl-PL"/>
              </w:rPr>
              <w:t>Przebieg drogi</w:t>
            </w:r>
            <w:r w:rsidRPr="00EE0C8C">
              <w:rPr>
                <w:rFonts w:ascii="Calibri" w:eastAsia="Times New Roman" w:hAnsi="Calibri" w:cs="Times New Roman"/>
                <w:lang w:eastAsia="pl-PL"/>
              </w:rPr>
              <w:t>: od dr. woj. nr 744 – Mirzec – przez wieś Malcówki – do dr. powiat. nr 0561 T</w:t>
            </w:r>
          </w:p>
        </w:tc>
      </w:tr>
      <w:tr w:rsidR="00EE0C8C" w:rsidRPr="00EE0C8C" w:rsidTr="00A76B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hideMark/>
          </w:tcPr>
          <w:p w:rsidR="00EE0C8C" w:rsidRPr="00EE0C8C" w:rsidRDefault="00EE0C8C" w:rsidP="00EE0C8C">
            <w:pPr>
              <w:jc w:val="center"/>
              <w:rPr>
                <w:rFonts w:ascii="Calibri" w:eastAsia="Times New Roman" w:hAnsi="Calibri" w:cs="Times New Roman"/>
                <w:lang w:eastAsia="pl-PL"/>
              </w:rPr>
            </w:pPr>
            <w:r w:rsidRPr="00EE0C8C">
              <w:rPr>
                <w:rFonts w:ascii="Calibri" w:eastAsia="Times New Roman" w:hAnsi="Calibri" w:cs="Times New Roman"/>
                <w:lang w:eastAsia="pl-PL"/>
              </w:rPr>
              <w:t>0565 T</w:t>
            </w:r>
          </w:p>
        </w:tc>
        <w:tc>
          <w:tcPr>
            <w:tcW w:w="2721" w:type="dxa"/>
            <w:hideMark/>
          </w:tcPr>
          <w:p w:rsidR="00EE0C8C" w:rsidRPr="00EE0C8C" w:rsidRDefault="00EE0C8C" w:rsidP="00EE0C8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lang w:eastAsia="pl-PL"/>
              </w:rPr>
            </w:pPr>
            <w:r w:rsidRPr="00EE0C8C">
              <w:rPr>
                <w:rFonts w:ascii="Calibri" w:eastAsia="Times New Roman" w:hAnsi="Calibri" w:cs="Times New Roman"/>
                <w:lang w:eastAsia="pl-PL"/>
              </w:rPr>
              <w:t>15860</w:t>
            </w:r>
          </w:p>
        </w:tc>
        <w:tc>
          <w:tcPr>
            <w:tcW w:w="5325" w:type="dxa"/>
            <w:hideMark/>
          </w:tcPr>
          <w:p w:rsidR="00EE0C8C" w:rsidRPr="00EE0C8C" w:rsidRDefault="00EE0C8C" w:rsidP="00EE0C8C">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lang w:eastAsia="pl-PL"/>
              </w:rPr>
            </w:pPr>
            <w:r w:rsidRPr="00EE0C8C">
              <w:rPr>
                <w:rFonts w:ascii="Calibri" w:eastAsia="Times New Roman" w:hAnsi="Calibri" w:cs="Times New Roman"/>
                <w:u w:val="single"/>
                <w:lang w:eastAsia="pl-PL"/>
              </w:rPr>
              <w:t>Nazwa drogi</w:t>
            </w:r>
            <w:r w:rsidRPr="00EE0C8C">
              <w:rPr>
                <w:rFonts w:ascii="Calibri" w:eastAsia="Times New Roman" w:hAnsi="Calibri" w:cs="Times New Roman"/>
                <w:lang w:eastAsia="pl-PL"/>
              </w:rPr>
              <w:t xml:space="preserve">: </w:t>
            </w:r>
            <w:r w:rsidRPr="00EE0C8C">
              <w:rPr>
                <w:rFonts w:ascii="Calibri" w:eastAsia="Times New Roman" w:hAnsi="Calibri" w:cs="Times New Roman"/>
                <w:i/>
                <w:iCs/>
                <w:lang w:eastAsia="pl-PL"/>
              </w:rPr>
              <w:t>Tychów Nowy – Ostrożanka</w:t>
            </w:r>
            <w:r w:rsidRPr="00EE0C8C">
              <w:rPr>
                <w:rFonts w:ascii="Calibri" w:eastAsia="Times New Roman" w:hAnsi="Calibri" w:cs="Times New Roman"/>
                <w:lang w:eastAsia="pl-PL"/>
              </w:rPr>
              <w:br/>
            </w:r>
            <w:r w:rsidRPr="00EE0C8C">
              <w:rPr>
                <w:rFonts w:ascii="Calibri" w:eastAsia="Times New Roman" w:hAnsi="Calibri" w:cs="Times New Roman"/>
                <w:u w:val="single"/>
                <w:lang w:eastAsia="pl-PL"/>
              </w:rPr>
              <w:t>Przebieg drogi</w:t>
            </w:r>
            <w:r w:rsidRPr="00EE0C8C">
              <w:rPr>
                <w:rFonts w:ascii="Calibri" w:eastAsia="Times New Roman" w:hAnsi="Calibri" w:cs="Times New Roman"/>
                <w:lang w:eastAsia="pl-PL"/>
              </w:rPr>
              <w:t>: od m. Tychów Nowy – przez wieś (wspólny przebieg z drogą powiat . nr 0566 T od drogi do ujęcia wody w m. Trębowiec do skrzyżowania z dr. powiat. nr 0566 T w kierunku m. Seredzice) – Ostrożanka przez wieś – do dr. powiat. nr 0567 T</w:t>
            </w:r>
          </w:p>
        </w:tc>
      </w:tr>
      <w:tr w:rsidR="00EE0C8C" w:rsidRPr="00EE0C8C" w:rsidTr="00A76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hideMark/>
          </w:tcPr>
          <w:p w:rsidR="00EE0C8C" w:rsidRPr="00EE0C8C" w:rsidRDefault="00EE0C8C" w:rsidP="00EE0C8C">
            <w:pPr>
              <w:jc w:val="center"/>
              <w:rPr>
                <w:rFonts w:ascii="Calibri" w:eastAsia="Times New Roman" w:hAnsi="Calibri" w:cs="Times New Roman"/>
                <w:lang w:eastAsia="pl-PL"/>
              </w:rPr>
            </w:pPr>
            <w:r w:rsidRPr="00EE0C8C">
              <w:rPr>
                <w:rFonts w:ascii="Calibri" w:eastAsia="Times New Roman" w:hAnsi="Calibri" w:cs="Times New Roman"/>
                <w:lang w:eastAsia="pl-PL"/>
              </w:rPr>
              <w:t>0566 T</w:t>
            </w:r>
          </w:p>
        </w:tc>
        <w:tc>
          <w:tcPr>
            <w:tcW w:w="2721" w:type="dxa"/>
            <w:hideMark/>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pl-PL"/>
              </w:rPr>
            </w:pPr>
            <w:r w:rsidRPr="00EE0C8C">
              <w:rPr>
                <w:rFonts w:ascii="Calibri" w:eastAsia="Times New Roman" w:hAnsi="Calibri" w:cs="Times New Roman"/>
                <w:lang w:eastAsia="pl-PL"/>
              </w:rPr>
              <w:t>15861</w:t>
            </w:r>
          </w:p>
        </w:tc>
        <w:tc>
          <w:tcPr>
            <w:tcW w:w="5325" w:type="dxa"/>
            <w:hideMark/>
          </w:tcPr>
          <w:p w:rsidR="00EE0C8C" w:rsidRPr="00EE0C8C" w:rsidRDefault="00EE0C8C" w:rsidP="00EE0C8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pl-PL"/>
              </w:rPr>
            </w:pPr>
            <w:r w:rsidRPr="00EE0C8C">
              <w:rPr>
                <w:rFonts w:ascii="Calibri" w:eastAsia="Times New Roman" w:hAnsi="Calibri" w:cs="Times New Roman"/>
                <w:u w:val="single"/>
                <w:lang w:eastAsia="pl-PL"/>
              </w:rPr>
              <w:t>Nazwa drogi</w:t>
            </w:r>
            <w:r w:rsidRPr="00EE0C8C">
              <w:rPr>
                <w:rFonts w:ascii="Calibri" w:eastAsia="Times New Roman" w:hAnsi="Calibri" w:cs="Times New Roman"/>
                <w:lang w:eastAsia="pl-PL"/>
              </w:rPr>
              <w:t xml:space="preserve">: </w:t>
            </w:r>
            <w:r w:rsidRPr="00EE0C8C">
              <w:rPr>
                <w:rFonts w:ascii="Calibri" w:eastAsia="Times New Roman" w:hAnsi="Calibri" w:cs="Times New Roman"/>
                <w:i/>
                <w:iCs/>
                <w:lang w:eastAsia="pl-PL"/>
              </w:rPr>
              <w:t>(Seredzice) gr. woj. świętokrzyskiego – Tychów Nowy – Tychów Stary</w:t>
            </w:r>
            <w:r w:rsidRPr="00EE0C8C">
              <w:rPr>
                <w:rFonts w:ascii="Calibri" w:eastAsia="Times New Roman" w:hAnsi="Calibri" w:cs="Times New Roman"/>
                <w:lang w:eastAsia="pl-PL"/>
              </w:rPr>
              <w:br/>
            </w:r>
            <w:r w:rsidRPr="00EE0C8C">
              <w:rPr>
                <w:rFonts w:ascii="Calibri" w:eastAsia="Times New Roman" w:hAnsi="Calibri" w:cs="Times New Roman"/>
                <w:u w:val="single"/>
                <w:lang w:eastAsia="pl-PL"/>
              </w:rPr>
              <w:t>Przebieg drogi</w:t>
            </w:r>
            <w:r w:rsidRPr="00EE0C8C">
              <w:rPr>
                <w:rFonts w:ascii="Calibri" w:eastAsia="Times New Roman" w:hAnsi="Calibri" w:cs="Times New Roman"/>
                <w:lang w:eastAsia="pl-PL"/>
              </w:rPr>
              <w:t>: (Seredzice) gr. administr. woj. świętokrz., gr. powiatu – Tychów Nowy (wspólny przebieg z dr powiat. nr 0565 T do skrzyżowania z dr. do ujęcia wody w m. Trębowiec) – Tychów Stary – do dr. woj. nr 744</w:t>
            </w:r>
          </w:p>
        </w:tc>
      </w:tr>
      <w:tr w:rsidR="00EE0C8C" w:rsidRPr="00EE0C8C" w:rsidTr="00A76B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hideMark/>
          </w:tcPr>
          <w:p w:rsidR="00EE0C8C" w:rsidRPr="00EE0C8C" w:rsidRDefault="00EE0C8C" w:rsidP="00EE0C8C">
            <w:pPr>
              <w:jc w:val="center"/>
              <w:rPr>
                <w:rFonts w:ascii="Calibri" w:eastAsia="Times New Roman" w:hAnsi="Calibri" w:cs="Times New Roman"/>
                <w:lang w:eastAsia="pl-PL"/>
              </w:rPr>
            </w:pPr>
            <w:r w:rsidRPr="00EE0C8C">
              <w:rPr>
                <w:rFonts w:ascii="Calibri" w:eastAsia="Times New Roman" w:hAnsi="Calibri" w:cs="Times New Roman"/>
                <w:lang w:eastAsia="pl-PL"/>
              </w:rPr>
              <w:t>0567 T</w:t>
            </w:r>
          </w:p>
        </w:tc>
        <w:tc>
          <w:tcPr>
            <w:tcW w:w="2721" w:type="dxa"/>
            <w:hideMark/>
          </w:tcPr>
          <w:p w:rsidR="00EE0C8C" w:rsidRPr="00EE0C8C" w:rsidRDefault="00EE0C8C" w:rsidP="00EE0C8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lang w:eastAsia="pl-PL"/>
              </w:rPr>
            </w:pPr>
            <w:r w:rsidRPr="00EE0C8C">
              <w:rPr>
                <w:rFonts w:ascii="Calibri" w:eastAsia="Times New Roman" w:hAnsi="Calibri" w:cs="Times New Roman"/>
                <w:lang w:eastAsia="pl-PL"/>
              </w:rPr>
              <w:t>15862</w:t>
            </w:r>
          </w:p>
        </w:tc>
        <w:tc>
          <w:tcPr>
            <w:tcW w:w="5325" w:type="dxa"/>
            <w:hideMark/>
          </w:tcPr>
          <w:p w:rsidR="00EE0C8C" w:rsidRPr="00EE0C8C" w:rsidRDefault="00EE0C8C" w:rsidP="00EE0C8C">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lang w:eastAsia="pl-PL"/>
              </w:rPr>
            </w:pPr>
            <w:r w:rsidRPr="00EE0C8C">
              <w:rPr>
                <w:rFonts w:ascii="Calibri" w:eastAsia="Times New Roman" w:hAnsi="Calibri" w:cs="Times New Roman"/>
                <w:u w:val="single"/>
                <w:lang w:eastAsia="pl-PL"/>
              </w:rPr>
              <w:t>Nazwa drogi</w:t>
            </w:r>
            <w:r w:rsidRPr="00EE0C8C">
              <w:rPr>
                <w:rFonts w:ascii="Calibri" w:eastAsia="Times New Roman" w:hAnsi="Calibri" w:cs="Times New Roman"/>
                <w:lang w:eastAsia="pl-PL"/>
              </w:rPr>
              <w:t xml:space="preserve">: </w:t>
            </w:r>
            <w:r w:rsidRPr="00EE0C8C">
              <w:rPr>
                <w:rFonts w:ascii="Calibri" w:eastAsia="Times New Roman" w:hAnsi="Calibri" w:cs="Times New Roman"/>
                <w:i/>
                <w:iCs/>
                <w:lang w:eastAsia="pl-PL"/>
              </w:rPr>
              <w:t>Tychów Stary – Ostrożanka – Małyszyn – gr. woj. świętokrzysk.(Pastwiska)</w:t>
            </w:r>
            <w:r w:rsidRPr="00EE0C8C">
              <w:rPr>
                <w:rFonts w:ascii="Calibri" w:eastAsia="Times New Roman" w:hAnsi="Calibri" w:cs="Times New Roman"/>
                <w:lang w:eastAsia="pl-PL"/>
              </w:rPr>
              <w:br/>
            </w:r>
            <w:r w:rsidRPr="00EE0C8C">
              <w:rPr>
                <w:rFonts w:ascii="Calibri" w:eastAsia="Times New Roman" w:hAnsi="Calibri" w:cs="Times New Roman"/>
                <w:u w:val="single"/>
                <w:lang w:eastAsia="pl-PL"/>
              </w:rPr>
              <w:t>Przebieg drogi</w:t>
            </w:r>
            <w:r w:rsidRPr="00EE0C8C">
              <w:rPr>
                <w:rFonts w:ascii="Calibri" w:eastAsia="Times New Roman" w:hAnsi="Calibri" w:cs="Times New Roman"/>
                <w:lang w:eastAsia="pl-PL"/>
              </w:rPr>
              <w:t>: od dr. woj. nr 744 – Tychów Stary – Ostrożanka – Małyszyn Górny – gr. powiatu, gr. woj. świętokrz. (Pastwiska)</w:t>
            </w:r>
          </w:p>
        </w:tc>
      </w:tr>
      <w:tr w:rsidR="00EE0C8C" w:rsidRPr="00EE0C8C" w:rsidTr="00A76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hideMark/>
          </w:tcPr>
          <w:p w:rsidR="00EE0C8C" w:rsidRPr="00EE0C8C" w:rsidRDefault="00EE0C8C" w:rsidP="00EE0C8C">
            <w:pPr>
              <w:jc w:val="center"/>
              <w:rPr>
                <w:rFonts w:ascii="Calibri" w:eastAsia="Times New Roman" w:hAnsi="Calibri" w:cs="Times New Roman"/>
                <w:lang w:eastAsia="pl-PL"/>
              </w:rPr>
            </w:pPr>
            <w:r w:rsidRPr="00EE0C8C">
              <w:rPr>
                <w:rFonts w:ascii="Calibri" w:eastAsia="Times New Roman" w:hAnsi="Calibri" w:cs="Times New Roman"/>
                <w:lang w:eastAsia="pl-PL"/>
              </w:rPr>
              <w:t>0568 T</w:t>
            </w:r>
          </w:p>
        </w:tc>
        <w:tc>
          <w:tcPr>
            <w:tcW w:w="2721" w:type="dxa"/>
            <w:hideMark/>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pl-PL"/>
              </w:rPr>
            </w:pPr>
            <w:r w:rsidRPr="00EE0C8C">
              <w:rPr>
                <w:rFonts w:ascii="Calibri" w:eastAsia="Times New Roman" w:hAnsi="Calibri" w:cs="Times New Roman"/>
                <w:lang w:eastAsia="pl-PL"/>
              </w:rPr>
              <w:t>15863</w:t>
            </w:r>
          </w:p>
        </w:tc>
        <w:tc>
          <w:tcPr>
            <w:tcW w:w="5325" w:type="dxa"/>
            <w:hideMark/>
          </w:tcPr>
          <w:p w:rsidR="00EE0C8C" w:rsidRPr="00EE0C8C" w:rsidRDefault="00EE0C8C" w:rsidP="00EE0C8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pl-PL"/>
              </w:rPr>
            </w:pPr>
            <w:r w:rsidRPr="00EE0C8C">
              <w:rPr>
                <w:rFonts w:ascii="Calibri" w:eastAsia="Times New Roman" w:hAnsi="Calibri" w:cs="Times New Roman"/>
                <w:u w:val="single"/>
                <w:lang w:eastAsia="pl-PL"/>
              </w:rPr>
              <w:t>Nazwa drogi</w:t>
            </w:r>
            <w:r w:rsidRPr="00EE0C8C">
              <w:rPr>
                <w:rFonts w:ascii="Calibri" w:eastAsia="Times New Roman" w:hAnsi="Calibri" w:cs="Times New Roman"/>
                <w:lang w:eastAsia="pl-PL"/>
              </w:rPr>
              <w:t xml:space="preserve">: </w:t>
            </w:r>
            <w:r w:rsidRPr="00EE0C8C">
              <w:rPr>
                <w:rFonts w:ascii="Calibri" w:eastAsia="Times New Roman" w:hAnsi="Calibri" w:cs="Times New Roman"/>
                <w:i/>
                <w:iCs/>
                <w:lang w:eastAsia="pl-PL"/>
              </w:rPr>
              <w:t>Małyszyn Górny – Małyszyn Stary</w:t>
            </w:r>
            <w:r w:rsidRPr="00EE0C8C">
              <w:rPr>
                <w:rFonts w:ascii="Calibri" w:eastAsia="Times New Roman" w:hAnsi="Calibri" w:cs="Times New Roman"/>
                <w:lang w:eastAsia="pl-PL"/>
              </w:rPr>
              <w:br/>
            </w:r>
            <w:r w:rsidRPr="00EE0C8C">
              <w:rPr>
                <w:rFonts w:ascii="Calibri" w:eastAsia="Times New Roman" w:hAnsi="Calibri" w:cs="Times New Roman"/>
                <w:u w:val="single"/>
                <w:lang w:eastAsia="pl-PL"/>
              </w:rPr>
              <w:t>Przebieg drogi</w:t>
            </w:r>
            <w:r w:rsidRPr="00EE0C8C">
              <w:rPr>
                <w:rFonts w:ascii="Calibri" w:eastAsia="Times New Roman" w:hAnsi="Calibri" w:cs="Times New Roman"/>
                <w:lang w:eastAsia="pl-PL"/>
              </w:rPr>
              <w:t>: od dr. powiat. nr 0567 T – Małyszyn Górny – Małyszyn Stary – do dr. powiat. nr 0567 T</w:t>
            </w:r>
          </w:p>
        </w:tc>
      </w:tr>
      <w:tr w:rsidR="00EE0C8C" w:rsidRPr="00EE0C8C" w:rsidTr="00A76B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hideMark/>
          </w:tcPr>
          <w:p w:rsidR="00EE0C8C" w:rsidRPr="00EE0C8C" w:rsidRDefault="00EE0C8C" w:rsidP="00EE0C8C">
            <w:pPr>
              <w:jc w:val="center"/>
              <w:rPr>
                <w:rFonts w:ascii="Calibri" w:eastAsia="Times New Roman" w:hAnsi="Calibri" w:cs="Times New Roman"/>
                <w:lang w:eastAsia="pl-PL"/>
              </w:rPr>
            </w:pPr>
            <w:r w:rsidRPr="00EE0C8C">
              <w:rPr>
                <w:rFonts w:ascii="Calibri" w:eastAsia="Times New Roman" w:hAnsi="Calibri" w:cs="Times New Roman"/>
                <w:lang w:eastAsia="pl-PL"/>
              </w:rPr>
              <w:t>0569 T</w:t>
            </w:r>
          </w:p>
        </w:tc>
        <w:tc>
          <w:tcPr>
            <w:tcW w:w="2721" w:type="dxa"/>
            <w:hideMark/>
          </w:tcPr>
          <w:p w:rsidR="00EE0C8C" w:rsidRPr="00EE0C8C" w:rsidRDefault="00EE0C8C" w:rsidP="00EE0C8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lang w:eastAsia="pl-PL"/>
              </w:rPr>
            </w:pPr>
            <w:r w:rsidRPr="00EE0C8C">
              <w:rPr>
                <w:rFonts w:ascii="Calibri" w:eastAsia="Times New Roman" w:hAnsi="Calibri" w:cs="Times New Roman"/>
                <w:lang w:eastAsia="pl-PL"/>
              </w:rPr>
              <w:t>15864</w:t>
            </w:r>
          </w:p>
        </w:tc>
        <w:tc>
          <w:tcPr>
            <w:tcW w:w="5325" w:type="dxa"/>
            <w:hideMark/>
          </w:tcPr>
          <w:p w:rsidR="00EE0C8C" w:rsidRPr="00EE0C8C" w:rsidRDefault="00EE0C8C" w:rsidP="00EE0C8C">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lang w:eastAsia="pl-PL"/>
              </w:rPr>
            </w:pPr>
            <w:r w:rsidRPr="00EE0C8C">
              <w:rPr>
                <w:rFonts w:ascii="Calibri" w:eastAsia="Times New Roman" w:hAnsi="Calibri" w:cs="Times New Roman"/>
                <w:u w:val="single"/>
                <w:lang w:eastAsia="pl-PL"/>
              </w:rPr>
              <w:t>Nazwa drogi</w:t>
            </w:r>
            <w:r w:rsidRPr="00EE0C8C">
              <w:rPr>
                <w:rFonts w:ascii="Calibri" w:eastAsia="Times New Roman" w:hAnsi="Calibri" w:cs="Times New Roman"/>
                <w:lang w:eastAsia="pl-PL"/>
              </w:rPr>
              <w:t xml:space="preserve">: </w:t>
            </w:r>
            <w:r w:rsidRPr="00EE0C8C">
              <w:rPr>
                <w:rFonts w:ascii="Calibri" w:eastAsia="Times New Roman" w:hAnsi="Calibri" w:cs="Times New Roman"/>
                <w:i/>
                <w:iCs/>
                <w:lang w:eastAsia="pl-PL"/>
              </w:rPr>
              <w:t>Trębowiec Duży – Czerwona - Mirzec</w:t>
            </w:r>
            <w:r w:rsidRPr="00EE0C8C">
              <w:rPr>
                <w:rFonts w:ascii="Calibri" w:eastAsia="Times New Roman" w:hAnsi="Calibri" w:cs="Times New Roman"/>
                <w:lang w:eastAsia="pl-PL"/>
              </w:rPr>
              <w:br/>
            </w:r>
            <w:r w:rsidRPr="00EE0C8C">
              <w:rPr>
                <w:rFonts w:ascii="Calibri" w:eastAsia="Times New Roman" w:hAnsi="Calibri" w:cs="Times New Roman"/>
                <w:u w:val="single"/>
                <w:lang w:eastAsia="pl-PL"/>
              </w:rPr>
              <w:t>Przebieg drogi</w:t>
            </w:r>
            <w:r w:rsidRPr="00EE0C8C">
              <w:rPr>
                <w:rFonts w:ascii="Calibri" w:eastAsia="Times New Roman" w:hAnsi="Calibri" w:cs="Times New Roman"/>
                <w:lang w:eastAsia="pl-PL"/>
              </w:rPr>
              <w:t>: od dr. powiat. nr 0570 T – Trębowiec Duży – Czerwona – Mirzec Podborki – do dr. woj. nr 744</w:t>
            </w:r>
          </w:p>
        </w:tc>
      </w:tr>
      <w:tr w:rsidR="00EE0C8C" w:rsidRPr="00EE0C8C" w:rsidTr="00A76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hideMark/>
          </w:tcPr>
          <w:p w:rsidR="00EE0C8C" w:rsidRPr="00EE0C8C" w:rsidRDefault="00EE0C8C" w:rsidP="00EE0C8C">
            <w:pPr>
              <w:jc w:val="center"/>
              <w:rPr>
                <w:rFonts w:ascii="Calibri" w:eastAsia="Times New Roman" w:hAnsi="Calibri" w:cs="Times New Roman"/>
                <w:lang w:eastAsia="pl-PL"/>
              </w:rPr>
            </w:pPr>
            <w:r w:rsidRPr="00EE0C8C">
              <w:rPr>
                <w:rFonts w:ascii="Calibri" w:eastAsia="Times New Roman" w:hAnsi="Calibri" w:cs="Times New Roman"/>
                <w:lang w:eastAsia="pl-PL"/>
              </w:rPr>
              <w:t>0570 T</w:t>
            </w:r>
          </w:p>
        </w:tc>
        <w:tc>
          <w:tcPr>
            <w:tcW w:w="2721" w:type="dxa"/>
            <w:hideMark/>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pl-PL"/>
              </w:rPr>
            </w:pPr>
            <w:r w:rsidRPr="00EE0C8C">
              <w:rPr>
                <w:rFonts w:ascii="Calibri" w:eastAsia="Times New Roman" w:hAnsi="Calibri" w:cs="Times New Roman"/>
                <w:lang w:eastAsia="pl-PL"/>
              </w:rPr>
              <w:t>15865</w:t>
            </w:r>
            <w:r w:rsidRPr="00EE0C8C">
              <w:rPr>
                <w:rFonts w:ascii="Calibri" w:eastAsia="Times New Roman" w:hAnsi="Calibri" w:cs="Times New Roman"/>
                <w:lang w:eastAsia="pl-PL"/>
              </w:rPr>
              <w:br/>
              <w:t>15866</w:t>
            </w:r>
          </w:p>
        </w:tc>
        <w:tc>
          <w:tcPr>
            <w:tcW w:w="5325" w:type="dxa"/>
            <w:hideMark/>
          </w:tcPr>
          <w:p w:rsidR="00EE0C8C" w:rsidRPr="00EE0C8C" w:rsidRDefault="00EE0C8C" w:rsidP="00EE0C8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pl-PL"/>
              </w:rPr>
            </w:pPr>
            <w:r w:rsidRPr="00EE0C8C">
              <w:rPr>
                <w:rFonts w:ascii="Calibri" w:eastAsia="Times New Roman" w:hAnsi="Calibri" w:cs="Times New Roman"/>
                <w:u w:val="single"/>
                <w:lang w:eastAsia="pl-PL"/>
              </w:rPr>
              <w:t>Nazwa drogi</w:t>
            </w:r>
            <w:r w:rsidRPr="00EE0C8C">
              <w:rPr>
                <w:rFonts w:ascii="Calibri" w:eastAsia="Times New Roman" w:hAnsi="Calibri" w:cs="Times New Roman"/>
                <w:lang w:eastAsia="pl-PL"/>
              </w:rPr>
              <w:t xml:space="preserve">: </w:t>
            </w:r>
            <w:r w:rsidRPr="00EE0C8C">
              <w:rPr>
                <w:rFonts w:ascii="Calibri" w:eastAsia="Times New Roman" w:hAnsi="Calibri" w:cs="Times New Roman"/>
                <w:i/>
                <w:iCs/>
                <w:lang w:eastAsia="pl-PL"/>
              </w:rPr>
              <w:t>Osiny – Mokre Niwy – Krupów – Trębowiec Duży – gr. woj. świętokrzys.(Zbijów Mały)</w:t>
            </w:r>
            <w:r w:rsidRPr="00EE0C8C">
              <w:rPr>
                <w:rFonts w:ascii="Calibri" w:eastAsia="Times New Roman" w:hAnsi="Calibri" w:cs="Times New Roman"/>
                <w:lang w:eastAsia="pl-PL"/>
              </w:rPr>
              <w:br/>
            </w:r>
            <w:r w:rsidRPr="00EE0C8C">
              <w:rPr>
                <w:rFonts w:ascii="Calibri" w:eastAsia="Times New Roman" w:hAnsi="Calibri" w:cs="Times New Roman"/>
                <w:u w:val="single"/>
                <w:lang w:eastAsia="pl-PL"/>
              </w:rPr>
              <w:t>Przebieg drogi</w:t>
            </w:r>
            <w:r w:rsidRPr="00EE0C8C">
              <w:rPr>
                <w:rFonts w:ascii="Calibri" w:eastAsia="Times New Roman" w:hAnsi="Calibri" w:cs="Times New Roman"/>
                <w:lang w:eastAsia="pl-PL"/>
              </w:rPr>
              <w:t>: od dr. gminnej (byłej dr. powiat. nr 0571 T) – Osiny – Mokre Niwy – Krupów – Trębowiec Duży – skrzyżowanie z dr. woj. nr 744 – Trębowiec Duży - gr. administr. powiatu, gr. woj. świętokrzysk. (Zbijów Mały)</w:t>
            </w:r>
          </w:p>
        </w:tc>
      </w:tr>
    </w:tbl>
    <w:p w:rsidR="00EE0C8C" w:rsidRPr="00EE0C8C" w:rsidRDefault="00EE0C8C" w:rsidP="00EE0C8C">
      <w:pPr>
        <w:jc w:val="center"/>
        <w:rPr>
          <w:rFonts w:ascii="Calibri" w:eastAsia="Times New Roman" w:hAnsi="Calibri" w:cs="Times New Roman"/>
          <w:i/>
          <w:lang w:eastAsia="pl-PL"/>
        </w:rPr>
      </w:pPr>
      <w:r w:rsidRPr="00EE0C8C">
        <w:rPr>
          <w:rFonts w:ascii="Calibri" w:eastAsia="Times New Roman" w:hAnsi="Calibri" w:cs="Times New Roman"/>
          <w:i/>
          <w:lang w:eastAsia="pl-PL"/>
        </w:rPr>
        <w:t>(Źródło: Zarząd Dróg Powiatowych w Starachowicach)</w:t>
      </w:r>
    </w:p>
    <w:p w:rsidR="00EE0C8C" w:rsidRDefault="00EE0C8C" w:rsidP="00EE0C8C">
      <w:pPr>
        <w:jc w:val="both"/>
        <w:rPr>
          <w:rFonts w:ascii="Calibri" w:eastAsia="Times New Roman" w:hAnsi="Calibri" w:cs="Times New Roman"/>
          <w:lang w:eastAsia="pl-PL"/>
        </w:rPr>
      </w:pPr>
      <w:r w:rsidRPr="00EE0C8C">
        <w:rPr>
          <w:rFonts w:ascii="Calibri" w:eastAsia="Times New Roman" w:hAnsi="Calibri" w:cs="Times New Roman"/>
          <w:lang w:eastAsia="pl-PL"/>
        </w:rPr>
        <w:t xml:space="preserve">Na terenie gminy nie ma transportu kolejowego. Najbliższe stacje kolejowe znajdują się w Skarżysku - Kamiennej, Wąchocku i Starachowicach, co powoduje, że podstawowe potrzeby </w:t>
      </w:r>
      <w:r w:rsidRPr="00EE0C8C">
        <w:rPr>
          <w:rFonts w:ascii="Calibri" w:eastAsia="Times New Roman" w:hAnsi="Calibri" w:cs="Times New Roman"/>
          <w:lang w:eastAsia="pl-PL"/>
        </w:rPr>
        <w:br/>
        <w:t xml:space="preserve">w zakresie obsługi komunikacyjnej są zaspokajane przez transport samochodowy. Publiczną komunikację samochodową zapewniają państwowe przedsiębiorstwa komunikacji samochodowej, </w:t>
      </w:r>
      <w:r w:rsidRPr="00EE0C8C">
        <w:rPr>
          <w:rFonts w:ascii="Calibri" w:eastAsia="Times New Roman" w:hAnsi="Calibri" w:cs="Times New Roman"/>
          <w:lang w:eastAsia="pl-PL"/>
        </w:rPr>
        <w:lastRenderedPageBreak/>
        <w:t>autobusy komunikacji miejskiej oraz coraz częściej obsługa sprawowana przez prywatnych przewoźników.</w:t>
      </w:r>
    </w:p>
    <w:p w:rsidR="00A76BDB" w:rsidRPr="00EE0C8C" w:rsidRDefault="00A76BDB" w:rsidP="00EE0C8C">
      <w:pPr>
        <w:jc w:val="both"/>
        <w:rPr>
          <w:rFonts w:ascii="Calibri" w:eastAsia="Times New Roman" w:hAnsi="Calibri" w:cs="Times New Roman"/>
          <w:lang w:eastAsia="pl-PL"/>
        </w:rPr>
      </w:pPr>
    </w:p>
    <w:p w:rsidR="00EE0C8C" w:rsidRPr="00EE0C8C" w:rsidRDefault="00EE0C8C" w:rsidP="00A76BDB">
      <w:pPr>
        <w:pStyle w:val="Nagwek2"/>
        <w:rPr>
          <w:lang w:eastAsia="pl-PL"/>
        </w:rPr>
      </w:pPr>
      <w:bookmarkStart w:id="66" w:name="_Toc439077757"/>
      <w:bookmarkStart w:id="67" w:name="_Toc450562487"/>
      <w:r w:rsidRPr="00EE0C8C">
        <w:rPr>
          <w:lang w:eastAsia="pl-PL"/>
        </w:rPr>
        <w:t>2.1.8. INFRASTRUKTURA KULTURY I SPORTU</w:t>
      </w:r>
      <w:bookmarkEnd w:id="66"/>
      <w:bookmarkEnd w:id="67"/>
    </w:p>
    <w:p w:rsidR="00EE0C8C" w:rsidRPr="00EE0C8C" w:rsidRDefault="00EE0C8C" w:rsidP="00EE0C8C">
      <w:pPr>
        <w:keepNext/>
        <w:keepLines/>
        <w:spacing w:before="200" w:after="0"/>
        <w:outlineLvl w:val="3"/>
        <w:rPr>
          <w:rFonts w:ascii="Cambria" w:eastAsia="Times New Roman" w:hAnsi="Cambria" w:cs="Times New Roman"/>
          <w:b/>
          <w:bCs/>
          <w:i/>
          <w:iCs/>
          <w:color w:val="4F81BD"/>
        </w:rPr>
      </w:pPr>
      <w:r w:rsidRPr="00EE0C8C">
        <w:rPr>
          <w:rFonts w:ascii="Cambria" w:eastAsia="Times New Roman" w:hAnsi="Cambria" w:cs="Times New Roman"/>
          <w:b/>
          <w:bCs/>
          <w:i/>
          <w:iCs/>
          <w:color w:val="4F81BD"/>
        </w:rPr>
        <w:t>GMINNY DOM KULTURY I INTEGRACJI W MIRCU</w:t>
      </w:r>
    </w:p>
    <w:p w:rsidR="00EE0C8C" w:rsidRPr="00EE0C8C" w:rsidRDefault="00EE0C8C" w:rsidP="00EE0C8C">
      <w:pPr>
        <w:spacing w:after="0"/>
        <w:rPr>
          <w:rFonts w:ascii="Calibri" w:eastAsia="Times New Roman" w:hAnsi="Calibri" w:cs="Times New Roman"/>
          <w:lang w:eastAsia="pl-PL"/>
        </w:rPr>
      </w:pPr>
    </w:p>
    <w:p w:rsidR="00EE0C8C" w:rsidRPr="00EE0C8C" w:rsidRDefault="00EE0C8C" w:rsidP="00EE0C8C">
      <w:pPr>
        <w:jc w:val="both"/>
        <w:rPr>
          <w:rFonts w:ascii="Calibri" w:eastAsia="Times New Roman" w:hAnsi="Calibri" w:cs="Times New Roman"/>
          <w:lang w:eastAsia="pl-PL"/>
        </w:rPr>
      </w:pPr>
      <w:r w:rsidRPr="00EE0C8C">
        <w:rPr>
          <w:rFonts w:ascii="Calibri" w:eastAsia="Times New Roman" w:hAnsi="Calibri" w:cs="Times New Roman"/>
          <w:lang w:eastAsia="pl-PL"/>
        </w:rPr>
        <w:t>Gminny Dom Kultury i Integracji w Mircu, zgodnie z ustawą o organizowaniu i prowadzeniu działalności kulturalnej z dnia 25.10.1991 r. z późn. Zm. Od 01.07.2013 r. prowadzi działalność jako instytucja kultury, której organem prowadzącym jest Gmina Mirzec. Działa na podstawie statutu uchwalonego przez Radę Gminy w Mircu z dnia 24 kwietnia 2013 roku Uchwała nr XXXII/190/2013.</w:t>
      </w:r>
    </w:p>
    <w:p w:rsidR="00EE0C8C" w:rsidRPr="00EE0C8C" w:rsidRDefault="00EE0C8C" w:rsidP="00EE0C8C">
      <w:pPr>
        <w:spacing w:after="120"/>
        <w:jc w:val="both"/>
        <w:rPr>
          <w:rFonts w:ascii="Calibri" w:eastAsia="Times New Roman" w:hAnsi="Calibri" w:cs="Times New Roman"/>
          <w:lang w:eastAsia="pl-PL"/>
        </w:rPr>
      </w:pPr>
      <w:r w:rsidRPr="00EE0C8C">
        <w:rPr>
          <w:rFonts w:ascii="Calibri" w:eastAsia="Times New Roman" w:hAnsi="Calibri" w:cs="Times New Roman"/>
          <w:lang w:eastAsia="pl-PL"/>
        </w:rPr>
        <w:t>W skład GDKiI w Mircu wchodzi placówka główna w Mircu oraz:</w:t>
      </w:r>
    </w:p>
    <w:p w:rsidR="00EE0C8C" w:rsidRPr="00EE0C8C" w:rsidRDefault="00EE0C8C" w:rsidP="00EE0C8C">
      <w:pPr>
        <w:spacing w:after="120"/>
        <w:ind w:firstLine="1134"/>
        <w:jc w:val="both"/>
        <w:rPr>
          <w:rFonts w:ascii="Calibri" w:eastAsia="Times New Roman" w:hAnsi="Calibri" w:cs="Times New Roman"/>
          <w:lang w:eastAsia="pl-PL"/>
        </w:rPr>
      </w:pPr>
      <w:r w:rsidRPr="00EE0C8C">
        <w:rPr>
          <w:rFonts w:ascii="Calibri" w:eastAsia="Times New Roman" w:hAnsi="Calibri" w:cs="Times New Roman"/>
          <w:lang w:eastAsia="pl-PL"/>
        </w:rPr>
        <w:t>-Centrum Twórczości Ludowej w Osinach;</w:t>
      </w:r>
    </w:p>
    <w:p w:rsidR="00EE0C8C" w:rsidRPr="00EE0C8C" w:rsidRDefault="00EE0C8C" w:rsidP="00EE0C8C">
      <w:pPr>
        <w:spacing w:after="120"/>
        <w:ind w:firstLine="1134"/>
        <w:jc w:val="both"/>
        <w:rPr>
          <w:rFonts w:ascii="Calibri" w:eastAsia="Times New Roman" w:hAnsi="Calibri" w:cs="Times New Roman"/>
          <w:lang w:eastAsia="pl-PL"/>
        </w:rPr>
      </w:pPr>
      <w:r w:rsidRPr="00EE0C8C">
        <w:rPr>
          <w:rFonts w:ascii="Calibri" w:eastAsia="Times New Roman" w:hAnsi="Calibri" w:cs="Times New Roman"/>
          <w:lang w:eastAsia="pl-PL"/>
        </w:rPr>
        <w:t>- Klub Aktywności Wiejskiej w Tychowie Starym;</w:t>
      </w:r>
    </w:p>
    <w:p w:rsidR="00EE0C8C" w:rsidRPr="00EE0C8C" w:rsidRDefault="00EE0C8C" w:rsidP="00EE0C8C">
      <w:pPr>
        <w:spacing w:after="120"/>
        <w:ind w:firstLine="1134"/>
        <w:jc w:val="both"/>
        <w:rPr>
          <w:rFonts w:ascii="Calibri" w:eastAsia="Times New Roman" w:hAnsi="Calibri" w:cs="Times New Roman"/>
          <w:lang w:eastAsia="pl-PL"/>
        </w:rPr>
      </w:pPr>
      <w:r w:rsidRPr="00EE0C8C">
        <w:rPr>
          <w:rFonts w:ascii="Calibri" w:eastAsia="Times New Roman" w:hAnsi="Calibri" w:cs="Times New Roman"/>
          <w:lang w:eastAsia="pl-PL"/>
        </w:rPr>
        <w:t>- Świetlica Sołecka „Activ – Małyszyn Górny dla Ciebie” w Małyszynie Górnym;</w:t>
      </w:r>
    </w:p>
    <w:p w:rsidR="00EE0C8C" w:rsidRPr="00EE0C8C" w:rsidRDefault="00EE0C8C" w:rsidP="00EE0C8C">
      <w:pPr>
        <w:spacing w:after="120"/>
        <w:ind w:firstLine="1134"/>
        <w:jc w:val="both"/>
        <w:rPr>
          <w:rFonts w:ascii="Calibri" w:eastAsia="Times New Roman" w:hAnsi="Calibri" w:cs="Times New Roman"/>
          <w:lang w:eastAsia="pl-PL"/>
        </w:rPr>
      </w:pPr>
      <w:r w:rsidRPr="00EE0C8C">
        <w:rPr>
          <w:rFonts w:ascii="Calibri" w:eastAsia="Times New Roman" w:hAnsi="Calibri" w:cs="Times New Roman"/>
          <w:lang w:eastAsia="pl-PL"/>
        </w:rPr>
        <w:t>- Scena plenerowa wraz z amfiteatrem w Mircu.</w:t>
      </w:r>
    </w:p>
    <w:p w:rsidR="00EE0C8C" w:rsidRPr="00EE0C8C" w:rsidRDefault="00EE0C8C" w:rsidP="00EE0C8C">
      <w:pPr>
        <w:jc w:val="both"/>
        <w:rPr>
          <w:rFonts w:ascii="Calibri" w:eastAsia="Times New Roman" w:hAnsi="Calibri" w:cs="Times New Roman"/>
          <w:lang w:eastAsia="pl-PL"/>
        </w:rPr>
      </w:pPr>
      <w:r w:rsidRPr="00EE0C8C">
        <w:rPr>
          <w:rFonts w:ascii="Calibri" w:eastAsia="Times New Roman" w:hAnsi="Calibri" w:cs="Times New Roman"/>
          <w:lang w:eastAsia="pl-PL"/>
        </w:rPr>
        <w:t>W roku 2013 Gminny Dom Kultury i Integracji w Mircu był w fazie organizacji, budynek przeznaczony na jego działalność został oddany do użytku w lutym 2014 r.</w:t>
      </w:r>
    </w:p>
    <w:p w:rsidR="00EE0C8C" w:rsidRPr="00EE0C8C" w:rsidRDefault="00EE0C8C" w:rsidP="00EE0C8C">
      <w:pPr>
        <w:jc w:val="both"/>
        <w:rPr>
          <w:rFonts w:ascii="Calibri" w:eastAsia="Times New Roman" w:hAnsi="Calibri" w:cs="Times New Roman"/>
          <w:lang w:eastAsia="pl-PL"/>
        </w:rPr>
      </w:pPr>
      <w:r w:rsidRPr="00EE0C8C">
        <w:rPr>
          <w:rFonts w:ascii="Calibri" w:eastAsia="Times New Roman" w:hAnsi="Calibri" w:cs="Times New Roman"/>
          <w:lang w:eastAsia="pl-PL"/>
        </w:rPr>
        <w:t>Z danych statystycznych wynika, iż łączna liczba osób, które skorzystały z GDKiI w Mircu oraz jego placówek to 9474 osoby. W tym:</w:t>
      </w:r>
    </w:p>
    <w:tbl>
      <w:tblPr>
        <w:tblStyle w:val="Tabela-Siatka"/>
        <w:tblW w:w="0" w:type="auto"/>
        <w:jc w:val="center"/>
        <w:tblInd w:w="108" w:type="dxa"/>
        <w:tblLook w:val="04A0" w:firstRow="1" w:lastRow="0" w:firstColumn="1" w:lastColumn="0" w:noHBand="0" w:noVBand="1"/>
      </w:tblPr>
      <w:tblGrid>
        <w:gridCol w:w="4962"/>
        <w:gridCol w:w="4142"/>
      </w:tblGrid>
      <w:tr w:rsidR="00EE0C8C" w:rsidRPr="00EE0C8C" w:rsidTr="00A76BDB">
        <w:trPr>
          <w:jc w:val="center"/>
        </w:trPr>
        <w:tc>
          <w:tcPr>
            <w:tcW w:w="4962" w:type="dxa"/>
            <w:shd w:val="clear" w:color="auto" w:fill="31849B" w:themeFill="accent5" w:themeFillShade="BF"/>
          </w:tcPr>
          <w:p w:rsidR="00EE0C8C" w:rsidRPr="00EE0C8C" w:rsidRDefault="00EE0C8C" w:rsidP="00EE0C8C">
            <w:pPr>
              <w:jc w:val="both"/>
              <w:rPr>
                <w:rFonts w:ascii="Calibri" w:eastAsia="Times New Roman" w:hAnsi="Calibri" w:cs="Times New Roman"/>
                <w:b/>
                <w:color w:val="FFFFFF"/>
              </w:rPr>
            </w:pPr>
            <w:r w:rsidRPr="00EE0C8C">
              <w:rPr>
                <w:rFonts w:ascii="Calibri" w:eastAsia="Times New Roman" w:hAnsi="Calibri" w:cs="Times New Roman"/>
                <w:b/>
                <w:color w:val="FFFFFF"/>
              </w:rPr>
              <w:t>MIRZEC</w:t>
            </w:r>
          </w:p>
        </w:tc>
        <w:tc>
          <w:tcPr>
            <w:tcW w:w="4142" w:type="dxa"/>
            <w:shd w:val="clear" w:color="auto" w:fill="31849B" w:themeFill="accent5" w:themeFillShade="BF"/>
          </w:tcPr>
          <w:p w:rsidR="00EE0C8C" w:rsidRPr="00EE0C8C" w:rsidRDefault="00EE0C8C" w:rsidP="00EE0C8C">
            <w:pPr>
              <w:jc w:val="center"/>
              <w:rPr>
                <w:rFonts w:ascii="Calibri" w:eastAsia="Times New Roman" w:hAnsi="Calibri" w:cs="Times New Roman"/>
                <w:b/>
                <w:color w:val="FFFFFF"/>
              </w:rPr>
            </w:pPr>
            <w:r w:rsidRPr="00EE0C8C">
              <w:rPr>
                <w:rFonts w:ascii="Calibri" w:eastAsia="Times New Roman" w:hAnsi="Calibri" w:cs="Times New Roman"/>
                <w:b/>
                <w:color w:val="FFFFFF"/>
              </w:rPr>
              <w:t>1846 osób</w:t>
            </w:r>
          </w:p>
        </w:tc>
      </w:tr>
      <w:tr w:rsidR="00EE0C8C" w:rsidRPr="00EE0C8C" w:rsidTr="00A76BDB">
        <w:trPr>
          <w:jc w:val="center"/>
        </w:trPr>
        <w:tc>
          <w:tcPr>
            <w:tcW w:w="4962" w:type="dxa"/>
          </w:tcPr>
          <w:p w:rsidR="00EE0C8C" w:rsidRPr="00EE0C8C" w:rsidRDefault="00EE0C8C" w:rsidP="00EE0C8C">
            <w:pPr>
              <w:jc w:val="both"/>
              <w:rPr>
                <w:rFonts w:ascii="Calibri" w:eastAsia="Times New Roman" w:hAnsi="Calibri" w:cs="Times New Roman"/>
              </w:rPr>
            </w:pPr>
            <w:r w:rsidRPr="00EE0C8C">
              <w:rPr>
                <w:rFonts w:ascii="Calibri" w:eastAsia="Times New Roman" w:hAnsi="Calibri" w:cs="Times New Roman"/>
              </w:rPr>
              <w:t>- warsztaty plastyczne dla dzieci</w:t>
            </w:r>
          </w:p>
        </w:tc>
        <w:tc>
          <w:tcPr>
            <w:tcW w:w="4142" w:type="dxa"/>
          </w:tcPr>
          <w:p w:rsidR="00EE0C8C" w:rsidRPr="00EE0C8C" w:rsidRDefault="00EE0C8C" w:rsidP="00EE0C8C">
            <w:pPr>
              <w:jc w:val="center"/>
              <w:rPr>
                <w:rFonts w:ascii="Calibri" w:eastAsia="Times New Roman" w:hAnsi="Calibri" w:cs="Times New Roman"/>
              </w:rPr>
            </w:pPr>
            <w:r w:rsidRPr="00EE0C8C">
              <w:rPr>
                <w:rFonts w:ascii="Calibri" w:eastAsia="Times New Roman" w:hAnsi="Calibri" w:cs="Times New Roman"/>
              </w:rPr>
              <w:t>214 osób</w:t>
            </w:r>
          </w:p>
        </w:tc>
      </w:tr>
      <w:tr w:rsidR="00EE0C8C" w:rsidRPr="00EE0C8C" w:rsidTr="00A76BDB">
        <w:trPr>
          <w:jc w:val="center"/>
        </w:trPr>
        <w:tc>
          <w:tcPr>
            <w:tcW w:w="4962" w:type="dxa"/>
          </w:tcPr>
          <w:p w:rsidR="00EE0C8C" w:rsidRPr="00EE0C8C" w:rsidRDefault="00EE0C8C" w:rsidP="00EE0C8C">
            <w:pPr>
              <w:jc w:val="both"/>
              <w:rPr>
                <w:rFonts w:ascii="Calibri" w:eastAsia="Times New Roman" w:hAnsi="Calibri" w:cs="Times New Roman"/>
              </w:rPr>
            </w:pPr>
            <w:r w:rsidRPr="00EE0C8C">
              <w:rPr>
                <w:rFonts w:ascii="Calibri" w:eastAsia="Times New Roman" w:hAnsi="Calibri" w:cs="Times New Roman"/>
              </w:rPr>
              <w:t>- zajęcia fitness dla dorosłych</w:t>
            </w:r>
          </w:p>
        </w:tc>
        <w:tc>
          <w:tcPr>
            <w:tcW w:w="4142" w:type="dxa"/>
          </w:tcPr>
          <w:p w:rsidR="00EE0C8C" w:rsidRPr="00EE0C8C" w:rsidRDefault="00EE0C8C" w:rsidP="00EE0C8C">
            <w:pPr>
              <w:jc w:val="center"/>
              <w:rPr>
                <w:rFonts w:ascii="Calibri" w:eastAsia="Times New Roman" w:hAnsi="Calibri" w:cs="Times New Roman"/>
              </w:rPr>
            </w:pPr>
            <w:r w:rsidRPr="00EE0C8C">
              <w:rPr>
                <w:rFonts w:ascii="Calibri" w:eastAsia="Times New Roman" w:hAnsi="Calibri" w:cs="Times New Roman"/>
              </w:rPr>
              <w:t>118 osób</w:t>
            </w:r>
          </w:p>
        </w:tc>
      </w:tr>
      <w:tr w:rsidR="00EE0C8C" w:rsidRPr="00EE0C8C" w:rsidTr="00A76BDB">
        <w:trPr>
          <w:jc w:val="center"/>
        </w:trPr>
        <w:tc>
          <w:tcPr>
            <w:tcW w:w="4962" w:type="dxa"/>
          </w:tcPr>
          <w:p w:rsidR="00EE0C8C" w:rsidRPr="00EE0C8C" w:rsidRDefault="00EE0C8C" w:rsidP="00EE0C8C">
            <w:pPr>
              <w:jc w:val="both"/>
              <w:rPr>
                <w:rFonts w:ascii="Calibri" w:eastAsia="Times New Roman" w:hAnsi="Calibri" w:cs="Times New Roman"/>
              </w:rPr>
            </w:pPr>
            <w:r w:rsidRPr="00EE0C8C">
              <w:rPr>
                <w:rFonts w:ascii="Calibri" w:eastAsia="Times New Roman" w:hAnsi="Calibri" w:cs="Times New Roman"/>
              </w:rPr>
              <w:t>- zajęcia dla przedszkolaków</w:t>
            </w:r>
          </w:p>
        </w:tc>
        <w:tc>
          <w:tcPr>
            <w:tcW w:w="4142" w:type="dxa"/>
          </w:tcPr>
          <w:p w:rsidR="00EE0C8C" w:rsidRPr="00EE0C8C" w:rsidRDefault="00EE0C8C" w:rsidP="00EE0C8C">
            <w:pPr>
              <w:jc w:val="center"/>
              <w:rPr>
                <w:rFonts w:ascii="Calibri" w:eastAsia="Times New Roman" w:hAnsi="Calibri" w:cs="Times New Roman"/>
              </w:rPr>
            </w:pPr>
            <w:r w:rsidRPr="00EE0C8C">
              <w:rPr>
                <w:rFonts w:ascii="Calibri" w:eastAsia="Times New Roman" w:hAnsi="Calibri" w:cs="Times New Roman"/>
              </w:rPr>
              <w:t>32 osoby</w:t>
            </w:r>
          </w:p>
        </w:tc>
      </w:tr>
      <w:tr w:rsidR="00EE0C8C" w:rsidRPr="00EE0C8C" w:rsidTr="00A76BDB">
        <w:trPr>
          <w:jc w:val="center"/>
        </w:trPr>
        <w:tc>
          <w:tcPr>
            <w:tcW w:w="4962" w:type="dxa"/>
          </w:tcPr>
          <w:p w:rsidR="00EE0C8C" w:rsidRPr="00EE0C8C" w:rsidRDefault="00EE0C8C" w:rsidP="00EE0C8C">
            <w:pPr>
              <w:jc w:val="both"/>
              <w:rPr>
                <w:rFonts w:ascii="Calibri" w:eastAsia="Times New Roman" w:hAnsi="Calibri" w:cs="Times New Roman"/>
              </w:rPr>
            </w:pPr>
            <w:r w:rsidRPr="00EE0C8C">
              <w:rPr>
                <w:rFonts w:ascii="Calibri" w:eastAsia="Times New Roman" w:hAnsi="Calibri" w:cs="Times New Roman"/>
              </w:rPr>
              <w:t>- gry i zabawy dowolne</w:t>
            </w:r>
          </w:p>
        </w:tc>
        <w:tc>
          <w:tcPr>
            <w:tcW w:w="4142" w:type="dxa"/>
          </w:tcPr>
          <w:p w:rsidR="00EE0C8C" w:rsidRPr="00EE0C8C" w:rsidRDefault="00EE0C8C" w:rsidP="00EE0C8C">
            <w:pPr>
              <w:jc w:val="center"/>
              <w:rPr>
                <w:rFonts w:ascii="Calibri" w:eastAsia="Times New Roman" w:hAnsi="Calibri" w:cs="Times New Roman"/>
              </w:rPr>
            </w:pPr>
            <w:r w:rsidRPr="00EE0C8C">
              <w:rPr>
                <w:rFonts w:ascii="Calibri" w:eastAsia="Times New Roman" w:hAnsi="Calibri" w:cs="Times New Roman"/>
              </w:rPr>
              <w:t>1482 osoby</w:t>
            </w:r>
          </w:p>
        </w:tc>
      </w:tr>
      <w:tr w:rsidR="00EE0C8C" w:rsidRPr="00EE0C8C" w:rsidTr="00A76BDB">
        <w:trPr>
          <w:jc w:val="center"/>
        </w:trPr>
        <w:tc>
          <w:tcPr>
            <w:tcW w:w="4962" w:type="dxa"/>
            <w:shd w:val="clear" w:color="auto" w:fill="31849B" w:themeFill="accent5" w:themeFillShade="BF"/>
          </w:tcPr>
          <w:p w:rsidR="00EE0C8C" w:rsidRPr="00EE0C8C" w:rsidRDefault="00EE0C8C" w:rsidP="00EE0C8C">
            <w:pPr>
              <w:jc w:val="both"/>
              <w:rPr>
                <w:rFonts w:ascii="Calibri" w:eastAsia="Times New Roman" w:hAnsi="Calibri" w:cs="Times New Roman"/>
                <w:b/>
                <w:color w:val="FFFFFF"/>
              </w:rPr>
            </w:pPr>
            <w:r w:rsidRPr="00EE0C8C">
              <w:rPr>
                <w:rFonts w:ascii="Calibri" w:eastAsia="Times New Roman" w:hAnsi="Calibri" w:cs="Times New Roman"/>
                <w:b/>
                <w:color w:val="FFFFFF"/>
              </w:rPr>
              <w:t>MAŁYSZYN</w:t>
            </w:r>
          </w:p>
        </w:tc>
        <w:tc>
          <w:tcPr>
            <w:tcW w:w="4142" w:type="dxa"/>
            <w:shd w:val="clear" w:color="auto" w:fill="31849B" w:themeFill="accent5" w:themeFillShade="BF"/>
          </w:tcPr>
          <w:p w:rsidR="00EE0C8C" w:rsidRPr="00EE0C8C" w:rsidRDefault="00EE0C8C" w:rsidP="00EE0C8C">
            <w:pPr>
              <w:jc w:val="center"/>
              <w:rPr>
                <w:rFonts w:ascii="Calibri" w:eastAsia="Times New Roman" w:hAnsi="Calibri" w:cs="Times New Roman"/>
                <w:b/>
                <w:color w:val="FFFFFF"/>
              </w:rPr>
            </w:pPr>
            <w:r w:rsidRPr="00EE0C8C">
              <w:rPr>
                <w:rFonts w:ascii="Calibri" w:eastAsia="Times New Roman" w:hAnsi="Calibri" w:cs="Times New Roman"/>
                <w:b/>
                <w:color w:val="FFFFFF"/>
              </w:rPr>
              <w:t>1673  osoby</w:t>
            </w:r>
          </w:p>
        </w:tc>
      </w:tr>
      <w:tr w:rsidR="00EE0C8C" w:rsidRPr="00EE0C8C" w:rsidTr="00A76BDB">
        <w:trPr>
          <w:jc w:val="center"/>
        </w:trPr>
        <w:tc>
          <w:tcPr>
            <w:tcW w:w="4962" w:type="dxa"/>
          </w:tcPr>
          <w:p w:rsidR="00EE0C8C" w:rsidRPr="00EE0C8C" w:rsidRDefault="00EE0C8C" w:rsidP="00EE0C8C">
            <w:pPr>
              <w:jc w:val="both"/>
              <w:rPr>
                <w:rFonts w:ascii="Calibri" w:eastAsia="Times New Roman" w:hAnsi="Calibri" w:cs="Times New Roman"/>
              </w:rPr>
            </w:pPr>
            <w:r w:rsidRPr="00EE0C8C">
              <w:rPr>
                <w:rFonts w:ascii="Calibri" w:eastAsia="Times New Roman" w:hAnsi="Calibri" w:cs="Times New Roman"/>
              </w:rPr>
              <w:t>- zajęcia plastyczne, rękodzieło, zajęcia dowolne</w:t>
            </w:r>
          </w:p>
        </w:tc>
        <w:tc>
          <w:tcPr>
            <w:tcW w:w="4142" w:type="dxa"/>
          </w:tcPr>
          <w:p w:rsidR="00EE0C8C" w:rsidRPr="00EE0C8C" w:rsidRDefault="00EE0C8C" w:rsidP="00EE0C8C">
            <w:pPr>
              <w:jc w:val="center"/>
              <w:rPr>
                <w:rFonts w:ascii="Calibri" w:eastAsia="Times New Roman" w:hAnsi="Calibri" w:cs="Times New Roman"/>
              </w:rPr>
            </w:pPr>
            <w:r w:rsidRPr="00EE0C8C">
              <w:rPr>
                <w:rFonts w:ascii="Calibri" w:eastAsia="Times New Roman" w:hAnsi="Calibri" w:cs="Times New Roman"/>
              </w:rPr>
              <w:t>1355 osób</w:t>
            </w:r>
          </w:p>
        </w:tc>
      </w:tr>
      <w:tr w:rsidR="00EE0C8C" w:rsidRPr="00EE0C8C" w:rsidTr="00A76BDB">
        <w:trPr>
          <w:jc w:val="center"/>
        </w:trPr>
        <w:tc>
          <w:tcPr>
            <w:tcW w:w="4962" w:type="dxa"/>
          </w:tcPr>
          <w:p w:rsidR="00EE0C8C" w:rsidRPr="00EE0C8C" w:rsidRDefault="00EE0C8C" w:rsidP="00EE0C8C">
            <w:pPr>
              <w:jc w:val="both"/>
              <w:rPr>
                <w:rFonts w:ascii="Calibri" w:eastAsia="Times New Roman" w:hAnsi="Calibri" w:cs="Times New Roman"/>
              </w:rPr>
            </w:pPr>
            <w:r w:rsidRPr="00EE0C8C">
              <w:rPr>
                <w:rFonts w:ascii="Calibri" w:eastAsia="Times New Roman" w:hAnsi="Calibri" w:cs="Times New Roman"/>
              </w:rPr>
              <w:t>- gry i zabawy (X-box)</w:t>
            </w:r>
          </w:p>
        </w:tc>
        <w:tc>
          <w:tcPr>
            <w:tcW w:w="4142" w:type="dxa"/>
          </w:tcPr>
          <w:p w:rsidR="00EE0C8C" w:rsidRPr="00EE0C8C" w:rsidRDefault="00EE0C8C" w:rsidP="00EE0C8C">
            <w:pPr>
              <w:jc w:val="center"/>
              <w:rPr>
                <w:rFonts w:ascii="Calibri" w:eastAsia="Times New Roman" w:hAnsi="Calibri" w:cs="Times New Roman"/>
              </w:rPr>
            </w:pPr>
            <w:r w:rsidRPr="00EE0C8C">
              <w:rPr>
                <w:rFonts w:ascii="Calibri" w:eastAsia="Times New Roman" w:hAnsi="Calibri" w:cs="Times New Roman"/>
              </w:rPr>
              <w:t>185 osób</w:t>
            </w:r>
          </w:p>
        </w:tc>
      </w:tr>
      <w:tr w:rsidR="00EE0C8C" w:rsidRPr="00EE0C8C" w:rsidTr="00A76BDB">
        <w:trPr>
          <w:jc w:val="center"/>
        </w:trPr>
        <w:tc>
          <w:tcPr>
            <w:tcW w:w="4962" w:type="dxa"/>
          </w:tcPr>
          <w:p w:rsidR="00EE0C8C" w:rsidRPr="00EE0C8C" w:rsidRDefault="00EE0C8C" w:rsidP="00EE0C8C">
            <w:pPr>
              <w:jc w:val="both"/>
              <w:rPr>
                <w:rFonts w:ascii="Calibri" w:eastAsia="Times New Roman" w:hAnsi="Calibri" w:cs="Times New Roman"/>
              </w:rPr>
            </w:pPr>
            <w:r w:rsidRPr="00EE0C8C">
              <w:rPr>
                <w:rFonts w:ascii="Calibri" w:eastAsia="Times New Roman" w:hAnsi="Calibri" w:cs="Times New Roman"/>
              </w:rPr>
              <w:t>- zajęcia muzyczne</w:t>
            </w:r>
          </w:p>
        </w:tc>
        <w:tc>
          <w:tcPr>
            <w:tcW w:w="4142" w:type="dxa"/>
          </w:tcPr>
          <w:p w:rsidR="00EE0C8C" w:rsidRPr="00EE0C8C" w:rsidRDefault="00EE0C8C" w:rsidP="00EE0C8C">
            <w:pPr>
              <w:jc w:val="center"/>
              <w:rPr>
                <w:rFonts w:ascii="Calibri" w:eastAsia="Times New Roman" w:hAnsi="Calibri" w:cs="Times New Roman"/>
              </w:rPr>
            </w:pPr>
            <w:r w:rsidRPr="00EE0C8C">
              <w:rPr>
                <w:rFonts w:ascii="Calibri" w:eastAsia="Times New Roman" w:hAnsi="Calibri" w:cs="Times New Roman"/>
              </w:rPr>
              <w:t>76 osób</w:t>
            </w:r>
          </w:p>
        </w:tc>
      </w:tr>
      <w:tr w:rsidR="00EE0C8C" w:rsidRPr="00EE0C8C" w:rsidTr="00A76BDB">
        <w:trPr>
          <w:jc w:val="center"/>
        </w:trPr>
        <w:tc>
          <w:tcPr>
            <w:tcW w:w="4962" w:type="dxa"/>
          </w:tcPr>
          <w:p w:rsidR="00EE0C8C" w:rsidRPr="00EE0C8C" w:rsidRDefault="00EE0C8C" w:rsidP="00EE0C8C">
            <w:pPr>
              <w:jc w:val="both"/>
              <w:rPr>
                <w:rFonts w:ascii="Calibri" w:eastAsia="Times New Roman" w:hAnsi="Calibri" w:cs="Times New Roman"/>
              </w:rPr>
            </w:pPr>
            <w:r w:rsidRPr="00EE0C8C">
              <w:rPr>
                <w:rFonts w:ascii="Calibri" w:eastAsia="Times New Roman" w:hAnsi="Calibri" w:cs="Times New Roman"/>
              </w:rPr>
              <w:t>- spotkania wiejskie</w:t>
            </w:r>
          </w:p>
        </w:tc>
        <w:tc>
          <w:tcPr>
            <w:tcW w:w="4142" w:type="dxa"/>
          </w:tcPr>
          <w:p w:rsidR="00EE0C8C" w:rsidRPr="00EE0C8C" w:rsidRDefault="00EE0C8C" w:rsidP="00EE0C8C">
            <w:pPr>
              <w:jc w:val="center"/>
              <w:rPr>
                <w:rFonts w:ascii="Calibri" w:eastAsia="Times New Roman" w:hAnsi="Calibri" w:cs="Times New Roman"/>
              </w:rPr>
            </w:pPr>
            <w:r w:rsidRPr="00EE0C8C">
              <w:rPr>
                <w:rFonts w:ascii="Calibri" w:eastAsia="Times New Roman" w:hAnsi="Calibri" w:cs="Times New Roman"/>
              </w:rPr>
              <w:t>57 osób</w:t>
            </w:r>
          </w:p>
        </w:tc>
      </w:tr>
      <w:tr w:rsidR="00EE0C8C" w:rsidRPr="00EE0C8C" w:rsidTr="00A76BDB">
        <w:trPr>
          <w:jc w:val="center"/>
        </w:trPr>
        <w:tc>
          <w:tcPr>
            <w:tcW w:w="4962" w:type="dxa"/>
            <w:shd w:val="clear" w:color="auto" w:fill="31849B" w:themeFill="accent5" w:themeFillShade="BF"/>
          </w:tcPr>
          <w:p w:rsidR="00EE0C8C" w:rsidRPr="00EE0C8C" w:rsidRDefault="00EE0C8C" w:rsidP="00EE0C8C">
            <w:pPr>
              <w:jc w:val="both"/>
              <w:rPr>
                <w:rFonts w:ascii="Calibri" w:eastAsia="Times New Roman" w:hAnsi="Calibri" w:cs="Times New Roman"/>
                <w:b/>
                <w:color w:val="FFFFFF"/>
              </w:rPr>
            </w:pPr>
            <w:r w:rsidRPr="00EE0C8C">
              <w:rPr>
                <w:rFonts w:ascii="Calibri" w:eastAsia="Times New Roman" w:hAnsi="Calibri" w:cs="Times New Roman"/>
                <w:b/>
                <w:color w:val="FFFFFF"/>
              </w:rPr>
              <w:t>OSINY</w:t>
            </w:r>
          </w:p>
        </w:tc>
        <w:tc>
          <w:tcPr>
            <w:tcW w:w="4142" w:type="dxa"/>
            <w:shd w:val="clear" w:color="auto" w:fill="31849B" w:themeFill="accent5" w:themeFillShade="BF"/>
          </w:tcPr>
          <w:p w:rsidR="00EE0C8C" w:rsidRPr="00EE0C8C" w:rsidRDefault="00EE0C8C" w:rsidP="00EE0C8C">
            <w:pPr>
              <w:jc w:val="center"/>
              <w:rPr>
                <w:rFonts w:ascii="Calibri" w:eastAsia="Times New Roman" w:hAnsi="Calibri" w:cs="Times New Roman"/>
                <w:b/>
                <w:color w:val="FFFFFF"/>
              </w:rPr>
            </w:pPr>
            <w:r w:rsidRPr="00EE0C8C">
              <w:rPr>
                <w:rFonts w:ascii="Calibri" w:eastAsia="Times New Roman" w:hAnsi="Calibri" w:cs="Times New Roman"/>
                <w:b/>
                <w:color w:val="FFFFFF"/>
              </w:rPr>
              <w:t>4183 osoby</w:t>
            </w:r>
          </w:p>
        </w:tc>
      </w:tr>
      <w:tr w:rsidR="00EE0C8C" w:rsidRPr="00EE0C8C" w:rsidTr="00A76BDB">
        <w:trPr>
          <w:jc w:val="center"/>
        </w:trPr>
        <w:tc>
          <w:tcPr>
            <w:tcW w:w="4962" w:type="dxa"/>
          </w:tcPr>
          <w:p w:rsidR="00EE0C8C" w:rsidRPr="00EE0C8C" w:rsidRDefault="00EE0C8C" w:rsidP="00EE0C8C">
            <w:pPr>
              <w:jc w:val="both"/>
              <w:rPr>
                <w:rFonts w:ascii="Calibri" w:eastAsia="Times New Roman" w:hAnsi="Calibri" w:cs="Times New Roman"/>
              </w:rPr>
            </w:pPr>
            <w:r w:rsidRPr="00EE0C8C">
              <w:rPr>
                <w:rFonts w:ascii="Calibri" w:eastAsia="Times New Roman" w:hAnsi="Calibri" w:cs="Times New Roman"/>
              </w:rPr>
              <w:t>- kafejka internetowa i sala gier</w:t>
            </w:r>
          </w:p>
        </w:tc>
        <w:tc>
          <w:tcPr>
            <w:tcW w:w="4142" w:type="dxa"/>
          </w:tcPr>
          <w:p w:rsidR="00EE0C8C" w:rsidRPr="00EE0C8C" w:rsidRDefault="00EE0C8C" w:rsidP="00EE0C8C">
            <w:pPr>
              <w:jc w:val="center"/>
              <w:rPr>
                <w:rFonts w:ascii="Calibri" w:eastAsia="Times New Roman" w:hAnsi="Calibri" w:cs="Times New Roman"/>
              </w:rPr>
            </w:pPr>
            <w:r w:rsidRPr="00EE0C8C">
              <w:rPr>
                <w:rFonts w:ascii="Calibri" w:eastAsia="Times New Roman" w:hAnsi="Calibri" w:cs="Times New Roman"/>
              </w:rPr>
              <w:t>3155 osób</w:t>
            </w:r>
          </w:p>
        </w:tc>
      </w:tr>
      <w:tr w:rsidR="00EE0C8C" w:rsidRPr="00EE0C8C" w:rsidTr="00A76BDB">
        <w:trPr>
          <w:jc w:val="center"/>
        </w:trPr>
        <w:tc>
          <w:tcPr>
            <w:tcW w:w="4962" w:type="dxa"/>
          </w:tcPr>
          <w:p w:rsidR="00EE0C8C" w:rsidRPr="00EE0C8C" w:rsidRDefault="00EE0C8C" w:rsidP="00EE0C8C">
            <w:pPr>
              <w:jc w:val="both"/>
              <w:rPr>
                <w:rFonts w:ascii="Calibri" w:eastAsia="Times New Roman" w:hAnsi="Calibri" w:cs="Times New Roman"/>
              </w:rPr>
            </w:pPr>
            <w:r w:rsidRPr="00EE0C8C">
              <w:rPr>
                <w:rFonts w:ascii="Calibri" w:eastAsia="Times New Roman" w:hAnsi="Calibri" w:cs="Times New Roman"/>
              </w:rPr>
              <w:t>- odwiedziny w Izbie Regionalnej</w:t>
            </w:r>
          </w:p>
        </w:tc>
        <w:tc>
          <w:tcPr>
            <w:tcW w:w="4142" w:type="dxa"/>
          </w:tcPr>
          <w:p w:rsidR="00EE0C8C" w:rsidRPr="00EE0C8C" w:rsidRDefault="00EE0C8C" w:rsidP="00EE0C8C">
            <w:pPr>
              <w:jc w:val="center"/>
              <w:rPr>
                <w:rFonts w:ascii="Calibri" w:eastAsia="Times New Roman" w:hAnsi="Calibri" w:cs="Times New Roman"/>
              </w:rPr>
            </w:pPr>
            <w:r w:rsidRPr="00EE0C8C">
              <w:rPr>
                <w:rFonts w:ascii="Calibri" w:eastAsia="Times New Roman" w:hAnsi="Calibri" w:cs="Times New Roman"/>
              </w:rPr>
              <w:t>201 osób</w:t>
            </w:r>
          </w:p>
        </w:tc>
      </w:tr>
      <w:tr w:rsidR="00EE0C8C" w:rsidRPr="00EE0C8C" w:rsidTr="00A76BDB">
        <w:trPr>
          <w:jc w:val="center"/>
        </w:trPr>
        <w:tc>
          <w:tcPr>
            <w:tcW w:w="4962" w:type="dxa"/>
          </w:tcPr>
          <w:p w:rsidR="00EE0C8C" w:rsidRPr="00EE0C8C" w:rsidRDefault="00EE0C8C" w:rsidP="00EE0C8C">
            <w:pPr>
              <w:jc w:val="both"/>
              <w:rPr>
                <w:rFonts w:ascii="Calibri" w:eastAsia="Times New Roman" w:hAnsi="Calibri" w:cs="Times New Roman"/>
              </w:rPr>
            </w:pPr>
            <w:r w:rsidRPr="00EE0C8C">
              <w:rPr>
                <w:rFonts w:ascii="Calibri" w:eastAsia="Times New Roman" w:hAnsi="Calibri" w:cs="Times New Roman"/>
              </w:rPr>
              <w:t>- zajęcia rytmiczne</w:t>
            </w:r>
          </w:p>
        </w:tc>
        <w:tc>
          <w:tcPr>
            <w:tcW w:w="4142" w:type="dxa"/>
          </w:tcPr>
          <w:p w:rsidR="00EE0C8C" w:rsidRPr="00EE0C8C" w:rsidRDefault="00EE0C8C" w:rsidP="00EE0C8C">
            <w:pPr>
              <w:jc w:val="center"/>
              <w:rPr>
                <w:rFonts w:ascii="Calibri" w:eastAsia="Times New Roman" w:hAnsi="Calibri" w:cs="Times New Roman"/>
              </w:rPr>
            </w:pPr>
            <w:r w:rsidRPr="00EE0C8C">
              <w:rPr>
                <w:rFonts w:ascii="Calibri" w:eastAsia="Times New Roman" w:hAnsi="Calibri" w:cs="Times New Roman"/>
              </w:rPr>
              <w:t>332 osób</w:t>
            </w:r>
          </w:p>
        </w:tc>
      </w:tr>
      <w:tr w:rsidR="00EE0C8C" w:rsidRPr="00EE0C8C" w:rsidTr="00A76BDB">
        <w:trPr>
          <w:jc w:val="center"/>
        </w:trPr>
        <w:tc>
          <w:tcPr>
            <w:tcW w:w="4962" w:type="dxa"/>
          </w:tcPr>
          <w:p w:rsidR="00EE0C8C" w:rsidRPr="00EE0C8C" w:rsidRDefault="00EE0C8C" w:rsidP="00EE0C8C">
            <w:pPr>
              <w:jc w:val="both"/>
              <w:rPr>
                <w:rFonts w:ascii="Calibri" w:eastAsia="Times New Roman" w:hAnsi="Calibri" w:cs="Times New Roman"/>
              </w:rPr>
            </w:pPr>
            <w:r w:rsidRPr="00EE0C8C">
              <w:rPr>
                <w:rFonts w:ascii="Calibri" w:eastAsia="Times New Roman" w:hAnsi="Calibri" w:cs="Times New Roman"/>
              </w:rPr>
              <w:t>- zajęcia rękodzielnicze</w:t>
            </w:r>
          </w:p>
        </w:tc>
        <w:tc>
          <w:tcPr>
            <w:tcW w:w="4142" w:type="dxa"/>
          </w:tcPr>
          <w:p w:rsidR="00EE0C8C" w:rsidRPr="00EE0C8C" w:rsidRDefault="00EE0C8C" w:rsidP="00EE0C8C">
            <w:pPr>
              <w:jc w:val="center"/>
              <w:rPr>
                <w:rFonts w:ascii="Calibri" w:eastAsia="Times New Roman" w:hAnsi="Calibri" w:cs="Times New Roman"/>
              </w:rPr>
            </w:pPr>
            <w:r w:rsidRPr="00EE0C8C">
              <w:rPr>
                <w:rFonts w:ascii="Calibri" w:eastAsia="Times New Roman" w:hAnsi="Calibri" w:cs="Times New Roman"/>
              </w:rPr>
              <w:t>202 osoby</w:t>
            </w:r>
          </w:p>
        </w:tc>
      </w:tr>
      <w:tr w:rsidR="00EE0C8C" w:rsidRPr="00EE0C8C" w:rsidTr="00A76BDB">
        <w:trPr>
          <w:jc w:val="center"/>
        </w:trPr>
        <w:tc>
          <w:tcPr>
            <w:tcW w:w="4962" w:type="dxa"/>
          </w:tcPr>
          <w:p w:rsidR="00EE0C8C" w:rsidRPr="00EE0C8C" w:rsidRDefault="00EE0C8C" w:rsidP="00EE0C8C">
            <w:pPr>
              <w:jc w:val="both"/>
              <w:rPr>
                <w:rFonts w:ascii="Calibri" w:eastAsia="Times New Roman" w:hAnsi="Calibri" w:cs="Times New Roman"/>
              </w:rPr>
            </w:pPr>
            <w:r w:rsidRPr="00EE0C8C">
              <w:rPr>
                <w:rFonts w:ascii="Calibri" w:eastAsia="Times New Roman" w:hAnsi="Calibri" w:cs="Times New Roman"/>
              </w:rPr>
              <w:t>- zajęcia muzyczne</w:t>
            </w:r>
          </w:p>
        </w:tc>
        <w:tc>
          <w:tcPr>
            <w:tcW w:w="4142" w:type="dxa"/>
          </w:tcPr>
          <w:p w:rsidR="00EE0C8C" w:rsidRPr="00EE0C8C" w:rsidRDefault="00EE0C8C" w:rsidP="00EE0C8C">
            <w:pPr>
              <w:jc w:val="center"/>
              <w:rPr>
                <w:rFonts w:ascii="Calibri" w:eastAsia="Times New Roman" w:hAnsi="Calibri" w:cs="Times New Roman"/>
              </w:rPr>
            </w:pPr>
            <w:r w:rsidRPr="00EE0C8C">
              <w:rPr>
                <w:rFonts w:ascii="Calibri" w:eastAsia="Times New Roman" w:hAnsi="Calibri" w:cs="Times New Roman"/>
              </w:rPr>
              <w:t>293 osoby</w:t>
            </w:r>
          </w:p>
        </w:tc>
      </w:tr>
      <w:tr w:rsidR="00EE0C8C" w:rsidRPr="00EE0C8C" w:rsidTr="00A76BDB">
        <w:trPr>
          <w:jc w:val="center"/>
        </w:trPr>
        <w:tc>
          <w:tcPr>
            <w:tcW w:w="4962" w:type="dxa"/>
            <w:shd w:val="clear" w:color="auto" w:fill="31849B" w:themeFill="accent5" w:themeFillShade="BF"/>
          </w:tcPr>
          <w:p w:rsidR="00EE0C8C" w:rsidRPr="00EE0C8C" w:rsidRDefault="00EE0C8C" w:rsidP="00EE0C8C">
            <w:pPr>
              <w:jc w:val="both"/>
              <w:rPr>
                <w:rFonts w:ascii="Calibri" w:eastAsia="Times New Roman" w:hAnsi="Calibri" w:cs="Times New Roman"/>
                <w:b/>
                <w:color w:val="FFFFFF"/>
              </w:rPr>
            </w:pPr>
            <w:r w:rsidRPr="00EE0C8C">
              <w:rPr>
                <w:rFonts w:ascii="Calibri" w:eastAsia="Times New Roman" w:hAnsi="Calibri" w:cs="Times New Roman"/>
                <w:b/>
                <w:color w:val="FFFFFF"/>
              </w:rPr>
              <w:t>TYCHÓW STARY</w:t>
            </w:r>
          </w:p>
        </w:tc>
        <w:tc>
          <w:tcPr>
            <w:tcW w:w="4142" w:type="dxa"/>
            <w:shd w:val="clear" w:color="auto" w:fill="31849B" w:themeFill="accent5" w:themeFillShade="BF"/>
          </w:tcPr>
          <w:p w:rsidR="00EE0C8C" w:rsidRPr="00EE0C8C" w:rsidRDefault="00EE0C8C" w:rsidP="00EE0C8C">
            <w:pPr>
              <w:jc w:val="center"/>
              <w:rPr>
                <w:rFonts w:ascii="Calibri" w:eastAsia="Times New Roman" w:hAnsi="Calibri" w:cs="Times New Roman"/>
                <w:b/>
                <w:color w:val="FFFFFF"/>
              </w:rPr>
            </w:pPr>
            <w:r w:rsidRPr="00EE0C8C">
              <w:rPr>
                <w:rFonts w:ascii="Calibri" w:eastAsia="Times New Roman" w:hAnsi="Calibri" w:cs="Times New Roman"/>
                <w:b/>
                <w:color w:val="FFFFFF"/>
              </w:rPr>
              <w:t>1772 osoby</w:t>
            </w:r>
          </w:p>
        </w:tc>
      </w:tr>
      <w:tr w:rsidR="00EE0C8C" w:rsidRPr="00EE0C8C" w:rsidTr="00A76BDB">
        <w:trPr>
          <w:jc w:val="center"/>
        </w:trPr>
        <w:tc>
          <w:tcPr>
            <w:tcW w:w="4962" w:type="dxa"/>
          </w:tcPr>
          <w:p w:rsidR="00EE0C8C" w:rsidRPr="00EE0C8C" w:rsidRDefault="00EE0C8C" w:rsidP="00EE0C8C">
            <w:pPr>
              <w:jc w:val="both"/>
              <w:rPr>
                <w:rFonts w:ascii="Calibri" w:eastAsia="Times New Roman" w:hAnsi="Calibri" w:cs="Times New Roman"/>
              </w:rPr>
            </w:pPr>
            <w:r w:rsidRPr="00EE0C8C">
              <w:rPr>
                <w:rFonts w:ascii="Calibri" w:eastAsia="Times New Roman" w:hAnsi="Calibri" w:cs="Times New Roman"/>
              </w:rPr>
              <w:t>- warsztaty plastyczne</w:t>
            </w:r>
          </w:p>
        </w:tc>
        <w:tc>
          <w:tcPr>
            <w:tcW w:w="4142" w:type="dxa"/>
          </w:tcPr>
          <w:p w:rsidR="00EE0C8C" w:rsidRPr="00EE0C8C" w:rsidRDefault="00EE0C8C" w:rsidP="00EE0C8C">
            <w:pPr>
              <w:jc w:val="center"/>
              <w:rPr>
                <w:rFonts w:ascii="Calibri" w:eastAsia="Times New Roman" w:hAnsi="Calibri" w:cs="Times New Roman"/>
              </w:rPr>
            </w:pPr>
            <w:r w:rsidRPr="00EE0C8C">
              <w:rPr>
                <w:rFonts w:ascii="Calibri" w:eastAsia="Times New Roman" w:hAnsi="Calibri" w:cs="Times New Roman"/>
              </w:rPr>
              <w:t>341 osób</w:t>
            </w:r>
          </w:p>
        </w:tc>
      </w:tr>
      <w:tr w:rsidR="00EE0C8C" w:rsidRPr="00EE0C8C" w:rsidTr="00A76BDB">
        <w:trPr>
          <w:jc w:val="center"/>
        </w:trPr>
        <w:tc>
          <w:tcPr>
            <w:tcW w:w="4962" w:type="dxa"/>
          </w:tcPr>
          <w:p w:rsidR="00EE0C8C" w:rsidRPr="00EE0C8C" w:rsidRDefault="00EE0C8C" w:rsidP="00EE0C8C">
            <w:pPr>
              <w:jc w:val="both"/>
              <w:rPr>
                <w:rFonts w:ascii="Calibri" w:eastAsia="Times New Roman" w:hAnsi="Calibri" w:cs="Times New Roman"/>
              </w:rPr>
            </w:pPr>
            <w:r w:rsidRPr="00EE0C8C">
              <w:rPr>
                <w:rFonts w:ascii="Calibri" w:eastAsia="Times New Roman" w:hAnsi="Calibri" w:cs="Times New Roman"/>
              </w:rPr>
              <w:t>- warsztaty kulinarne</w:t>
            </w:r>
          </w:p>
        </w:tc>
        <w:tc>
          <w:tcPr>
            <w:tcW w:w="4142" w:type="dxa"/>
          </w:tcPr>
          <w:p w:rsidR="00EE0C8C" w:rsidRPr="00EE0C8C" w:rsidRDefault="00EE0C8C" w:rsidP="00EE0C8C">
            <w:pPr>
              <w:jc w:val="center"/>
              <w:rPr>
                <w:rFonts w:ascii="Calibri" w:eastAsia="Times New Roman" w:hAnsi="Calibri" w:cs="Times New Roman"/>
              </w:rPr>
            </w:pPr>
            <w:r w:rsidRPr="00EE0C8C">
              <w:rPr>
                <w:rFonts w:ascii="Calibri" w:eastAsia="Times New Roman" w:hAnsi="Calibri" w:cs="Times New Roman"/>
              </w:rPr>
              <w:t>82 osób</w:t>
            </w:r>
          </w:p>
        </w:tc>
      </w:tr>
      <w:tr w:rsidR="00EE0C8C" w:rsidRPr="00EE0C8C" w:rsidTr="00A76BDB">
        <w:trPr>
          <w:jc w:val="center"/>
        </w:trPr>
        <w:tc>
          <w:tcPr>
            <w:tcW w:w="4962" w:type="dxa"/>
          </w:tcPr>
          <w:p w:rsidR="00EE0C8C" w:rsidRPr="00EE0C8C" w:rsidRDefault="00EE0C8C" w:rsidP="00EE0C8C">
            <w:pPr>
              <w:jc w:val="both"/>
              <w:rPr>
                <w:rFonts w:ascii="Calibri" w:eastAsia="Times New Roman" w:hAnsi="Calibri" w:cs="Times New Roman"/>
              </w:rPr>
            </w:pPr>
            <w:r w:rsidRPr="00EE0C8C">
              <w:rPr>
                <w:rFonts w:ascii="Calibri" w:eastAsia="Times New Roman" w:hAnsi="Calibri" w:cs="Times New Roman"/>
              </w:rPr>
              <w:t>- warsztaty muzyczne</w:t>
            </w:r>
          </w:p>
        </w:tc>
        <w:tc>
          <w:tcPr>
            <w:tcW w:w="4142" w:type="dxa"/>
          </w:tcPr>
          <w:p w:rsidR="00EE0C8C" w:rsidRPr="00EE0C8C" w:rsidRDefault="00EE0C8C" w:rsidP="00EE0C8C">
            <w:pPr>
              <w:jc w:val="center"/>
              <w:rPr>
                <w:rFonts w:ascii="Calibri" w:eastAsia="Times New Roman" w:hAnsi="Calibri" w:cs="Times New Roman"/>
              </w:rPr>
            </w:pPr>
            <w:r w:rsidRPr="00EE0C8C">
              <w:rPr>
                <w:rFonts w:ascii="Calibri" w:eastAsia="Times New Roman" w:hAnsi="Calibri" w:cs="Times New Roman"/>
              </w:rPr>
              <w:t>14 osób</w:t>
            </w:r>
          </w:p>
        </w:tc>
      </w:tr>
      <w:tr w:rsidR="00EE0C8C" w:rsidRPr="00EE0C8C" w:rsidTr="00A76BDB">
        <w:trPr>
          <w:jc w:val="center"/>
        </w:trPr>
        <w:tc>
          <w:tcPr>
            <w:tcW w:w="4962" w:type="dxa"/>
          </w:tcPr>
          <w:p w:rsidR="00EE0C8C" w:rsidRPr="00EE0C8C" w:rsidRDefault="00EE0C8C" w:rsidP="00EE0C8C">
            <w:pPr>
              <w:jc w:val="both"/>
              <w:rPr>
                <w:rFonts w:ascii="Calibri" w:eastAsia="Times New Roman" w:hAnsi="Calibri" w:cs="Times New Roman"/>
              </w:rPr>
            </w:pPr>
            <w:r w:rsidRPr="00EE0C8C">
              <w:rPr>
                <w:rFonts w:ascii="Calibri" w:eastAsia="Times New Roman" w:hAnsi="Calibri" w:cs="Times New Roman"/>
              </w:rPr>
              <w:t>- ogniska organizowane wspólnie z SP Tychów Stary</w:t>
            </w:r>
          </w:p>
        </w:tc>
        <w:tc>
          <w:tcPr>
            <w:tcW w:w="4142" w:type="dxa"/>
          </w:tcPr>
          <w:p w:rsidR="00EE0C8C" w:rsidRPr="00EE0C8C" w:rsidRDefault="00EE0C8C" w:rsidP="00EE0C8C">
            <w:pPr>
              <w:jc w:val="center"/>
              <w:rPr>
                <w:rFonts w:ascii="Calibri" w:eastAsia="Times New Roman" w:hAnsi="Calibri" w:cs="Times New Roman"/>
              </w:rPr>
            </w:pPr>
            <w:r w:rsidRPr="00EE0C8C">
              <w:rPr>
                <w:rFonts w:ascii="Calibri" w:eastAsia="Times New Roman" w:hAnsi="Calibri" w:cs="Times New Roman"/>
              </w:rPr>
              <w:t>122 osób</w:t>
            </w:r>
          </w:p>
        </w:tc>
      </w:tr>
      <w:tr w:rsidR="00EE0C8C" w:rsidRPr="00EE0C8C" w:rsidTr="00A76BDB">
        <w:trPr>
          <w:jc w:val="center"/>
        </w:trPr>
        <w:tc>
          <w:tcPr>
            <w:tcW w:w="4962" w:type="dxa"/>
          </w:tcPr>
          <w:p w:rsidR="00EE0C8C" w:rsidRPr="00EE0C8C" w:rsidRDefault="00EE0C8C" w:rsidP="00EE0C8C">
            <w:pPr>
              <w:jc w:val="both"/>
              <w:rPr>
                <w:rFonts w:ascii="Calibri" w:eastAsia="Times New Roman" w:hAnsi="Calibri" w:cs="Times New Roman"/>
              </w:rPr>
            </w:pPr>
            <w:r w:rsidRPr="00EE0C8C">
              <w:rPr>
                <w:rFonts w:ascii="Calibri" w:eastAsia="Times New Roman" w:hAnsi="Calibri" w:cs="Times New Roman"/>
              </w:rPr>
              <w:lastRenderedPageBreak/>
              <w:t>- gry i zabawy dowolne (bilard, tenis stołowy)</w:t>
            </w:r>
          </w:p>
        </w:tc>
        <w:tc>
          <w:tcPr>
            <w:tcW w:w="4142" w:type="dxa"/>
          </w:tcPr>
          <w:p w:rsidR="00EE0C8C" w:rsidRPr="00EE0C8C" w:rsidRDefault="00EE0C8C" w:rsidP="00EE0C8C">
            <w:pPr>
              <w:jc w:val="center"/>
              <w:rPr>
                <w:rFonts w:ascii="Calibri" w:eastAsia="Times New Roman" w:hAnsi="Calibri" w:cs="Times New Roman"/>
              </w:rPr>
            </w:pPr>
            <w:r w:rsidRPr="00EE0C8C">
              <w:rPr>
                <w:rFonts w:ascii="Calibri" w:eastAsia="Times New Roman" w:hAnsi="Calibri" w:cs="Times New Roman"/>
              </w:rPr>
              <w:t>1213 osób</w:t>
            </w:r>
          </w:p>
        </w:tc>
      </w:tr>
    </w:tbl>
    <w:p w:rsidR="00EE0C8C" w:rsidRPr="00EE0C8C" w:rsidRDefault="00EE0C8C" w:rsidP="00EE0C8C">
      <w:pPr>
        <w:jc w:val="center"/>
        <w:rPr>
          <w:rFonts w:ascii="Calibri" w:eastAsia="Times New Roman" w:hAnsi="Calibri" w:cs="Times New Roman"/>
          <w:i/>
          <w:lang w:eastAsia="pl-PL"/>
        </w:rPr>
      </w:pPr>
      <w:r w:rsidRPr="00EE0C8C">
        <w:rPr>
          <w:rFonts w:ascii="Calibri" w:eastAsia="Times New Roman" w:hAnsi="Calibri" w:cs="Times New Roman"/>
          <w:i/>
          <w:lang w:eastAsia="pl-PL"/>
        </w:rPr>
        <w:t>(Źródło: Gminny Dom Kultury i Integracji w Mircu)</w:t>
      </w:r>
    </w:p>
    <w:p w:rsidR="00EE0C8C" w:rsidRPr="00EE0C8C" w:rsidRDefault="00EE0C8C" w:rsidP="00EE0C8C">
      <w:pPr>
        <w:jc w:val="center"/>
        <w:rPr>
          <w:rFonts w:ascii="Calibri" w:eastAsia="Times New Roman" w:hAnsi="Calibri" w:cs="Times New Roman"/>
          <w:b/>
          <w:lang w:eastAsia="pl-PL"/>
        </w:rPr>
      </w:pPr>
      <w:r w:rsidRPr="00EE0C8C">
        <w:rPr>
          <w:rFonts w:ascii="Calibri" w:eastAsia="Times New Roman" w:hAnsi="Calibri" w:cs="Times New Roman"/>
          <w:b/>
          <w:lang w:eastAsia="pl-PL"/>
        </w:rPr>
        <w:t>Imprezy organizowane w roku 2014:</w:t>
      </w:r>
    </w:p>
    <w:tbl>
      <w:tblPr>
        <w:tblStyle w:val="redniecieniowanie2akcent51"/>
        <w:tblW w:w="0" w:type="auto"/>
        <w:tblLook w:val="04A0" w:firstRow="1" w:lastRow="0" w:firstColumn="1" w:lastColumn="0" w:noHBand="0" w:noVBand="1"/>
      </w:tblPr>
      <w:tblGrid>
        <w:gridCol w:w="498"/>
        <w:gridCol w:w="2878"/>
        <w:gridCol w:w="1220"/>
        <w:gridCol w:w="2534"/>
        <w:gridCol w:w="2158"/>
      </w:tblGrid>
      <w:tr w:rsidR="00EE0C8C" w:rsidRPr="00EE0C8C" w:rsidTr="00A76BD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rsidR="00EE0C8C" w:rsidRPr="00EE0C8C" w:rsidRDefault="00EE0C8C" w:rsidP="00EE0C8C">
            <w:pPr>
              <w:jc w:val="center"/>
              <w:rPr>
                <w:rFonts w:ascii="Calibri" w:eastAsia="Calibri" w:hAnsi="Calibri" w:cs="Times New Roman"/>
              </w:rPr>
            </w:pPr>
            <w:r w:rsidRPr="00EE0C8C">
              <w:rPr>
                <w:rFonts w:ascii="Calibri" w:eastAsia="Calibri" w:hAnsi="Calibri" w:cs="Times New Roman"/>
              </w:rPr>
              <w:t>Lp.</w:t>
            </w:r>
          </w:p>
        </w:tc>
        <w:tc>
          <w:tcPr>
            <w:tcW w:w="0" w:type="auto"/>
          </w:tcPr>
          <w:p w:rsidR="00EE0C8C" w:rsidRPr="00EE0C8C" w:rsidRDefault="00EE0C8C" w:rsidP="00EE0C8C">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IMPREZA</w:t>
            </w:r>
          </w:p>
        </w:tc>
        <w:tc>
          <w:tcPr>
            <w:tcW w:w="0" w:type="auto"/>
          </w:tcPr>
          <w:p w:rsidR="00EE0C8C" w:rsidRPr="00EE0C8C" w:rsidRDefault="00EE0C8C" w:rsidP="00EE0C8C">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DATA</w:t>
            </w:r>
          </w:p>
        </w:tc>
        <w:tc>
          <w:tcPr>
            <w:tcW w:w="0" w:type="auto"/>
          </w:tcPr>
          <w:p w:rsidR="00EE0C8C" w:rsidRPr="00EE0C8C" w:rsidRDefault="00EE0C8C" w:rsidP="00EE0C8C">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Współorganizator</w:t>
            </w:r>
          </w:p>
        </w:tc>
        <w:tc>
          <w:tcPr>
            <w:tcW w:w="0" w:type="auto"/>
          </w:tcPr>
          <w:p w:rsidR="00EE0C8C" w:rsidRPr="00EE0C8C" w:rsidRDefault="00EE0C8C" w:rsidP="00EE0C8C">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Miejsce</w:t>
            </w:r>
          </w:p>
        </w:tc>
      </w:tr>
      <w:tr w:rsidR="00EE0C8C" w:rsidRPr="00EE0C8C" w:rsidTr="00A76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E0C8C" w:rsidRPr="00EE0C8C" w:rsidRDefault="00EE0C8C" w:rsidP="00EE0C8C">
            <w:pPr>
              <w:jc w:val="center"/>
              <w:rPr>
                <w:rFonts w:ascii="Calibri" w:eastAsia="Calibri" w:hAnsi="Calibri" w:cs="Times New Roman"/>
              </w:rPr>
            </w:pPr>
            <w:r w:rsidRPr="00EE0C8C">
              <w:rPr>
                <w:rFonts w:ascii="Calibri" w:eastAsia="Calibri" w:hAnsi="Calibri" w:cs="Times New Roman"/>
              </w:rPr>
              <w:t>1.</w:t>
            </w:r>
          </w:p>
        </w:tc>
        <w:tc>
          <w:tcPr>
            <w:tcW w:w="0" w:type="auto"/>
          </w:tcPr>
          <w:p w:rsidR="00EE0C8C" w:rsidRPr="00EE0C8C" w:rsidRDefault="00EE0C8C" w:rsidP="00EE0C8C">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NIECH KOLĘDA SIĘ NIESIE</w:t>
            </w:r>
          </w:p>
        </w:tc>
        <w:tc>
          <w:tcPr>
            <w:tcW w:w="0" w:type="auto"/>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04.01.2014</w:t>
            </w:r>
          </w:p>
        </w:tc>
        <w:tc>
          <w:tcPr>
            <w:tcW w:w="0" w:type="auto"/>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CTL, KGW OSINY</w:t>
            </w:r>
          </w:p>
        </w:tc>
        <w:tc>
          <w:tcPr>
            <w:tcW w:w="0" w:type="auto"/>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CTL OSINY</w:t>
            </w:r>
          </w:p>
        </w:tc>
      </w:tr>
      <w:tr w:rsidR="00EE0C8C" w:rsidRPr="00EE0C8C" w:rsidTr="00A76BDB">
        <w:tc>
          <w:tcPr>
            <w:cnfStyle w:val="001000000000" w:firstRow="0" w:lastRow="0" w:firstColumn="1" w:lastColumn="0" w:oddVBand="0" w:evenVBand="0" w:oddHBand="0" w:evenHBand="0" w:firstRowFirstColumn="0" w:firstRowLastColumn="0" w:lastRowFirstColumn="0" w:lastRowLastColumn="0"/>
            <w:tcW w:w="0" w:type="auto"/>
          </w:tcPr>
          <w:p w:rsidR="00EE0C8C" w:rsidRPr="00EE0C8C" w:rsidRDefault="00EE0C8C" w:rsidP="00EE0C8C">
            <w:pPr>
              <w:jc w:val="center"/>
              <w:rPr>
                <w:rFonts w:ascii="Calibri" w:eastAsia="Calibri" w:hAnsi="Calibri" w:cs="Times New Roman"/>
              </w:rPr>
            </w:pPr>
            <w:r w:rsidRPr="00EE0C8C">
              <w:rPr>
                <w:rFonts w:ascii="Calibri" w:eastAsia="Calibri" w:hAnsi="Calibri" w:cs="Times New Roman"/>
              </w:rPr>
              <w:t>2.</w:t>
            </w:r>
          </w:p>
        </w:tc>
        <w:tc>
          <w:tcPr>
            <w:tcW w:w="0" w:type="auto"/>
          </w:tcPr>
          <w:p w:rsidR="00EE0C8C" w:rsidRPr="00EE0C8C" w:rsidRDefault="00EE0C8C" w:rsidP="00EE0C8C">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FINAŁ WOŚP</w:t>
            </w:r>
          </w:p>
        </w:tc>
        <w:tc>
          <w:tcPr>
            <w:tcW w:w="0" w:type="auto"/>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12.01.2014</w:t>
            </w:r>
          </w:p>
        </w:tc>
        <w:tc>
          <w:tcPr>
            <w:tcW w:w="0" w:type="auto"/>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CTL OSINY</w:t>
            </w:r>
          </w:p>
        </w:tc>
        <w:tc>
          <w:tcPr>
            <w:tcW w:w="0" w:type="auto"/>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CTL OSINY</w:t>
            </w:r>
          </w:p>
        </w:tc>
      </w:tr>
      <w:tr w:rsidR="00EE0C8C" w:rsidRPr="00EE0C8C" w:rsidTr="00A76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E0C8C" w:rsidRPr="00EE0C8C" w:rsidRDefault="00EE0C8C" w:rsidP="00EE0C8C">
            <w:pPr>
              <w:jc w:val="center"/>
              <w:rPr>
                <w:rFonts w:ascii="Calibri" w:eastAsia="Calibri" w:hAnsi="Calibri" w:cs="Times New Roman"/>
              </w:rPr>
            </w:pPr>
            <w:r w:rsidRPr="00EE0C8C">
              <w:rPr>
                <w:rFonts w:ascii="Calibri" w:eastAsia="Calibri" w:hAnsi="Calibri" w:cs="Times New Roman"/>
              </w:rPr>
              <w:t>3.</w:t>
            </w:r>
          </w:p>
        </w:tc>
        <w:tc>
          <w:tcPr>
            <w:tcW w:w="0" w:type="auto"/>
          </w:tcPr>
          <w:p w:rsidR="00EE0C8C" w:rsidRPr="00EE0C8C" w:rsidRDefault="00EE0C8C" w:rsidP="00EE0C8C">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OTWARCIE GDKiI W MIRCU</w:t>
            </w:r>
          </w:p>
        </w:tc>
        <w:tc>
          <w:tcPr>
            <w:tcW w:w="0" w:type="auto"/>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30.01.2014</w:t>
            </w:r>
          </w:p>
        </w:tc>
        <w:tc>
          <w:tcPr>
            <w:tcW w:w="0" w:type="auto"/>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GDKiI w MIRCU</w:t>
            </w:r>
          </w:p>
        </w:tc>
        <w:tc>
          <w:tcPr>
            <w:tcW w:w="0" w:type="auto"/>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GDKiI w MIRCU</w:t>
            </w:r>
          </w:p>
        </w:tc>
      </w:tr>
      <w:tr w:rsidR="00EE0C8C" w:rsidRPr="00EE0C8C" w:rsidTr="00A76BDB">
        <w:tc>
          <w:tcPr>
            <w:cnfStyle w:val="001000000000" w:firstRow="0" w:lastRow="0" w:firstColumn="1" w:lastColumn="0" w:oddVBand="0" w:evenVBand="0" w:oddHBand="0" w:evenHBand="0" w:firstRowFirstColumn="0" w:firstRowLastColumn="0" w:lastRowFirstColumn="0" w:lastRowLastColumn="0"/>
            <w:tcW w:w="0" w:type="auto"/>
          </w:tcPr>
          <w:p w:rsidR="00EE0C8C" w:rsidRPr="00EE0C8C" w:rsidRDefault="00EE0C8C" w:rsidP="00EE0C8C">
            <w:pPr>
              <w:jc w:val="center"/>
              <w:rPr>
                <w:rFonts w:ascii="Calibri" w:eastAsia="Calibri" w:hAnsi="Calibri" w:cs="Times New Roman"/>
              </w:rPr>
            </w:pPr>
            <w:r w:rsidRPr="00EE0C8C">
              <w:rPr>
                <w:rFonts w:ascii="Calibri" w:eastAsia="Calibri" w:hAnsi="Calibri" w:cs="Times New Roman"/>
              </w:rPr>
              <w:t>4.</w:t>
            </w:r>
          </w:p>
        </w:tc>
        <w:tc>
          <w:tcPr>
            <w:tcW w:w="0" w:type="auto"/>
          </w:tcPr>
          <w:p w:rsidR="00EE0C8C" w:rsidRPr="00EE0C8C" w:rsidRDefault="00EE0C8C" w:rsidP="00EE0C8C">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ZAPUSTY NA LUDOWO</w:t>
            </w:r>
          </w:p>
        </w:tc>
        <w:tc>
          <w:tcPr>
            <w:tcW w:w="0" w:type="auto"/>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22.02.2014</w:t>
            </w:r>
          </w:p>
        </w:tc>
        <w:tc>
          <w:tcPr>
            <w:tcW w:w="0" w:type="auto"/>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CTL, KGW OSINY</w:t>
            </w:r>
          </w:p>
        </w:tc>
        <w:tc>
          <w:tcPr>
            <w:tcW w:w="0" w:type="auto"/>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CTL OSINY</w:t>
            </w:r>
          </w:p>
        </w:tc>
      </w:tr>
      <w:tr w:rsidR="00EE0C8C" w:rsidRPr="00EE0C8C" w:rsidTr="00A76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E0C8C" w:rsidRPr="00EE0C8C" w:rsidRDefault="00EE0C8C" w:rsidP="00EE0C8C">
            <w:pPr>
              <w:jc w:val="center"/>
              <w:rPr>
                <w:rFonts w:ascii="Calibri" w:eastAsia="Calibri" w:hAnsi="Calibri" w:cs="Times New Roman"/>
              </w:rPr>
            </w:pPr>
            <w:r w:rsidRPr="00EE0C8C">
              <w:rPr>
                <w:rFonts w:ascii="Calibri" w:eastAsia="Calibri" w:hAnsi="Calibri" w:cs="Times New Roman"/>
              </w:rPr>
              <w:t>5.</w:t>
            </w:r>
          </w:p>
        </w:tc>
        <w:tc>
          <w:tcPr>
            <w:tcW w:w="0" w:type="auto"/>
          </w:tcPr>
          <w:p w:rsidR="00EE0C8C" w:rsidRPr="00EE0C8C" w:rsidRDefault="00EE0C8C" w:rsidP="00EE0C8C">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OKRĘŻNA NA DARCIE PIERZA</w:t>
            </w:r>
          </w:p>
        </w:tc>
        <w:tc>
          <w:tcPr>
            <w:tcW w:w="0" w:type="auto"/>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27.02.2014</w:t>
            </w:r>
          </w:p>
        </w:tc>
        <w:tc>
          <w:tcPr>
            <w:tcW w:w="0" w:type="auto"/>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CTL, KGW OSINY</w:t>
            </w:r>
          </w:p>
        </w:tc>
        <w:tc>
          <w:tcPr>
            <w:tcW w:w="0" w:type="auto"/>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CTL OSINY</w:t>
            </w:r>
          </w:p>
        </w:tc>
      </w:tr>
      <w:tr w:rsidR="00EE0C8C" w:rsidRPr="00EE0C8C" w:rsidTr="00A76BDB">
        <w:tc>
          <w:tcPr>
            <w:cnfStyle w:val="001000000000" w:firstRow="0" w:lastRow="0" w:firstColumn="1" w:lastColumn="0" w:oddVBand="0" w:evenVBand="0" w:oddHBand="0" w:evenHBand="0" w:firstRowFirstColumn="0" w:firstRowLastColumn="0" w:lastRowFirstColumn="0" w:lastRowLastColumn="0"/>
            <w:tcW w:w="0" w:type="auto"/>
          </w:tcPr>
          <w:p w:rsidR="00EE0C8C" w:rsidRPr="00EE0C8C" w:rsidRDefault="00EE0C8C" w:rsidP="00EE0C8C">
            <w:pPr>
              <w:jc w:val="center"/>
              <w:rPr>
                <w:rFonts w:ascii="Calibri" w:eastAsia="Calibri" w:hAnsi="Calibri" w:cs="Times New Roman"/>
              </w:rPr>
            </w:pPr>
            <w:r w:rsidRPr="00EE0C8C">
              <w:rPr>
                <w:rFonts w:ascii="Calibri" w:eastAsia="Calibri" w:hAnsi="Calibri" w:cs="Times New Roman"/>
              </w:rPr>
              <w:t>6.</w:t>
            </w:r>
          </w:p>
        </w:tc>
        <w:tc>
          <w:tcPr>
            <w:tcW w:w="0" w:type="auto"/>
          </w:tcPr>
          <w:p w:rsidR="00EE0C8C" w:rsidRPr="00EE0C8C" w:rsidRDefault="00EE0C8C" w:rsidP="00EE0C8C">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ROZSTRZYGNIĘCIE KONKURS NA STROIK WIELKANOCNY</w:t>
            </w:r>
          </w:p>
        </w:tc>
        <w:tc>
          <w:tcPr>
            <w:tcW w:w="0" w:type="auto"/>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04.2014</w:t>
            </w:r>
          </w:p>
        </w:tc>
        <w:tc>
          <w:tcPr>
            <w:tcW w:w="0" w:type="auto"/>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CTL, KGW OSINY</w:t>
            </w:r>
          </w:p>
        </w:tc>
        <w:tc>
          <w:tcPr>
            <w:tcW w:w="0" w:type="auto"/>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CTL OSINY</w:t>
            </w:r>
          </w:p>
        </w:tc>
      </w:tr>
      <w:tr w:rsidR="00EE0C8C" w:rsidRPr="00EE0C8C" w:rsidTr="00A76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E0C8C" w:rsidRPr="00EE0C8C" w:rsidRDefault="00EE0C8C" w:rsidP="00EE0C8C">
            <w:pPr>
              <w:jc w:val="center"/>
              <w:rPr>
                <w:rFonts w:ascii="Calibri" w:eastAsia="Calibri" w:hAnsi="Calibri" w:cs="Times New Roman"/>
              </w:rPr>
            </w:pPr>
            <w:r w:rsidRPr="00EE0C8C">
              <w:rPr>
                <w:rFonts w:ascii="Calibri" w:eastAsia="Calibri" w:hAnsi="Calibri" w:cs="Times New Roman"/>
              </w:rPr>
              <w:t>7.</w:t>
            </w:r>
          </w:p>
        </w:tc>
        <w:tc>
          <w:tcPr>
            <w:tcW w:w="0" w:type="auto"/>
          </w:tcPr>
          <w:p w:rsidR="00EE0C8C" w:rsidRPr="00EE0C8C" w:rsidRDefault="00EE0C8C" w:rsidP="00EE0C8C">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ROCZNICA KONSTYTUCJI 3 MAJA</w:t>
            </w:r>
          </w:p>
        </w:tc>
        <w:tc>
          <w:tcPr>
            <w:tcW w:w="0" w:type="auto"/>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03.05.2014</w:t>
            </w:r>
          </w:p>
        </w:tc>
        <w:tc>
          <w:tcPr>
            <w:tcW w:w="0" w:type="auto"/>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GDKiI i UG w MIRCU</w:t>
            </w:r>
          </w:p>
        </w:tc>
        <w:tc>
          <w:tcPr>
            <w:tcW w:w="0" w:type="auto"/>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KOŚCIÓL PARAFIALNY W MIRCU</w:t>
            </w:r>
          </w:p>
        </w:tc>
      </w:tr>
      <w:tr w:rsidR="00EE0C8C" w:rsidRPr="00EE0C8C" w:rsidTr="00A76BDB">
        <w:tc>
          <w:tcPr>
            <w:cnfStyle w:val="001000000000" w:firstRow="0" w:lastRow="0" w:firstColumn="1" w:lastColumn="0" w:oddVBand="0" w:evenVBand="0" w:oddHBand="0" w:evenHBand="0" w:firstRowFirstColumn="0" w:firstRowLastColumn="0" w:lastRowFirstColumn="0" w:lastRowLastColumn="0"/>
            <w:tcW w:w="0" w:type="auto"/>
          </w:tcPr>
          <w:p w:rsidR="00EE0C8C" w:rsidRPr="00EE0C8C" w:rsidRDefault="00EE0C8C" w:rsidP="00EE0C8C">
            <w:pPr>
              <w:jc w:val="center"/>
              <w:rPr>
                <w:rFonts w:ascii="Calibri" w:eastAsia="Calibri" w:hAnsi="Calibri" w:cs="Times New Roman"/>
              </w:rPr>
            </w:pPr>
            <w:r w:rsidRPr="00EE0C8C">
              <w:rPr>
                <w:rFonts w:ascii="Calibri" w:eastAsia="Calibri" w:hAnsi="Calibri" w:cs="Times New Roman"/>
              </w:rPr>
              <w:t>8.</w:t>
            </w:r>
          </w:p>
        </w:tc>
        <w:tc>
          <w:tcPr>
            <w:tcW w:w="0" w:type="auto"/>
          </w:tcPr>
          <w:p w:rsidR="00EE0C8C" w:rsidRPr="00EE0C8C" w:rsidRDefault="00EE0C8C" w:rsidP="00EE0C8C">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OTWARCIE TERENÓW REWITALIZACYJNYCH MIRCA POŁACZONE Z FESTYNEM: GMINNY DZIEŃ DZIECKA.</w:t>
            </w:r>
          </w:p>
        </w:tc>
        <w:tc>
          <w:tcPr>
            <w:tcW w:w="0" w:type="auto"/>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01.06.2014</w:t>
            </w:r>
          </w:p>
        </w:tc>
        <w:tc>
          <w:tcPr>
            <w:tcW w:w="0" w:type="auto"/>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GDKiI w MIRCU, GBP,SP I PRZEDSZKOLE Z TERENU GMINY MIRZEC, GIMNAZJUM, GOPS</w:t>
            </w:r>
          </w:p>
        </w:tc>
        <w:tc>
          <w:tcPr>
            <w:tcW w:w="0" w:type="auto"/>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AMFITEATR W MIRCU</w:t>
            </w:r>
          </w:p>
        </w:tc>
      </w:tr>
      <w:tr w:rsidR="00EE0C8C" w:rsidRPr="00EE0C8C" w:rsidTr="00A76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E0C8C" w:rsidRPr="00EE0C8C" w:rsidRDefault="00EE0C8C" w:rsidP="00EE0C8C">
            <w:pPr>
              <w:jc w:val="center"/>
              <w:rPr>
                <w:rFonts w:ascii="Calibri" w:eastAsia="Calibri" w:hAnsi="Calibri" w:cs="Times New Roman"/>
              </w:rPr>
            </w:pPr>
            <w:r w:rsidRPr="00EE0C8C">
              <w:rPr>
                <w:rFonts w:ascii="Calibri" w:eastAsia="Calibri" w:hAnsi="Calibri" w:cs="Times New Roman"/>
              </w:rPr>
              <w:t>9.</w:t>
            </w:r>
          </w:p>
        </w:tc>
        <w:tc>
          <w:tcPr>
            <w:tcW w:w="0" w:type="auto"/>
          </w:tcPr>
          <w:p w:rsidR="00EE0C8C" w:rsidRPr="00EE0C8C" w:rsidRDefault="00EE0C8C" w:rsidP="00EE0C8C">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SOBÓTKA NA LUDOWO</w:t>
            </w:r>
          </w:p>
        </w:tc>
        <w:tc>
          <w:tcPr>
            <w:tcW w:w="0" w:type="auto"/>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22.06.2014</w:t>
            </w:r>
          </w:p>
        </w:tc>
        <w:tc>
          <w:tcPr>
            <w:tcW w:w="0" w:type="auto"/>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GDKiI w MIRCU, CTL I WSZYSTKIE KGW</w:t>
            </w:r>
          </w:p>
        </w:tc>
        <w:tc>
          <w:tcPr>
            <w:tcW w:w="0" w:type="auto"/>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OSINE - PLENER</w:t>
            </w:r>
          </w:p>
        </w:tc>
      </w:tr>
      <w:tr w:rsidR="00EE0C8C" w:rsidRPr="00EE0C8C" w:rsidTr="00A76BDB">
        <w:tc>
          <w:tcPr>
            <w:cnfStyle w:val="001000000000" w:firstRow="0" w:lastRow="0" w:firstColumn="1" w:lastColumn="0" w:oddVBand="0" w:evenVBand="0" w:oddHBand="0" w:evenHBand="0" w:firstRowFirstColumn="0" w:firstRowLastColumn="0" w:lastRowFirstColumn="0" w:lastRowLastColumn="0"/>
            <w:tcW w:w="0" w:type="auto"/>
          </w:tcPr>
          <w:p w:rsidR="00EE0C8C" w:rsidRPr="00EE0C8C" w:rsidRDefault="00EE0C8C" w:rsidP="00EE0C8C">
            <w:pPr>
              <w:jc w:val="center"/>
              <w:rPr>
                <w:rFonts w:ascii="Calibri" w:eastAsia="Calibri" w:hAnsi="Calibri" w:cs="Times New Roman"/>
              </w:rPr>
            </w:pPr>
            <w:r w:rsidRPr="00EE0C8C">
              <w:rPr>
                <w:rFonts w:ascii="Calibri" w:eastAsia="Calibri" w:hAnsi="Calibri" w:cs="Times New Roman"/>
              </w:rPr>
              <w:t>10.</w:t>
            </w:r>
          </w:p>
        </w:tc>
        <w:tc>
          <w:tcPr>
            <w:tcW w:w="0" w:type="auto"/>
          </w:tcPr>
          <w:p w:rsidR="00EE0C8C" w:rsidRPr="00EE0C8C" w:rsidRDefault="00EE0C8C" w:rsidP="00EE0C8C">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OSIŃSKIE ŚPIEWANIE NA POCZĄTEK LATA</w:t>
            </w:r>
          </w:p>
        </w:tc>
        <w:tc>
          <w:tcPr>
            <w:tcW w:w="0" w:type="auto"/>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29.06.2014</w:t>
            </w:r>
          </w:p>
        </w:tc>
        <w:tc>
          <w:tcPr>
            <w:tcW w:w="0" w:type="auto"/>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CTL, KGW OSINY</w:t>
            </w:r>
          </w:p>
        </w:tc>
        <w:tc>
          <w:tcPr>
            <w:tcW w:w="0" w:type="auto"/>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CTL OSINY</w:t>
            </w:r>
          </w:p>
        </w:tc>
      </w:tr>
      <w:tr w:rsidR="00EE0C8C" w:rsidRPr="00EE0C8C" w:rsidTr="00A76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E0C8C" w:rsidRPr="00EE0C8C" w:rsidRDefault="00EE0C8C" w:rsidP="00EE0C8C">
            <w:pPr>
              <w:jc w:val="center"/>
              <w:rPr>
                <w:rFonts w:ascii="Calibri" w:eastAsia="Calibri" w:hAnsi="Calibri" w:cs="Times New Roman"/>
              </w:rPr>
            </w:pPr>
            <w:r w:rsidRPr="00EE0C8C">
              <w:rPr>
                <w:rFonts w:ascii="Calibri" w:eastAsia="Calibri" w:hAnsi="Calibri" w:cs="Times New Roman"/>
              </w:rPr>
              <w:t>11.</w:t>
            </w:r>
          </w:p>
        </w:tc>
        <w:tc>
          <w:tcPr>
            <w:tcW w:w="0" w:type="auto"/>
          </w:tcPr>
          <w:p w:rsidR="00EE0C8C" w:rsidRPr="00EE0C8C" w:rsidRDefault="00EE0C8C" w:rsidP="00EE0C8C">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MIRZECKI FESTIWAL LUDOWY</w:t>
            </w:r>
          </w:p>
        </w:tc>
        <w:tc>
          <w:tcPr>
            <w:tcW w:w="0" w:type="auto"/>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16.07.2014</w:t>
            </w:r>
          </w:p>
        </w:tc>
        <w:tc>
          <w:tcPr>
            <w:tcW w:w="0" w:type="auto"/>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LGD, GDKiI w MIRCU</w:t>
            </w:r>
          </w:p>
        </w:tc>
        <w:tc>
          <w:tcPr>
            <w:tcW w:w="0" w:type="auto"/>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AMFITEATR W MIRCU</w:t>
            </w:r>
          </w:p>
        </w:tc>
      </w:tr>
      <w:tr w:rsidR="00EE0C8C" w:rsidRPr="00EE0C8C" w:rsidTr="00A76BDB">
        <w:tc>
          <w:tcPr>
            <w:cnfStyle w:val="001000000000" w:firstRow="0" w:lastRow="0" w:firstColumn="1" w:lastColumn="0" w:oddVBand="0" w:evenVBand="0" w:oddHBand="0" w:evenHBand="0" w:firstRowFirstColumn="0" w:firstRowLastColumn="0" w:lastRowFirstColumn="0" w:lastRowLastColumn="0"/>
            <w:tcW w:w="0" w:type="auto"/>
          </w:tcPr>
          <w:p w:rsidR="00EE0C8C" w:rsidRPr="00EE0C8C" w:rsidRDefault="00EE0C8C" w:rsidP="00EE0C8C">
            <w:pPr>
              <w:jc w:val="center"/>
              <w:rPr>
                <w:rFonts w:ascii="Calibri" w:eastAsia="Calibri" w:hAnsi="Calibri" w:cs="Times New Roman"/>
              </w:rPr>
            </w:pPr>
            <w:r w:rsidRPr="00EE0C8C">
              <w:rPr>
                <w:rFonts w:ascii="Calibri" w:eastAsia="Calibri" w:hAnsi="Calibri" w:cs="Times New Roman"/>
              </w:rPr>
              <w:t>12.</w:t>
            </w:r>
          </w:p>
        </w:tc>
        <w:tc>
          <w:tcPr>
            <w:tcW w:w="0" w:type="auto"/>
          </w:tcPr>
          <w:p w:rsidR="00EE0C8C" w:rsidRPr="00EE0C8C" w:rsidRDefault="00EE0C8C" w:rsidP="00EE0C8C">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BIESIADA NA LUDOWO</w:t>
            </w:r>
          </w:p>
        </w:tc>
        <w:tc>
          <w:tcPr>
            <w:tcW w:w="0" w:type="auto"/>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17.07.2014</w:t>
            </w:r>
          </w:p>
        </w:tc>
        <w:tc>
          <w:tcPr>
            <w:tcW w:w="0" w:type="auto"/>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LGD, GDKiI w MIRCU</w:t>
            </w:r>
          </w:p>
        </w:tc>
        <w:tc>
          <w:tcPr>
            <w:tcW w:w="0" w:type="auto"/>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ŚWIETLICA SOŁECKA W MALYSZYNIE</w:t>
            </w:r>
          </w:p>
        </w:tc>
      </w:tr>
      <w:tr w:rsidR="00EE0C8C" w:rsidRPr="00EE0C8C" w:rsidTr="00A76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E0C8C" w:rsidRPr="00EE0C8C" w:rsidRDefault="00EE0C8C" w:rsidP="00EE0C8C">
            <w:pPr>
              <w:jc w:val="center"/>
              <w:rPr>
                <w:rFonts w:ascii="Calibri" w:eastAsia="Calibri" w:hAnsi="Calibri" w:cs="Times New Roman"/>
              </w:rPr>
            </w:pPr>
            <w:r w:rsidRPr="00EE0C8C">
              <w:rPr>
                <w:rFonts w:ascii="Calibri" w:eastAsia="Calibri" w:hAnsi="Calibri" w:cs="Times New Roman"/>
              </w:rPr>
              <w:t>13.</w:t>
            </w:r>
          </w:p>
        </w:tc>
        <w:tc>
          <w:tcPr>
            <w:tcW w:w="0" w:type="auto"/>
          </w:tcPr>
          <w:p w:rsidR="00EE0C8C" w:rsidRPr="00EE0C8C" w:rsidRDefault="00EE0C8C" w:rsidP="00EE0C8C">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DOŻYNKI POWIATOWE</w:t>
            </w:r>
          </w:p>
        </w:tc>
        <w:tc>
          <w:tcPr>
            <w:tcW w:w="0" w:type="auto"/>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24.07.2014</w:t>
            </w:r>
          </w:p>
        </w:tc>
        <w:tc>
          <w:tcPr>
            <w:tcW w:w="0" w:type="auto"/>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GDKiI w MIRCU, POWIAT STARACHOWICKI</w:t>
            </w:r>
          </w:p>
        </w:tc>
        <w:tc>
          <w:tcPr>
            <w:tcW w:w="0" w:type="auto"/>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AMFITEATR W MIRCU</w:t>
            </w:r>
          </w:p>
        </w:tc>
      </w:tr>
      <w:tr w:rsidR="00EE0C8C" w:rsidRPr="00EE0C8C" w:rsidTr="00A76BDB">
        <w:tc>
          <w:tcPr>
            <w:cnfStyle w:val="001000000000" w:firstRow="0" w:lastRow="0" w:firstColumn="1" w:lastColumn="0" w:oddVBand="0" w:evenVBand="0" w:oddHBand="0" w:evenHBand="0" w:firstRowFirstColumn="0" w:firstRowLastColumn="0" w:lastRowFirstColumn="0" w:lastRowLastColumn="0"/>
            <w:tcW w:w="0" w:type="auto"/>
          </w:tcPr>
          <w:p w:rsidR="00EE0C8C" w:rsidRPr="00EE0C8C" w:rsidRDefault="00EE0C8C" w:rsidP="00EE0C8C">
            <w:pPr>
              <w:jc w:val="center"/>
              <w:rPr>
                <w:rFonts w:ascii="Calibri" w:eastAsia="Calibri" w:hAnsi="Calibri" w:cs="Times New Roman"/>
              </w:rPr>
            </w:pPr>
            <w:r w:rsidRPr="00EE0C8C">
              <w:rPr>
                <w:rFonts w:ascii="Calibri" w:eastAsia="Calibri" w:hAnsi="Calibri" w:cs="Times New Roman"/>
              </w:rPr>
              <w:t>14.</w:t>
            </w:r>
          </w:p>
        </w:tc>
        <w:tc>
          <w:tcPr>
            <w:tcW w:w="0" w:type="auto"/>
          </w:tcPr>
          <w:p w:rsidR="00EE0C8C" w:rsidRPr="00EE0C8C" w:rsidRDefault="00EE0C8C" w:rsidP="00EE0C8C">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OGNISKO DLA DZIECI ZE SP W TYCHOWIE STARYM</w:t>
            </w:r>
          </w:p>
        </w:tc>
        <w:tc>
          <w:tcPr>
            <w:tcW w:w="0" w:type="auto"/>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06.09.2014</w:t>
            </w:r>
          </w:p>
        </w:tc>
        <w:tc>
          <w:tcPr>
            <w:tcW w:w="0" w:type="auto"/>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SP W TYCHOWIE STARYM, KAW W TYCHOWIE STARYM</w:t>
            </w:r>
          </w:p>
        </w:tc>
        <w:tc>
          <w:tcPr>
            <w:tcW w:w="0" w:type="auto"/>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KWA W TYCHOWIE STARYM</w:t>
            </w:r>
          </w:p>
        </w:tc>
      </w:tr>
      <w:tr w:rsidR="00EE0C8C" w:rsidRPr="00EE0C8C" w:rsidTr="00A76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E0C8C" w:rsidRPr="00EE0C8C" w:rsidRDefault="00EE0C8C" w:rsidP="00EE0C8C">
            <w:pPr>
              <w:jc w:val="center"/>
              <w:rPr>
                <w:rFonts w:ascii="Calibri" w:eastAsia="Calibri" w:hAnsi="Calibri" w:cs="Times New Roman"/>
              </w:rPr>
            </w:pPr>
            <w:r w:rsidRPr="00EE0C8C">
              <w:rPr>
                <w:rFonts w:ascii="Calibri" w:eastAsia="Calibri" w:hAnsi="Calibri" w:cs="Times New Roman"/>
              </w:rPr>
              <w:t>15.</w:t>
            </w:r>
          </w:p>
        </w:tc>
        <w:tc>
          <w:tcPr>
            <w:tcW w:w="0" w:type="auto"/>
          </w:tcPr>
          <w:p w:rsidR="00EE0C8C" w:rsidRPr="00EE0C8C" w:rsidRDefault="00EE0C8C" w:rsidP="00EE0C8C">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ROCZNICA BITWY POD TYCHOWEM</w:t>
            </w:r>
          </w:p>
        </w:tc>
        <w:tc>
          <w:tcPr>
            <w:tcW w:w="0" w:type="auto"/>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16.09.2014</w:t>
            </w:r>
          </w:p>
        </w:tc>
        <w:tc>
          <w:tcPr>
            <w:tcW w:w="0" w:type="auto"/>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SP W TYCHOWIE STARYM, GDKiI w MIRCU, POWIAT STARACHOWICKI, OSP TYCHÓW STARY</w:t>
            </w:r>
          </w:p>
        </w:tc>
        <w:tc>
          <w:tcPr>
            <w:tcW w:w="0" w:type="auto"/>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PRZY POMNIKU W LESIE STARACHOWICKIM</w:t>
            </w:r>
          </w:p>
        </w:tc>
      </w:tr>
      <w:tr w:rsidR="00EE0C8C" w:rsidRPr="00EE0C8C" w:rsidTr="00A76BDB">
        <w:tc>
          <w:tcPr>
            <w:cnfStyle w:val="001000000000" w:firstRow="0" w:lastRow="0" w:firstColumn="1" w:lastColumn="0" w:oddVBand="0" w:evenVBand="0" w:oddHBand="0" w:evenHBand="0" w:firstRowFirstColumn="0" w:firstRowLastColumn="0" w:lastRowFirstColumn="0" w:lastRowLastColumn="0"/>
            <w:tcW w:w="0" w:type="auto"/>
          </w:tcPr>
          <w:p w:rsidR="00EE0C8C" w:rsidRPr="00EE0C8C" w:rsidRDefault="00EE0C8C" w:rsidP="00EE0C8C">
            <w:pPr>
              <w:jc w:val="center"/>
              <w:rPr>
                <w:rFonts w:ascii="Calibri" w:eastAsia="Calibri" w:hAnsi="Calibri" w:cs="Times New Roman"/>
              </w:rPr>
            </w:pPr>
            <w:r w:rsidRPr="00EE0C8C">
              <w:rPr>
                <w:rFonts w:ascii="Calibri" w:eastAsia="Calibri" w:hAnsi="Calibri" w:cs="Times New Roman"/>
              </w:rPr>
              <w:t>16.</w:t>
            </w:r>
          </w:p>
        </w:tc>
        <w:tc>
          <w:tcPr>
            <w:tcW w:w="0" w:type="auto"/>
          </w:tcPr>
          <w:p w:rsidR="00EE0C8C" w:rsidRPr="00EE0C8C" w:rsidRDefault="00EE0C8C" w:rsidP="00EE0C8C">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ŚWIĘTO PIECZONEGO ZIEMNIAKA</w:t>
            </w:r>
          </w:p>
        </w:tc>
        <w:tc>
          <w:tcPr>
            <w:tcW w:w="0" w:type="auto"/>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20.09.2014</w:t>
            </w:r>
          </w:p>
        </w:tc>
        <w:tc>
          <w:tcPr>
            <w:tcW w:w="0" w:type="auto"/>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GDKiI W MIRCU, CTL, KGW OSINY, OSP OSINY</w:t>
            </w:r>
          </w:p>
        </w:tc>
        <w:tc>
          <w:tcPr>
            <w:tcW w:w="0" w:type="auto"/>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OSINY - PLENER</w:t>
            </w:r>
          </w:p>
        </w:tc>
      </w:tr>
      <w:tr w:rsidR="00EE0C8C" w:rsidRPr="00EE0C8C" w:rsidTr="00A76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E0C8C" w:rsidRPr="00EE0C8C" w:rsidRDefault="00EE0C8C" w:rsidP="00EE0C8C">
            <w:pPr>
              <w:jc w:val="center"/>
              <w:rPr>
                <w:rFonts w:ascii="Calibri" w:eastAsia="Calibri" w:hAnsi="Calibri" w:cs="Times New Roman"/>
              </w:rPr>
            </w:pPr>
            <w:r w:rsidRPr="00EE0C8C">
              <w:rPr>
                <w:rFonts w:ascii="Calibri" w:eastAsia="Calibri" w:hAnsi="Calibri" w:cs="Times New Roman"/>
              </w:rPr>
              <w:t>17.</w:t>
            </w:r>
          </w:p>
        </w:tc>
        <w:tc>
          <w:tcPr>
            <w:tcW w:w="0" w:type="auto"/>
          </w:tcPr>
          <w:p w:rsidR="00EE0C8C" w:rsidRPr="00EE0C8C" w:rsidRDefault="00EE0C8C" w:rsidP="00EE0C8C">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POŻEGNANIE LATA</w:t>
            </w:r>
          </w:p>
        </w:tc>
        <w:tc>
          <w:tcPr>
            <w:tcW w:w="0" w:type="auto"/>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28.09.2014</w:t>
            </w:r>
          </w:p>
        </w:tc>
        <w:tc>
          <w:tcPr>
            <w:tcW w:w="0" w:type="auto"/>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GDKiI W MIRCU, GOPS</w:t>
            </w:r>
          </w:p>
        </w:tc>
        <w:tc>
          <w:tcPr>
            <w:tcW w:w="0" w:type="auto"/>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AMFITEATR W MIRCU</w:t>
            </w:r>
          </w:p>
        </w:tc>
      </w:tr>
      <w:tr w:rsidR="00EE0C8C" w:rsidRPr="00EE0C8C" w:rsidTr="00A76BDB">
        <w:tc>
          <w:tcPr>
            <w:cnfStyle w:val="001000000000" w:firstRow="0" w:lastRow="0" w:firstColumn="1" w:lastColumn="0" w:oddVBand="0" w:evenVBand="0" w:oddHBand="0" w:evenHBand="0" w:firstRowFirstColumn="0" w:firstRowLastColumn="0" w:lastRowFirstColumn="0" w:lastRowLastColumn="0"/>
            <w:tcW w:w="0" w:type="auto"/>
          </w:tcPr>
          <w:p w:rsidR="00EE0C8C" w:rsidRPr="00EE0C8C" w:rsidRDefault="00EE0C8C" w:rsidP="00EE0C8C">
            <w:pPr>
              <w:jc w:val="center"/>
              <w:rPr>
                <w:rFonts w:ascii="Calibri" w:eastAsia="Calibri" w:hAnsi="Calibri" w:cs="Times New Roman"/>
              </w:rPr>
            </w:pPr>
            <w:r w:rsidRPr="00EE0C8C">
              <w:rPr>
                <w:rFonts w:ascii="Calibri" w:eastAsia="Calibri" w:hAnsi="Calibri" w:cs="Times New Roman"/>
              </w:rPr>
              <w:t>18.</w:t>
            </w:r>
          </w:p>
        </w:tc>
        <w:tc>
          <w:tcPr>
            <w:tcW w:w="0" w:type="auto"/>
          </w:tcPr>
          <w:p w:rsidR="00EE0C8C" w:rsidRPr="00EE0C8C" w:rsidRDefault="00EE0C8C" w:rsidP="00EE0C8C">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WIECZÓR POEZJI I PIEŚNI LUDOWEJ</w:t>
            </w:r>
          </w:p>
        </w:tc>
        <w:tc>
          <w:tcPr>
            <w:tcW w:w="0" w:type="auto"/>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12.10.2014</w:t>
            </w:r>
          </w:p>
        </w:tc>
        <w:tc>
          <w:tcPr>
            <w:tcW w:w="0" w:type="auto"/>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CTL, KGW OSINY</w:t>
            </w:r>
          </w:p>
        </w:tc>
        <w:tc>
          <w:tcPr>
            <w:tcW w:w="0" w:type="auto"/>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CTL OSINY</w:t>
            </w:r>
          </w:p>
        </w:tc>
      </w:tr>
      <w:tr w:rsidR="00EE0C8C" w:rsidRPr="00EE0C8C" w:rsidTr="00A76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E0C8C" w:rsidRPr="00EE0C8C" w:rsidRDefault="00EE0C8C" w:rsidP="00EE0C8C">
            <w:pPr>
              <w:jc w:val="center"/>
              <w:rPr>
                <w:rFonts w:ascii="Calibri" w:eastAsia="Calibri" w:hAnsi="Calibri" w:cs="Times New Roman"/>
              </w:rPr>
            </w:pPr>
            <w:r w:rsidRPr="00EE0C8C">
              <w:rPr>
                <w:rFonts w:ascii="Calibri" w:eastAsia="Calibri" w:hAnsi="Calibri" w:cs="Times New Roman"/>
              </w:rPr>
              <w:t>19.</w:t>
            </w:r>
          </w:p>
        </w:tc>
        <w:tc>
          <w:tcPr>
            <w:tcW w:w="0" w:type="auto"/>
          </w:tcPr>
          <w:p w:rsidR="00EE0C8C" w:rsidRPr="00EE0C8C" w:rsidRDefault="00EE0C8C" w:rsidP="00EE0C8C">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Z PIEŚNIĄ PRZEZ DZIEJE POLSKI</w:t>
            </w:r>
          </w:p>
        </w:tc>
        <w:tc>
          <w:tcPr>
            <w:tcW w:w="0" w:type="auto"/>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08.11.2014</w:t>
            </w:r>
          </w:p>
        </w:tc>
        <w:tc>
          <w:tcPr>
            <w:tcW w:w="0" w:type="auto"/>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CTL, KGW OSINY</w:t>
            </w:r>
          </w:p>
        </w:tc>
        <w:tc>
          <w:tcPr>
            <w:tcW w:w="0" w:type="auto"/>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CTL OSINY</w:t>
            </w:r>
          </w:p>
        </w:tc>
      </w:tr>
      <w:tr w:rsidR="00EE0C8C" w:rsidRPr="00EE0C8C" w:rsidTr="00A76BDB">
        <w:tc>
          <w:tcPr>
            <w:cnfStyle w:val="001000000000" w:firstRow="0" w:lastRow="0" w:firstColumn="1" w:lastColumn="0" w:oddVBand="0" w:evenVBand="0" w:oddHBand="0" w:evenHBand="0" w:firstRowFirstColumn="0" w:firstRowLastColumn="0" w:lastRowFirstColumn="0" w:lastRowLastColumn="0"/>
            <w:tcW w:w="0" w:type="auto"/>
          </w:tcPr>
          <w:p w:rsidR="00EE0C8C" w:rsidRPr="00EE0C8C" w:rsidRDefault="00EE0C8C" w:rsidP="00EE0C8C">
            <w:pPr>
              <w:jc w:val="center"/>
              <w:rPr>
                <w:rFonts w:ascii="Calibri" w:eastAsia="Calibri" w:hAnsi="Calibri" w:cs="Times New Roman"/>
              </w:rPr>
            </w:pPr>
            <w:r w:rsidRPr="00EE0C8C">
              <w:rPr>
                <w:rFonts w:ascii="Calibri" w:eastAsia="Calibri" w:hAnsi="Calibri" w:cs="Times New Roman"/>
              </w:rPr>
              <w:t>20.</w:t>
            </w:r>
          </w:p>
        </w:tc>
        <w:tc>
          <w:tcPr>
            <w:tcW w:w="0" w:type="auto"/>
          </w:tcPr>
          <w:p w:rsidR="00EE0C8C" w:rsidRPr="00EE0C8C" w:rsidRDefault="00EE0C8C" w:rsidP="00EE0C8C">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OTWARCIE REMIZY W GADCE</w:t>
            </w:r>
          </w:p>
        </w:tc>
        <w:tc>
          <w:tcPr>
            <w:tcW w:w="0" w:type="auto"/>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09.11.2014</w:t>
            </w:r>
          </w:p>
        </w:tc>
        <w:tc>
          <w:tcPr>
            <w:tcW w:w="0" w:type="auto"/>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LGD, OSP GADKA, SP GADKA</w:t>
            </w:r>
          </w:p>
        </w:tc>
        <w:tc>
          <w:tcPr>
            <w:tcW w:w="0" w:type="auto"/>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REMIZA W GADCE</w:t>
            </w:r>
          </w:p>
        </w:tc>
      </w:tr>
      <w:tr w:rsidR="00EE0C8C" w:rsidRPr="00EE0C8C" w:rsidTr="00A76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E0C8C" w:rsidRPr="00EE0C8C" w:rsidRDefault="00EE0C8C" w:rsidP="00EE0C8C">
            <w:pPr>
              <w:jc w:val="center"/>
              <w:rPr>
                <w:rFonts w:ascii="Calibri" w:eastAsia="Calibri" w:hAnsi="Calibri" w:cs="Times New Roman"/>
              </w:rPr>
            </w:pPr>
            <w:r w:rsidRPr="00EE0C8C">
              <w:rPr>
                <w:rFonts w:ascii="Calibri" w:eastAsia="Calibri" w:hAnsi="Calibri" w:cs="Times New Roman"/>
              </w:rPr>
              <w:t>21.</w:t>
            </w:r>
          </w:p>
        </w:tc>
        <w:tc>
          <w:tcPr>
            <w:tcW w:w="0" w:type="auto"/>
          </w:tcPr>
          <w:p w:rsidR="00EE0C8C" w:rsidRPr="00EE0C8C" w:rsidRDefault="00EE0C8C" w:rsidP="00EE0C8C">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ŚWIĘTO NIEPODLEGŁOŚCI</w:t>
            </w:r>
          </w:p>
        </w:tc>
        <w:tc>
          <w:tcPr>
            <w:tcW w:w="0" w:type="auto"/>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11.11.2014</w:t>
            </w:r>
          </w:p>
        </w:tc>
        <w:tc>
          <w:tcPr>
            <w:tcW w:w="0" w:type="auto"/>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GDKiI i UG W MIRCU</w:t>
            </w:r>
          </w:p>
        </w:tc>
        <w:tc>
          <w:tcPr>
            <w:tcW w:w="0" w:type="auto"/>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KOŚCIÓŁ PARAFIALNY W MIRCU</w:t>
            </w:r>
          </w:p>
        </w:tc>
      </w:tr>
      <w:tr w:rsidR="00EE0C8C" w:rsidRPr="00EE0C8C" w:rsidTr="00A76BDB">
        <w:tc>
          <w:tcPr>
            <w:cnfStyle w:val="001000000000" w:firstRow="0" w:lastRow="0" w:firstColumn="1" w:lastColumn="0" w:oddVBand="0" w:evenVBand="0" w:oddHBand="0" w:evenHBand="0" w:firstRowFirstColumn="0" w:firstRowLastColumn="0" w:lastRowFirstColumn="0" w:lastRowLastColumn="0"/>
            <w:tcW w:w="0" w:type="auto"/>
          </w:tcPr>
          <w:p w:rsidR="00EE0C8C" w:rsidRPr="00EE0C8C" w:rsidRDefault="00EE0C8C" w:rsidP="00EE0C8C">
            <w:pPr>
              <w:jc w:val="center"/>
              <w:rPr>
                <w:rFonts w:ascii="Calibri" w:eastAsia="Calibri" w:hAnsi="Calibri" w:cs="Times New Roman"/>
              </w:rPr>
            </w:pPr>
            <w:r w:rsidRPr="00EE0C8C">
              <w:rPr>
                <w:rFonts w:ascii="Calibri" w:eastAsia="Calibri" w:hAnsi="Calibri" w:cs="Times New Roman"/>
              </w:rPr>
              <w:t>22.</w:t>
            </w:r>
          </w:p>
        </w:tc>
        <w:tc>
          <w:tcPr>
            <w:tcW w:w="0" w:type="auto"/>
          </w:tcPr>
          <w:p w:rsidR="00EE0C8C" w:rsidRPr="00EE0C8C" w:rsidRDefault="00EE0C8C" w:rsidP="00EE0C8C">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KONCERT ŚWIĄTECZNY</w:t>
            </w:r>
          </w:p>
        </w:tc>
        <w:tc>
          <w:tcPr>
            <w:tcW w:w="0" w:type="auto"/>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18.12.2014</w:t>
            </w:r>
          </w:p>
        </w:tc>
        <w:tc>
          <w:tcPr>
            <w:tcW w:w="0" w:type="auto"/>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GDKiI W MIRCU</w:t>
            </w:r>
          </w:p>
        </w:tc>
        <w:tc>
          <w:tcPr>
            <w:tcW w:w="0" w:type="auto"/>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GDKiI W MIRCU</w:t>
            </w:r>
          </w:p>
        </w:tc>
      </w:tr>
      <w:tr w:rsidR="00EE0C8C" w:rsidRPr="00EE0C8C" w:rsidTr="00A76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E0C8C" w:rsidRPr="00EE0C8C" w:rsidRDefault="00EE0C8C" w:rsidP="00EE0C8C">
            <w:pPr>
              <w:jc w:val="center"/>
              <w:rPr>
                <w:rFonts w:ascii="Calibri" w:eastAsia="Calibri" w:hAnsi="Calibri" w:cs="Times New Roman"/>
              </w:rPr>
            </w:pPr>
            <w:r w:rsidRPr="00EE0C8C">
              <w:rPr>
                <w:rFonts w:ascii="Calibri" w:eastAsia="Calibri" w:hAnsi="Calibri" w:cs="Times New Roman"/>
              </w:rPr>
              <w:lastRenderedPageBreak/>
              <w:t>23.</w:t>
            </w:r>
          </w:p>
        </w:tc>
        <w:tc>
          <w:tcPr>
            <w:tcW w:w="0" w:type="auto"/>
          </w:tcPr>
          <w:p w:rsidR="00EE0C8C" w:rsidRPr="00EE0C8C" w:rsidRDefault="00EE0C8C" w:rsidP="00EE0C8C">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WIGILIA – INSCENIZACJA PRZYGOTOWANA DO NAGRANIA DLA TELEWIZJI KIELCE</w:t>
            </w:r>
          </w:p>
        </w:tc>
        <w:tc>
          <w:tcPr>
            <w:tcW w:w="0" w:type="auto"/>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18.12.2014</w:t>
            </w:r>
          </w:p>
        </w:tc>
        <w:tc>
          <w:tcPr>
            <w:tcW w:w="0" w:type="auto"/>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CTL, KGW OSINY</w:t>
            </w:r>
          </w:p>
        </w:tc>
        <w:tc>
          <w:tcPr>
            <w:tcW w:w="0" w:type="auto"/>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CTL OSINY</w:t>
            </w:r>
          </w:p>
        </w:tc>
      </w:tr>
    </w:tbl>
    <w:p w:rsidR="00EE0C8C" w:rsidRPr="00EE0C8C" w:rsidRDefault="00EE0C8C" w:rsidP="00EE0C8C">
      <w:pPr>
        <w:jc w:val="center"/>
        <w:rPr>
          <w:rFonts w:ascii="Calibri" w:eastAsia="Times New Roman" w:hAnsi="Calibri" w:cs="Times New Roman"/>
          <w:i/>
          <w:lang w:eastAsia="pl-PL"/>
        </w:rPr>
      </w:pPr>
      <w:r w:rsidRPr="00EE0C8C">
        <w:rPr>
          <w:rFonts w:ascii="Calibri" w:eastAsia="Times New Roman" w:hAnsi="Calibri" w:cs="Times New Roman"/>
          <w:i/>
          <w:lang w:eastAsia="pl-PL"/>
        </w:rPr>
        <w:t>(Źródło: Gminny Dom Kultury i Integracji w Mircu)</w:t>
      </w:r>
    </w:p>
    <w:p w:rsidR="00EE0C8C" w:rsidRPr="00EE0C8C" w:rsidRDefault="00EE0C8C" w:rsidP="00EE0C8C">
      <w:pPr>
        <w:jc w:val="both"/>
        <w:rPr>
          <w:rFonts w:ascii="Calibri" w:eastAsia="Times New Roman" w:hAnsi="Calibri" w:cs="Times New Roman"/>
          <w:lang w:eastAsia="pl-PL"/>
        </w:rPr>
      </w:pPr>
      <w:r w:rsidRPr="00EE0C8C">
        <w:rPr>
          <w:rFonts w:ascii="Calibri" w:eastAsia="Times New Roman" w:hAnsi="Calibri" w:cs="Times New Roman"/>
          <w:lang w:eastAsia="pl-PL"/>
        </w:rPr>
        <w:t>Ogółem we wszystkich imprezach organizowanych i współorganizowanych przez Gminny Dom Kultury i Integracji w Mircu, wzięło udział ok 3000 osób.</w:t>
      </w:r>
    </w:p>
    <w:p w:rsidR="00EE0C8C" w:rsidRPr="00EE0C8C" w:rsidRDefault="00EE0C8C" w:rsidP="00EE0C8C">
      <w:pPr>
        <w:keepNext/>
        <w:keepLines/>
        <w:spacing w:before="200" w:after="0"/>
        <w:outlineLvl w:val="3"/>
        <w:rPr>
          <w:rFonts w:ascii="Cambria" w:eastAsia="Times New Roman" w:hAnsi="Cambria" w:cs="Times New Roman"/>
          <w:b/>
          <w:bCs/>
          <w:i/>
          <w:iCs/>
          <w:color w:val="4F81BD"/>
        </w:rPr>
      </w:pPr>
      <w:r w:rsidRPr="00EE0C8C">
        <w:rPr>
          <w:rFonts w:ascii="Cambria" w:eastAsia="Times New Roman" w:hAnsi="Cambria" w:cs="Times New Roman"/>
          <w:b/>
          <w:bCs/>
          <w:i/>
          <w:iCs/>
          <w:color w:val="4F81BD"/>
        </w:rPr>
        <w:t xml:space="preserve">GMINNA BIBLIOTEKA PUBLICZNA </w:t>
      </w:r>
    </w:p>
    <w:p w:rsidR="00EE0C8C" w:rsidRPr="00EE0C8C" w:rsidRDefault="00EE0C8C" w:rsidP="00EE0C8C">
      <w:pPr>
        <w:spacing w:after="0"/>
        <w:rPr>
          <w:rFonts w:ascii="Calibri" w:eastAsia="Times New Roman" w:hAnsi="Calibri" w:cs="Times New Roman"/>
          <w:lang w:eastAsia="pl-PL"/>
        </w:rPr>
      </w:pPr>
    </w:p>
    <w:p w:rsidR="00EE0C8C" w:rsidRPr="00EE0C8C" w:rsidRDefault="00EE0C8C" w:rsidP="00EE0C8C">
      <w:pPr>
        <w:jc w:val="both"/>
        <w:rPr>
          <w:rFonts w:ascii="Calibri" w:eastAsia="Times New Roman" w:hAnsi="Calibri" w:cs="Times New Roman"/>
          <w:lang w:eastAsia="pl-PL"/>
        </w:rPr>
      </w:pPr>
      <w:r w:rsidRPr="00EE0C8C">
        <w:rPr>
          <w:rFonts w:ascii="Calibri" w:eastAsia="Times New Roman" w:hAnsi="Calibri" w:cs="Times New Roman"/>
          <w:lang w:eastAsia="pl-PL"/>
        </w:rPr>
        <w:t>Gminna Biblioteka Publiczna w Mircu zgodnie z ustawą o organizowaniu i prowadzeniu działalności kulturalnej z dnia 25.10.1991 r. z późn. zmianami od 01.01.2007 r</w:t>
      </w:r>
      <w:r w:rsidR="00A74F68">
        <w:rPr>
          <w:rFonts w:ascii="Calibri" w:eastAsia="Times New Roman" w:hAnsi="Calibri" w:cs="Times New Roman"/>
          <w:lang w:eastAsia="pl-PL"/>
        </w:rPr>
        <w:t>.</w:t>
      </w:r>
      <w:r w:rsidRPr="00EE0C8C">
        <w:rPr>
          <w:rFonts w:ascii="Calibri" w:eastAsia="Times New Roman" w:hAnsi="Calibri" w:cs="Times New Roman"/>
          <w:lang w:eastAsia="pl-PL"/>
        </w:rPr>
        <w:t xml:space="preserve"> prowadzi działalność jako instytucja kultury, której organem prowadzącym jest Gmina Mirzec. Działa na podstawie statutu uchwalonego przez Radę Gminy w Mircu z dnia 04 grudnia 2006 roku nr II/15/2006.</w:t>
      </w:r>
    </w:p>
    <w:p w:rsidR="00EE0C8C" w:rsidRPr="00EE0C8C" w:rsidRDefault="00EE0C8C" w:rsidP="00EE0C8C">
      <w:pPr>
        <w:spacing w:after="120"/>
        <w:jc w:val="both"/>
        <w:rPr>
          <w:rFonts w:ascii="Calibri" w:eastAsia="Times New Roman" w:hAnsi="Calibri" w:cs="Times New Roman"/>
          <w:lang w:eastAsia="pl-PL"/>
        </w:rPr>
      </w:pPr>
      <w:r w:rsidRPr="00EE0C8C">
        <w:rPr>
          <w:rFonts w:ascii="Calibri" w:eastAsia="Times New Roman" w:hAnsi="Calibri" w:cs="Times New Roman"/>
          <w:lang w:eastAsia="pl-PL"/>
        </w:rPr>
        <w:t>W skład Gminnej Biblioteki Publicznej w Mircu wchodzi placówka główna w Mircu oraz 3 filie w:</w:t>
      </w:r>
    </w:p>
    <w:p w:rsidR="00EE0C8C" w:rsidRPr="00EE0C8C" w:rsidRDefault="00EE0C8C" w:rsidP="00EE0C8C">
      <w:pPr>
        <w:spacing w:after="120"/>
        <w:ind w:firstLine="1134"/>
        <w:jc w:val="both"/>
        <w:rPr>
          <w:rFonts w:ascii="Calibri" w:eastAsia="Times New Roman" w:hAnsi="Calibri" w:cs="Times New Roman"/>
          <w:lang w:eastAsia="pl-PL"/>
        </w:rPr>
      </w:pPr>
      <w:r w:rsidRPr="00EE0C8C">
        <w:rPr>
          <w:rFonts w:ascii="Calibri" w:eastAsia="Times New Roman" w:hAnsi="Calibri" w:cs="Times New Roman"/>
          <w:lang w:eastAsia="pl-PL"/>
        </w:rPr>
        <w:t>-  Gadce,</w:t>
      </w:r>
    </w:p>
    <w:p w:rsidR="00EE0C8C" w:rsidRPr="00EE0C8C" w:rsidRDefault="00EE0C8C" w:rsidP="00EE0C8C">
      <w:pPr>
        <w:spacing w:after="120"/>
        <w:ind w:firstLine="1134"/>
        <w:jc w:val="both"/>
        <w:rPr>
          <w:rFonts w:ascii="Calibri" w:eastAsia="Times New Roman" w:hAnsi="Calibri" w:cs="Times New Roman"/>
          <w:lang w:eastAsia="pl-PL"/>
        </w:rPr>
      </w:pPr>
      <w:r w:rsidRPr="00EE0C8C">
        <w:rPr>
          <w:rFonts w:ascii="Calibri" w:eastAsia="Times New Roman" w:hAnsi="Calibri" w:cs="Times New Roman"/>
          <w:lang w:eastAsia="pl-PL"/>
        </w:rPr>
        <w:t>- Tychowie Starym,</w:t>
      </w:r>
    </w:p>
    <w:p w:rsidR="00EE0C8C" w:rsidRPr="00EE0C8C" w:rsidRDefault="00EE0C8C" w:rsidP="00EE0C8C">
      <w:pPr>
        <w:spacing w:after="120"/>
        <w:ind w:firstLine="1134"/>
        <w:jc w:val="both"/>
        <w:rPr>
          <w:rFonts w:ascii="Calibri" w:eastAsia="Times New Roman" w:hAnsi="Calibri" w:cs="Times New Roman"/>
          <w:lang w:eastAsia="pl-PL"/>
        </w:rPr>
      </w:pPr>
      <w:r w:rsidRPr="00EE0C8C">
        <w:rPr>
          <w:rFonts w:ascii="Calibri" w:eastAsia="Times New Roman" w:hAnsi="Calibri" w:cs="Times New Roman"/>
          <w:lang w:eastAsia="pl-PL"/>
        </w:rPr>
        <w:t>- Małyszynie.</w:t>
      </w:r>
    </w:p>
    <w:tbl>
      <w:tblPr>
        <w:tblStyle w:val="redniecieniowanie2akcent51"/>
        <w:tblW w:w="0" w:type="auto"/>
        <w:tblLook w:val="04A0" w:firstRow="1" w:lastRow="0" w:firstColumn="1" w:lastColumn="0" w:noHBand="0" w:noVBand="1"/>
      </w:tblPr>
      <w:tblGrid>
        <w:gridCol w:w="2303"/>
        <w:gridCol w:w="2303"/>
        <w:gridCol w:w="2303"/>
        <w:gridCol w:w="2303"/>
      </w:tblGrid>
      <w:tr w:rsidR="00EE0C8C" w:rsidRPr="00EE0C8C" w:rsidTr="00A76BD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03" w:type="dxa"/>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ROK</w:t>
            </w:r>
          </w:p>
        </w:tc>
        <w:tc>
          <w:tcPr>
            <w:tcW w:w="2303" w:type="dxa"/>
          </w:tcPr>
          <w:p w:rsidR="00EE0C8C" w:rsidRPr="00EE0C8C" w:rsidRDefault="00EE0C8C" w:rsidP="00EE0C8C">
            <w:pPr>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CZYTELNICY</w:t>
            </w:r>
          </w:p>
        </w:tc>
        <w:tc>
          <w:tcPr>
            <w:tcW w:w="2303" w:type="dxa"/>
          </w:tcPr>
          <w:p w:rsidR="00EE0C8C" w:rsidRPr="00EE0C8C" w:rsidRDefault="00EE0C8C" w:rsidP="00EE0C8C">
            <w:pPr>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WYPOŻYCZENIA</w:t>
            </w:r>
          </w:p>
        </w:tc>
        <w:tc>
          <w:tcPr>
            <w:tcW w:w="2303" w:type="dxa"/>
          </w:tcPr>
          <w:p w:rsidR="00EE0C8C" w:rsidRPr="00EE0C8C" w:rsidRDefault="00EE0C8C" w:rsidP="00EE0C8C">
            <w:pPr>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ODWIEDZINY</w:t>
            </w:r>
          </w:p>
        </w:tc>
      </w:tr>
      <w:tr w:rsidR="00EE0C8C" w:rsidRPr="00EE0C8C" w:rsidTr="00A76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2013</w:t>
            </w:r>
          </w:p>
        </w:tc>
        <w:tc>
          <w:tcPr>
            <w:tcW w:w="2303" w:type="dxa"/>
          </w:tcPr>
          <w:p w:rsidR="00EE0C8C" w:rsidRPr="00EE0C8C" w:rsidRDefault="00EE0C8C" w:rsidP="00EE0C8C">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rPr>
            </w:pPr>
            <w:r w:rsidRPr="00EE0C8C">
              <w:rPr>
                <w:rFonts w:ascii="Calibri" w:eastAsia="Calibri" w:hAnsi="Calibri" w:cs="Times New Roman"/>
                <w:b/>
              </w:rPr>
              <w:t>885</w:t>
            </w:r>
          </w:p>
        </w:tc>
        <w:tc>
          <w:tcPr>
            <w:tcW w:w="2303" w:type="dxa"/>
          </w:tcPr>
          <w:p w:rsidR="00EE0C8C" w:rsidRPr="00EE0C8C" w:rsidRDefault="00EE0C8C" w:rsidP="00EE0C8C">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rPr>
            </w:pPr>
            <w:r w:rsidRPr="00EE0C8C">
              <w:rPr>
                <w:rFonts w:ascii="Calibri" w:eastAsia="Calibri" w:hAnsi="Calibri" w:cs="Times New Roman"/>
                <w:b/>
              </w:rPr>
              <w:t>13 293 WOLUMINY</w:t>
            </w:r>
          </w:p>
        </w:tc>
        <w:tc>
          <w:tcPr>
            <w:tcW w:w="2303" w:type="dxa"/>
          </w:tcPr>
          <w:p w:rsidR="00EE0C8C" w:rsidRPr="00EE0C8C" w:rsidRDefault="00EE0C8C" w:rsidP="00EE0C8C">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rPr>
            </w:pPr>
            <w:r w:rsidRPr="00EE0C8C">
              <w:rPr>
                <w:rFonts w:ascii="Calibri" w:eastAsia="Calibri" w:hAnsi="Calibri" w:cs="Times New Roman"/>
                <w:b/>
              </w:rPr>
              <w:t>7652</w:t>
            </w:r>
          </w:p>
        </w:tc>
      </w:tr>
      <w:tr w:rsidR="00EE0C8C" w:rsidRPr="00EE0C8C" w:rsidTr="00A76BDB">
        <w:tc>
          <w:tcPr>
            <w:cnfStyle w:val="001000000000" w:firstRow="0" w:lastRow="0" w:firstColumn="1" w:lastColumn="0" w:oddVBand="0" w:evenVBand="0" w:oddHBand="0" w:evenHBand="0" w:firstRowFirstColumn="0" w:firstRowLastColumn="0" w:lastRowFirstColumn="0" w:lastRowLastColumn="0"/>
            <w:tcW w:w="2303" w:type="dxa"/>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2014</w:t>
            </w:r>
          </w:p>
        </w:tc>
        <w:tc>
          <w:tcPr>
            <w:tcW w:w="2303" w:type="dxa"/>
          </w:tcPr>
          <w:p w:rsidR="00EE0C8C" w:rsidRPr="00EE0C8C" w:rsidRDefault="00EE0C8C" w:rsidP="00EE0C8C">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rPr>
            </w:pPr>
            <w:r w:rsidRPr="00EE0C8C">
              <w:rPr>
                <w:rFonts w:ascii="Calibri" w:eastAsia="Calibri" w:hAnsi="Calibri" w:cs="Times New Roman"/>
                <w:b/>
              </w:rPr>
              <w:t>879</w:t>
            </w:r>
          </w:p>
        </w:tc>
        <w:tc>
          <w:tcPr>
            <w:tcW w:w="2303" w:type="dxa"/>
          </w:tcPr>
          <w:p w:rsidR="00EE0C8C" w:rsidRPr="00EE0C8C" w:rsidRDefault="00EE0C8C" w:rsidP="00EE0C8C">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rPr>
            </w:pPr>
            <w:r w:rsidRPr="00EE0C8C">
              <w:rPr>
                <w:rFonts w:ascii="Calibri" w:eastAsia="Calibri" w:hAnsi="Calibri" w:cs="Times New Roman"/>
                <w:b/>
              </w:rPr>
              <w:t>12 821 WOLUMINY</w:t>
            </w:r>
          </w:p>
        </w:tc>
        <w:tc>
          <w:tcPr>
            <w:tcW w:w="2303" w:type="dxa"/>
          </w:tcPr>
          <w:p w:rsidR="00EE0C8C" w:rsidRPr="00EE0C8C" w:rsidRDefault="00EE0C8C" w:rsidP="00EE0C8C">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rPr>
            </w:pPr>
            <w:r w:rsidRPr="00EE0C8C">
              <w:rPr>
                <w:rFonts w:ascii="Calibri" w:eastAsia="Calibri" w:hAnsi="Calibri" w:cs="Times New Roman"/>
                <w:b/>
              </w:rPr>
              <w:t>8319</w:t>
            </w:r>
          </w:p>
        </w:tc>
      </w:tr>
    </w:tbl>
    <w:p w:rsidR="00EE0C8C" w:rsidRPr="00EE0C8C" w:rsidRDefault="00EE0C8C" w:rsidP="00EE0C8C">
      <w:pPr>
        <w:jc w:val="center"/>
        <w:rPr>
          <w:rFonts w:ascii="Calibri" w:eastAsia="Times New Roman" w:hAnsi="Calibri" w:cs="Times New Roman"/>
          <w:i/>
          <w:lang w:eastAsia="pl-PL"/>
        </w:rPr>
      </w:pPr>
      <w:r w:rsidRPr="00EE0C8C">
        <w:rPr>
          <w:rFonts w:ascii="Calibri" w:eastAsia="Times New Roman" w:hAnsi="Calibri" w:cs="Times New Roman"/>
          <w:i/>
          <w:lang w:eastAsia="pl-PL"/>
        </w:rPr>
        <w:t>(Źródło: Gminna Biblioteka Publiczna w Mircu)</w:t>
      </w:r>
    </w:p>
    <w:tbl>
      <w:tblPr>
        <w:tblStyle w:val="redniecieniowanie2akcent51"/>
        <w:tblW w:w="0" w:type="auto"/>
        <w:tblLook w:val="04A0" w:firstRow="1" w:lastRow="0" w:firstColumn="1" w:lastColumn="0" w:noHBand="0" w:noVBand="1"/>
      </w:tblPr>
      <w:tblGrid>
        <w:gridCol w:w="2303"/>
        <w:gridCol w:w="3050"/>
        <w:gridCol w:w="3827"/>
      </w:tblGrid>
      <w:tr w:rsidR="00EE0C8C" w:rsidRPr="00EE0C8C" w:rsidTr="00A76BD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03" w:type="dxa"/>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ROK</w:t>
            </w:r>
          </w:p>
        </w:tc>
        <w:tc>
          <w:tcPr>
            <w:tcW w:w="3050" w:type="dxa"/>
          </w:tcPr>
          <w:p w:rsidR="00EE0C8C" w:rsidRPr="00EE0C8C" w:rsidRDefault="00EE0C8C" w:rsidP="00EE0C8C">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Spotkania z czytelnikami</w:t>
            </w:r>
          </w:p>
        </w:tc>
        <w:tc>
          <w:tcPr>
            <w:tcW w:w="3827" w:type="dxa"/>
          </w:tcPr>
          <w:p w:rsidR="00EE0C8C" w:rsidRPr="00EE0C8C" w:rsidRDefault="00EE0C8C" w:rsidP="00EE0C8C">
            <w:pPr>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Ilość uczestników</w:t>
            </w:r>
          </w:p>
        </w:tc>
      </w:tr>
      <w:tr w:rsidR="00EE0C8C" w:rsidRPr="00EE0C8C" w:rsidTr="00A76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2013</w:t>
            </w:r>
          </w:p>
        </w:tc>
        <w:tc>
          <w:tcPr>
            <w:tcW w:w="3050"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rPr>
            </w:pPr>
            <w:r w:rsidRPr="00EE0C8C">
              <w:rPr>
                <w:rFonts w:ascii="Calibri" w:eastAsia="Calibri" w:hAnsi="Calibri" w:cs="Times New Roman"/>
                <w:b/>
              </w:rPr>
              <w:t>82</w:t>
            </w:r>
          </w:p>
        </w:tc>
        <w:tc>
          <w:tcPr>
            <w:tcW w:w="3827"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rPr>
            </w:pPr>
            <w:r w:rsidRPr="00EE0C8C">
              <w:rPr>
                <w:rFonts w:ascii="Calibri" w:eastAsia="Calibri" w:hAnsi="Calibri" w:cs="Times New Roman"/>
                <w:b/>
              </w:rPr>
              <w:t>1108 osób</w:t>
            </w:r>
          </w:p>
        </w:tc>
      </w:tr>
      <w:tr w:rsidR="00EE0C8C" w:rsidRPr="00EE0C8C" w:rsidTr="00A76BDB">
        <w:tc>
          <w:tcPr>
            <w:cnfStyle w:val="001000000000" w:firstRow="0" w:lastRow="0" w:firstColumn="1" w:lastColumn="0" w:oddVBand="0" w:evenVBand="0" w:oddHBand="0" w:evenHBand="0" w:firstRowFirstColumn="0" w:firstRowLastColumn="0" w:lastRowFirstColumn="0" w:lastRowLastColumn="0"/>
            <w:tcW w:w="2303" w:type="dxa"/>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2014</w:t>
            </w:r>
          </w:p>
        </w:tc>
        <w:tc>
          <w:tcPr>
            <w:tcW w:w="3050" w:type="dxa"/>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rPr>
            </w:pPr>
            <w:r w:rsidRPr="00EE0C8C">
              <w:rPr>
                <w:rFonts w:ascii="Calibri" w:eastAsia="Calibri" w:hAnsi="Calibri" w:cs="Times New Roman"/>
                <w:b/>
              </w:rPr>
              <w:t>82</w:t>
            </w:r>
          </w:p>
        </w:tc>
        <w:tc>
          <w:tcPr>
            <w:tcW w:w="3827" w:type="dxa"/>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rPr>
            </w:pPr>
            <w:r w:rsidRPr="00EE0C8C">
              <w:rPr>
                <w:rFonts w:ascii="Calibri" w:eastAsia="Calibri" w:hAnsi="Calibri" w:cs="Times New Roman"/>
                <w:b/>
              </w:rPr>
              <w:t>911 osób</w:t>
            </w:r>
          </w:p>
        </w:tc>
      </w:tr>
    </w:tbl>
    <w:p w:rsidR="00EE0C8C" w:rsidRPr="00EE0C8C" w:rsidRDefault="00EE0C8C" w:rsidP="00EE0C8C">
      <w:pPr>
        <w:jc w:val="center"/>
        <w:rPr>
          <w:rFonts w:ascii="Calibri" w:eastAsia="Times New Roman" w:hAnsi="Calibri" w:cs="Times New Roman"/>
          <w:i/>
          <w:lang w:eastAsia="pl-PL"/>
        </w:rPr>
      </w:pPr>
      <w:r w:rsidRPr="00EE0C8C">
        <w:rPr>
          <w:rFonts w:ascii="Calibri" w:eastAsia="Times New Roman" w:hAnsi="Calibri" w:cs="Times New Roman"/>
          <w:i/>
          <w:lang w:eastAsia="pl-PL"/>
        </w:rPr>
        <w:t>(Źródło: Gminna Biblioteka Publiczna w Mircu)</w:t>
      </w:r>
    </w:p>
    <w:p w:rsidR="00EE0C8C" w:rsidRPr="00EE0C8C" w:rsidRDefault="00EE0C8C" w:rsidP="00EE0C8C">
      <w:pPr>
        <w:jc w:val="both"/>
        <w:rPr>
          <w:rFonts w:ascii="Calibri" w:eastAsia="Times New Roman" w:hAnsi="Calibri" w:cs="Times New Roman"/>
          <w:lang w:eastAsia="pl-PL"/>
        </w:rPr>
      </w:pPr>
      <w:r w:rsidRPr="00EE0C8C">
        <w:rPr>
          <w:rFonts w:ascii="Calibri" w:eastAsia="Times New Roman" w:hAnsi="Calibri" w:cs="Times New Roman"/>
          <w:lang w:eastAsia="pl-PL"/>
        </w:rPr>
        <w:t xml:space="preserve">Oprócz podstawowych zadań jakimi jest: gromadzenie, opracowywanie i wypożyczanie książek </w:t>
      </w:r>
      <w:r w:rsidRPr="00EE0C8C">
        <w:rPr>
          <w:rFonts w:ascii="Calibri" w:eastAsia="Times New Roman" w:hAnsi="Calibri" w:cs="Times New Roman"/>
          <w:lang w:eastAsia="pl-PL"/>
        </w:rPr>
        <w:br/>
        <w:t>i umożliwianie bezpłatnego dostępu do Internetu, Gminna Biblioteka Publiczna w Mircu prowadzi także działalność kulturalno oświatową. W ramach takiej działalności organizuje spotkania dla dzieci, młodzieży i dorosłych.</w:t>
      </w:r>
    </w:p>
    <w:tbl>
      <w:tblPr>
        <w:tblStyle w:val="redniecieniowanie2akcent51"/>
        <w:tblW w:w="0" w:type="auto"/>
        <w:tblLook w:val="04A0" w:firstRow="1" w:lastRow="0" w:firstColumn="1" w:lastColumn="0" w:noHBand="0" w:noVBand="1"/>
      </w:tblPr>
      <w:tblGrid>
        <w:gridCol w:w="3070"/>
        <w:gridCol w:w="3071"/>
        <w:gridCol w:w="3071"/>
      </w:tblGrid>
      <w:tr w:rsidR="00EE0C8C" w:rsidRPr="00EE0C8C" w:rsidTr="00A76BD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70" w:type="dxa"/>
          </w:tcPr>
          <w:p w:rsidR="00EE0C8C" w:rsidRPr="00EE0C8C" w:rsidRDefault="00EE0C8C" w:rsidP="00EE0C8C">
            <w:pPr>
              <w:rPr>
                <w:rFonts w:ascii="Calibri" w:eastAsia="Calibri" w:hAnsi="Calibri" w:cs="Times New Roman"/>
              </w:rPr>
            </w:pPr>
            <w:r w:rsidRPr="00EE0C8C">
              <w:rPr>
                <w:rFonts w:ascii="Calibri" w:eastAsia="Calibri" w:hAnsi="Calibri" w:cs="Times New Roman"/>
              </w:rPr>
              <w:t>ROK</w:t>
            </w:r>
          </w:p>
        </w:tc>
        <w:tc>
          <w:tcPr>
            <w:tcW w:w="3071" w:type="dxa"/>
          </w:tcPr>
          <w:p w:rsidR="00EE0C8C" w:rsidRPr="00EE0C8C" w:rsidRDefault="00EE0C8C" w:rsidP="00EE0C8C">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Ilość spotkań</w:t>
            </w:r>
          </w:p>
        </w:tc>
        <w:tc>
          <w:tcPr>
            <w:tcW w:w="3071" w:type="dxa"/>
          </w:tcPr>
          <w:p w:rsidR="00EE0C8C" w:rsidRPr="00EE0C8C" w:rsidRDefault="00EE0C8C" w:rsidP="00EE0C8C">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Ilość uczestników</w:t>
            </w:r>
          </w:p>
        </w:tc>
      </w:tr>
      <w:tr w:rsidR="00EE0C8C" w:rsidRPr="00EE0C8C" w:rsidTr="00A76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EE0C8C" w:rsidRPr="00EE0C8C" w:rsidRDefault="00EE0C8C" w:rsidP="00EE0C8C">
            <w:pPr>
              <w:rPr>
                <w:rFonts w:ascii="Calibri" w:eastAsia="Calibri" w:hAnsi="Calibri" w:cs="Times New Roman"/>
              </w:rPr>
            </w:pPr>
            <w:r w:rsidRPr="00EE0C8C">
              <w:rPr>
                <w:rFonts w:ascii="Calibri" w:eastAsia="Calibri" w:hAnsi="Calibri" w:cs="Times New Roman"/>
              </w:rPr>
              <w:t>2013</w:t>
            </w:r>
          </w:p>
        </w:tc>
        <w:tc>
          <w:tcPr>
            <w:tcW w:w="3071" w:type="dxa"/>
          </w:tcPr>
          <w:p w:rsidR="00EE0C8C" w:rsidRPr="00EE0C8C" w:rsidRDefault="00EE0C8C" w:rsidP="00EE0C8C">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rPr>
            </w:pPr>
            <w:r w:rsidRPr="00EE0C8C">
              <w:rPr>
                <w:rFonts w:ascii="Calibri" w:eastAsia="Calibri" w:hAnsi="Calibri" w:cs="Times New Roman"/>
                <w:b/>
              </w:rPr>
              <w:t>34</w:t>
            </w:r>
          </w:p>
        </w:tc>
        <w:tc>
          <w:tcPr>
            <w:tcW w:w="3071" w:type="dxa"/>
          </w:tcPr>
          <w:p w:rsidR="00EE0C8C" w:rsidRPr="00EE0C8C" w:rsidRDefault="00EE0C8C" w:rsidP="00EE0C8C">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rPr>
            </w:pPr>
            <w:r w:rsidRPr="00EE0C8C">
              <w:rPr>
                <w:rFonts w:ascii="Calibri" w:eastAsia="Calibri" w:hAnsi="Calibri" w:cs="Times New Roman"/>
                <w:b/>
              </w:rPr>
              <w:t>911</w:t>
            </w:r>
          </w:p>
        </w:tc>
      </w:tr>
      <w:tr w:rsidR="00EE0C8C" w:rsidRPr="00EE0C8C" w:rsidTr="00A76BDB">
        <w:tc>
          <w:tcPr>
            <w:cnfStyle w:val="001000000000" w:firstRow="0" w:lastRow="0" w:firstColumn="1" w:lastColumn="0" w:oddVBand="0" w:evenVBand="0" w:oddHBand="0" w:evenHBand="0" w:firstRowFirstColumn="0" w:firstRowLastColumn="0" w:lastRowFirstColumn="0" w:lastRowLastColumn="0"/>
            <w:tcW w:w="3070" w:type="dxa"/>
          </w:tcPr>
          <w:p w:rsidR="00EE0C8C" w:rsidRPr="00EE0C8C" w:rsidRDefault="00EE0C8C" w:rsidP="00EE0C8C">
            <w:pPr>
              <w:rPr>
                <w:rFonts w:ascii="Calibri" w:eastAsia="Calibri" w:hAnsi="Calibri" w:cs="Times New Roman"/>
              </w:rPr>
            </w:pPr>
            <w:r w:rsidRPr="00EE0C8C">
              <w:rPr>
                <w:rFonts w:ascii="Calibri" w:eastAsia="Calibri" w:hAnsi="Calibri" w:cs="Times New Roman"/>
              </w:rPr>
              <w:t>2014</w:t>
            </w:r>
          </w:p>
        </w:tc>
        <w:tc>
          <w:tcPr>
            <w:tcW w:w="3071" w:type="dxa"/>
          </w:tcPr>
          <w:p w:rsidR="00EE0C8C" w:rsidRPr="00EE0C8C" w:rsidRDefault="00EE0C8C" w:rsidP="00EE0C8C">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rPr>
            </w:pPr>
            <w:r w:rsidRPr="00EE0C8C">
              <w:rPr>
                <w:rFonts w:ascii="Calibri" w:eastAsia="Calibri" w:hAnsi="Calibri" w:cs="Times New Roman"/>
                <w:b/>
              </w:rPr>
              <w:t>82</w:t>
            </w:r>
          </w:p>
        </w:tc>
        <w:tc>
          <w:tcPr>
            <w:tcW w:w="3071" w:type="dxa"/>
          </w:tcPr>
          <w:p w:rsidR="00EE0C8C" w:rsidRPr="00EE0C8C" w:rsidRDefault="00EE0C8C" w:rsidP="00EE0C8C">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rPr>
            </w:pPr>
            <w:r w:rsidRPr="00EE0C8C">
              <w:rPr>
                <w:rFonts w:ascii="Calibri" w:eastAsia="Calibri" w:hAnsi="Calibri" w:cs="Times New Roman"/>
                <w:b/>
              </w:rPr>
              <w:t>Brak danych</w:t>
            </w:r>
          </w:p>
        </w:tc>
      </w:tr>
    </w:tbl>
    <w:p w:rsidR="00EE0C8C" w:rsidRPr="00EE0C8C" w:rsidRDefault="00EE0C8C" w:rsidP="00EE0C8C">
      <w:pPr>
        <w:jc w:val="center"/>
        <w:rPr>
          <w:rFonts w:ascii="Calibri" w:eastAsia="Times New Roman" w:hAnsi="Calibri" w:cs="Times New Roman"/>
          <w:i/>
          <w:lang w:eastAsia="pl-PL"/>
        </w:rPr>
      </w:pPr>
      <w:r w:rsidRPr="00EE0C8C">
        <w:rPr>
          <w:rFonts w:ascii="Calibri" w:eastAsia="Times New Roman" w:hAnsi="Calibri" w:cs="Times New Roman"/>
          <w:i/>
          <w:lang w:eastAsia="pl-PL"/>
        </w:rPr>
        <w:t>(Źródło: Gminna Biblioteka Publiczna w Mircu)</w:t>
      </w:r>
    </w:p>
    <w:p w:rsidR="00EE0C8C" w:rsidRPr="00EE0C8C" w:rsidRDefault="00EE0C8C" w:rsidP="00EE0C8C">
      <w:pPr>
        <w:keepNext/>
        <w:keepLines/>
        <w:spacing w:before="200" w:after="0"/>
        <w:outlineLvl w:val="3"/>
        <w:rPr>
          <w:rFonts w:ascii="Cambria" w:eastAsia="Times New Roman" w:hAnsi="Cambria" w:cs="Times New Roman"/>
          <w:b/>
          <w:bCs/>
          <w:i/>
          <w:iCs/>
          <w:color w:val="4F81BD"/>
          <w:lang w:eastAsia="pl-PL"/>
        </w:rPr>
      </w:pPr>
      <w:r w:rsidRPr="00EE0C8C">
        <w:rPr>
          <w:rFonts w:ascii="Cambria" w:eastAsia="Times New Roman" w:hAnsi="Cambria" w:cs="Times New Roman"/>
          <w:b/>
          <w:bCs/>
          <w:i/>
          <w:iCs/>
          <w:color w:val="4F81BD"/>
          <w:lang w:eastAsia="pl-PL"/>
        </w:rPr>
        <w:t>INFRASTRUKTURA SPORTU</w:t>
      </w:r>
    </w:p>
    <w:p w:rsidR="00EE0C8C" w:rsidRPr="00EE0C8C" w:rsidRDefault="00EE0C8C" w:rsidP="00EE0C8C">
      <w:pPr>
        <w:contextualSpacing/>
        <w:rPr>
          <w:rFonts w:ascii="Calibri" w:eastAsia="Times New Roman" w:hAnsi="Calibri" w:cs="Times New Roman"/>
          <w:b/>
          <w:lang w:eastAsia="pl-PL"/>
        </w:rPr>
      </w:pPr>
    </w:p>
    <w:p w:rsidR="00EE0C8C" w:rsidRPr="00EE0C8C" w:rsidRDefault="00EE0C8C" w:rsidP="00EE0C8C">
      <w:pPr>
        <w:jc w:val="both"/>
        <w:rPr>
          <w:rFonts w:ascii="Calibri" w:eastAsia="Times New Roman" w:hAnsi="Calibri" w:cs="Times New Roman"/>
          <w:lang w:eastAsia="pl-PL"/>
        </w:rPr>
      </w:pPr>
      <w:r w:rsidRPr="00EE0C8C">
        <w:rPr>
          <w:rFonts w:ascii="Calibri" w:eastAsia="Times New Roman" w:hAnsi="Calibri" w:cs="Times New Roman"/>
          <w:lang w:eastAsia="pl-PL"/>
        </w:rPr>
        <w:t>Na terenie gminy istnieją obiekty sportowe, na których odbywają się liczne zawody i rozgrywki.</w:t>
      </w:r>
    </w:p>
    <w:p w:rsidR="00EE0C8C" w:rsidRPr="00EE0C8C" w:rsidRDefault="00EE0C8C" w:rsidP="00EE0C8C">
      <w:pPr>
        <w:jc w:val="both"/>
        <w:rPr>
          <w:rFonts w:ascii="Calibri" w:eastAsia="Times New Roman" w:hAnsi="Calibri" w:cs="Times New Roman"/>
          <w:lang w:eastAsia="pl-PL"/>
        </w:rPr>
      </w:pPr>
      <w:r w:rsidRPr="00EE0C8C">
        <w:rPr>
          <w:rFonts w:ascii="Calibri" w:eastAsia="Times New Roman" w:hAnsi="Calibri" w:cs="Times New Roman"/>
          <w:lang w:eastAsia="pl-PL"/>
        </w:rPr>
        <w:lastRenderedPageBreak/>
        <w:t>Dynamiczny rozwój sportu datuje się od roku 1997, kiedy to zorganizowane zostały piłkarskie rozgrywki o Puchar Wójta, który zdobyła drużyna LZS-u z Gadki, pokonując w finale LZS z Tychowa Starego 4:0.</w:t>
      </w:r>
    </w:p>
    <w:p w:rsidR="00EE0C8C" w:rsidRPr="00EE0C8C" w:rsidRDefault="00EE0C8C" w:rsidP="00EE0C8C">
      <w:pPr>
        <w:jc w:val="both"/>
        <w:rPr>
          <w:rFonts w:ascii="Calibri" w:eastAsia="Times New Roman" w:hAnsi="Calibri" w:cs="Times New Roman"/>
          <w:lang w:eastAsia="pl-PL"/>
        </w:rPr>
      </w:pPr>
      <w:r w:rsidRPr="00EE0C8C">
        <w:rPr>
          <w:rFonts w:ascii="Calibri" w:eastAsia="Times New Roman" w:hAnsi="Calibri" w:cs="Times New Roman"/>
          <w:lang w:eastAsia="pl-PL"/>
        </w:rPr>
        <w:t xml:space="preserve">Powodzenie rozgrywek skłoniło władze gminy do zorganizowania ligi piłkarskiej, w której uczestniczyły zespoły z każdej wsi leżącej na terenie gminy. Pierwszym mistrzem został zespół </w:t>
      </w:r>
      <w:r w:rsidRPr="00EE0C8C">
        <w:rPr>
          <w:rFonts w:ascii="Calibri" w:eastAsia="Times New Roman" w:hAnsi="Calibri" w:cs="Times New Roman"/>
          <w:lang w:eastAsia="pl-PL"/>
        </w:rPr>
        <w:br/>
        <w:t>z Gadki.</w:t>
      </w:r>
    </w:p>
    <w:p w:rsidR="00EE0C8C" w:rsidRPr="00EE0C8C" w:rsidRDefault="00EE0C8C" w:rsidP="00EE0C8C">
      <w:pPr>
        <w:jc w:val="both"/>
        <w:rPr>
          <w:rFonts w:ascii="Calibri" w:eastAsia="Times New Roman" w:hAnsi="Calibri" w:cs="Times New Roman"/>
          <w:lang w:eastAsia="pl-PL"/>
        </w:rPr>
      </w:pPr>
      <w:r w:rsidRPr="00EE0C8C">
        <w:rPr>
          <w:rFonts w:ascii="Calibri" w:eastAsia="Times New Roman" w:hAnsi="Calibri" w:cs="Times New Roman"/>
          <w:lang w:eastAsia="pl-PL"/>
        </w:rPr>
        <w:t>W roku 2012 założone zostało Mirzeckie Towarzystwo Sportowe "Leonard", którego prezesem został Jerzy Miśkiewicz.</w:t>
      </w:r>
    </w:p>
    <w:p w:rsidR="00EE0C8C" w:rsidRPr="00EE0C8C" w:rsidRDefault="00EE0C8C" w:rsidP="00EE0C8C">
      <w:pPr>
        <w:jc w:val="both"/>
        <w:rPr>
          <w:rFonts w:ascii="Calibri" w:eastAsia="Times New Roman" w:hAnsi="Calibri" w:cs="Times New Roman"/>
          <w:lang w:eastAsia="pl-PL"/>
        </w:rPr>
      </w:pPr>
      <w:r w:rsidRPr="00EE0C8C">
        <w:rPr>
          <w:rFonts w:ascii="Calibri" w:eastAsia="Times New Roman" w:hAnsi="Calibri" w:cs="Times New Roman"/>
          <w:lang w:eastAsia="pl-PL"/>
        </w:rPr>
        <w:t>Na terenie Gminy Mirzec działa także Uczniowski Klub Sportowy "Ibis", 27-220 Mirzec 10, przy Publicznym Gimnazjum w Mircu.</w:t>
      </w:r>
    </w:p>
    <w:p w:rsidR="00EE0C8C" w:rsidRPr="00EE0C8C" w:rsidRDefault="00EE0C8C" w:rsidP="00EE0C8C">
      <w:pPr>
        <w:jc w:val="both"/>
        <w:rPr>
          <w:rFonts w:ascii="Calibri" w:eastAsia="Times New Roman" w:hAnsi="Calibri" w:cs="Times New Roman"/>
          <w:lang w:eastAsia="pl-PL"/>
        </w:rPr>
      </w:pPr>
      <w:r w:rsidRPr="00EE0C8C">
        <w:rPr>
          <w:rFonts w:ascii="Calibri" w:eastAsia="Times New Roman" w:hAnsi="Calibri" w:cs="Times New Roman"/>
          <w:lang w:eastAsia="pl-PL"/>
        </w:rPr>
        <w:t>Program „Moje Boisko – Orlik 2012" zakłada budowę ogólnodostępnych, bezpłatnych kompleksów boisk sportowych wraz z szatniami i zapleczem socjalnym, w każdej gminie na terenie całego kraju. Założeniem Programu jest udostępnienie dzieciom i młodzieży nowoczesnej infrastruktury sportowej w celu aktywnego uprawiania sportu. Także Gmina Mirzec posiada taki kompleks - Mirzec – Mirzec Majorat 12 .</w:t>
      </w:r>
    </w:p>
    <w:p w:rsidR="00EE0C8C" w:rsidRPr="00EE0C8C" w:rsidRDefault="00EE0C8C" w:rsidP="00EE0C8C">
      <w:pPr>
        <w:spacing w:after="0" w:line="240" w:lineRule="auto"/>
        <w:jc w:val="center"/>
        <w:rPr>
          <w:rFonts w:ascii="Calibri" w:eastAsia="Times New Roman" w:hAnsi="Calibri" w:cs="Times New Roman"/>
          <w:lang w:eastAsia="pl-PL"/>
        </w:rPr>
      </w:pPr>
    </w:p>
    <w:p w:rsidR="00EE0C8C" w:rsidRPr="00EE0C8C" w:rsidRDefault="00EE0C8C" w:rsidP="00EE0C8C">
      <w:pPr>
        <w:spacing w:after="0" w:line="240" w:lineRule="auto"/>
        <w:rPr>
          <w:rFonts w:ascii="Calibri" w:eastAsia="Times New Roman" w:hAnsi="Calibri" w:cs="Times New Roman"/>
          <w:lang w:eastAsia="pl-PL"/>
        </w:rPr>
      </w:pPr>
    </w:p>
    <w:p w:rsidR="00EE0C8C" w:rsidRPr="00EE0C8C" w:rsidRDefault="00EE0C8C" w:rsidP="00EE0C8C">
      <w:pPr>
        <w:spacing w:after="0"/>
        <w:jc w:val="both"/>
        <w:rPr>
          <w:rFonts w:ascii="Calibri" w:eastAsia="Times New Roman" w:hAnsi="Calibri" w:cs="Times New Roman"/>
          <w:lang w:eastAsia="pl-PL"/>
        </w:rPr>
      </w:pPr>
      <w:r w:rsidRPr="00EE0C8C">
        <w:rPr>
          <w:rFonts w:ascii="Calibri" w:eastAsia="Times New Roman" w:hAnsi="Calibri" w:cs="Times New Roman"/>
          <w:lang w:eastAsia="pl-PL"/>
        </w:rPr>
        <w:t>Zimą w sali gimnastycznej w Mircu odbywają się liczne turnieje piłkarskie, siatkarskie oraz tenisa stołowego. Rozgrywany jest również wieloetapowy turniej o miano najbardziej usportowionej gminy Mirzec. Głównym organizatorem imprez jest pasjonat sportu, nauczyciel wychowania fizycznego z Gimnazjum Publicznego w Mircu - mgr Przemysław Strabanik.</w:t>
      </w:r>
    </w:p>
    <w:p w:rsidR="00EE0C8C" w:rsidRPr="00EE0C8C" w:rsidRDefault="00EE0C8C" w:rsidP="00EE0C8C">
      <w:pPr>
        <w:spacing w:after="0"/>
        <w:jc w:val="both"/>
        <w:rPr>
          <w:rFonts w:ascii="Calibri" w:eastAsia="Times New Roman" w:hAnsi="Calibri" w:cs="Times New Roman"/>
          <w:lang w:eastAsia="pl-PL"/>
        </w:rPr>
      </w:pPr>
      <w:r w:rsidRPr="00EE0C8C">
        <w:rPr>
          <w:rFonts w:ascii="Calibri" w:eastAsia="Times New Roman" w:hAnsi="Calibri" w:cs="Times New Roman"/>
          <w:lang w:eastAsia="pl-PL"/>
        </w:rPr>
        <w:t>Prowadzone są także zajęcia z:</w:t>
      </w:r>
    </w:p>
    <w:p w:rsidR="00EE0C8C" w:rsidRPr="00EE0C8C" w:rsidRDefault="00EE0C8C" w:rsidP="00EE0C8C">
      <w:pPr>
        <w:spacing w:after="0"/>
        <w:ind w:firstLine="1134"/>
        <w:jc w:val="both"/>
        <w:rPr>
          <w:rFonts w:ascii="Calibri" w:eastAsia="Times New Roman" w:hAnsi="Calibri" w:cs="Times New Roman"/>
          <w:lang w:eastAsia="pl-PL"/>
        </w:rPr>
      </w:pPr>
      <w:r w:rsidRPr="00EE0C8C">
        <w:rPr>
          <w:rFonts w:ascii="Calibri" w:eastAsia="Times New Roman" w:hAnsi="Calibri" w:cs="Times New Roman"/>
          <w:lang w:eastAsia="pl-PL"/>
        </w:rPr>
        <w:t>- siatkówka dla chłopców  i dziewcząt;</w:t>
      </w:r>
    </w:p>
    <w:p w:rsidR="00EE0C8C" w:rsidRPr="00EE0C8C" w:rsidRDefault="00EE0C8C" w:rsidP="00EE0C8C">
      <w:pPr>
        <w:spacing w:after="0"/>
        <w:ind w:firstLine="1134"/>
        <w:jc w:val="both"/>
        <w:rPr>
          <w:rFonts w:ascii="Calibri" w:eastAsia="Times New Roman" w:hAnsi="Calibri" w:cs="Times New Roman"/>
          <w:lang w:eastAsia="pl-PL"/>
        </w:rPr>
      </w:pPr>
      <w:r w:rsidRPr="00EE0C8C">
        <w:rPr>
          <w:rFonts w:ascii="Calibri" w:eastAsia="Times New Roman" w:hAnsi="Calibri" w:cs="Times New Roman"/>
          <w:lang w:eastAsia="pl-PL"/>
        </w:rPr>
        <w:t>- siatkówka – reprezentacja gminy;</w:t>
      </w:r>
    </w:p>
    <w:p w:rsidR="00EE0C8C" w:rsidRPr="00EE0C8C" w:rsidRDefault="00EE0C8C" w:rsidP="00EE0C8C">
      <w:pPr>
        <w:spacing w:after="0"/>
        <w:ind w:firstLine="1134"/>
        <w:jc w:val="both"/>
        <w:rPr>
          <w:rFonts w:ascii="Calibri" w:eastAsia="Times New Roman" w:hAnsi="Calibri" w:cs="Times New Roman"/>
          <w:lang w:eastAsia="pl-PL"/>
        </w:rPr>
      </w:pPr>
      <w:r w:rsidRPr="00EE0C8C">
        <w:rPr>
          <w:rFonts w:ascii="Calibri" w:eastAsia="Times New Roman" w:hAnsi="Calibri" w:cs="Times New Roman"/>
          <w:lang w:eastAsia="pl-PL"/>
        </w:rPr>
        <w:t>- tenis stołowy - reprezentacja gminy;</w:t>
      </w:r>
    </w:p>
    <w:p w:rsidR="00EE0C8C" w:rsidRPr="00EE0C8C" w:rsidRDefault="00EE0C8C" w:rsidP="00EE0C8C">
      <w:pPr>
        <w:spacing w:after="0"/>
        <w:ind w:firstLine="1134"/>
        <w:jc w:val="both"/>
        <w:rPr>
          <w:rFonts w:ascii="Calibri" w:eastAsia="Times New Roman" w:hAnsi="Calibri" w:cs="Times New Roman"/>
          <w:lang w:eastAsia="pl-PL"/>
        </w:rPr>
      </w:pPr>
      <w:r w:rsidRPr="00EE0C8C">
        <w:rPr>
          <w:rFonts w:ascii="Calibri" w:eastAsia="Times New Roman" w:hAnsi="Calibri" w:cs="Times New Roman"/>
          <w:lang w:eastAsia="pl-PL"/>
        </w:rPr>
        <w:t>- tenis stołowy dziewcząt;</w:t>
      </w:r>
    </w:p>
    <w:p w:rsidR="00EE0C8C" w:rsidRPr="00EE0C8C" w:rsidRDefault="00EE0C8C" w:rsidP="00EE0C8C">
      <w:pPr>
        <w:spacing w:after="0"/>
        <w:ind w:firstLine="1134"/>
        <w:jc w:val="both"/>
        <w:rPr>
          <w:rFonts w:ascii="Calibri" w:eastAsia="Times New Roman" w:hAnsi="Calibri" w:cs="Times New Roman"/>
          <w:lang w:eastAsia="pl-PL"/>
        </w:rPr>
      </w:pPr>
      <w:r w:rsidRPr="00EE0C8C">
        <w:rPr>
          <w:rFonts w:ascii="Calibri" w:eastAsia="Times New Roman" w:hAnsi="Calibri" w:cs="Times New Roman"/>
          <w:lang w:eastAsia="pl-PL"/>
        </w:rPr>
        <w:t>- piłka nożna dziewcząt.</w:t>
      </w:r>
    </w:p>
    <w:p w:rsidR="00EE0C8C" w:rsidRPr="00EE0C8C" w:rsidRDefault="00EE0C8C" w:rsidP="00EE0C8C">
      <w:pPr>
        <w:rPr>
          <w:rFonts w:ascii="Calibri" w:eastAsia="Times New Roman" w:hAnsi="Calibri" w:cs="Times New Roman"/>
          <w:lang w:eastAsia="pl-PL"/>
        </w:rPr>
      </w:pPr>
    </w:p>
    <w:p w:rsidR="00EE0C8C" w:rsidRPr="00EE0C8C" w:rsidRDefault="00EE0C8C" w:rsidP="00A76BDB">
      <w:pPr>
        <w:pStyle w:val="Nagwek2"/>
        <w:rPr>
          <w:lang w:eastAsia="pl-PL"/>
        </w:rPr>
      </w:pPr>
      <w:bookmarkStart w:id="68" w:name="_Toc439077758"/>
      <w:bookmarkStart w:id="69" w:name="_Toc450562488"/>
      <w:r w:rsidRPr="00EE0C8C">
        <w:rPr>
          <w:lang w:eastAsia="pl-PL"/>
        </w:rPr>
        <w:t>2.1.9.</w:t>
      </w:r>
      <w:r w:rsidRPr="00EE0C8C">
        <w:rPr>
          <w:lang w:eastAsia="pl-PL"/>
        </w:rPr>
        <w:tab/>
        <w:t>OCHRONA ZABYTKÓW – OBIEKTY WPISANE DO REJESTRU ZABYTKÓW ORAZ OBJĘTE OCHRONĄ KONSERWATORSKĄ NA MOCY OBOWIĄZUJĄCYCH PLANÓW MIEJSCOWYCH, WYKAZ ZABYTKOWYCH OBIEKTÓW</w:t>
      </w:r>
      <w:bookmarkEnd w:id="68"/>
      <w:bookmarkEnd w:id="69"/>
      <w:r w:rsidRPr="00EE0C8C">
        <w:rPr>
          <w:lang w:eastAsia="pl-PL"/>
        </w:rPr>
        <w:tab/>
      </w:r>
    </w:p>
    <w:p w:rsidR="00AC70EF" w:rsidRDefault="00AC70EF" w:rsidP="00AC70EF">
      <w:pPr>
        <w:jc w:val="both"/>
        <w:rPr>
          <w:rFonts w:ascii="Calibri" w:eastAsia="Times New Roman" w:hAnsi="Calibri" w:cs="Times New Roman"/>
          <w:lang w:eastAsia="pl-PL"/>
        </w:rPr>
      </w:pPr>
    </w:p>
    <w:p w:rsidR="00EE0C8C" w:rsidRDefault="00AC70EF" w:rsidP="00AC70EF">
      <w:pPr>
        <w:jc w:val="both"/>
        <w:rPr>
          <w:rFonts w:ascii="Calibri" w:eastAsia="Times New Roman" w:hAnsi="Calibri" w:cs="Times New Roman"/>
          <w:lang w:eastAsia="pl-PL"/>
        </w:rPr>
      </w:pPr>
      <w:r>
        <w:rPr>
          <w:rFonts w:ascii="Calibri" w:eastAsia="Times New Roman" w:hAnsi="Calibri" w:cs="Times New Roman"/>
          <w:lang w:eastAsia="pl-PL"/>
        </w:rPr>
        <w:t>W ramach programu ograniczenia przestępczości i aspołecznych zachowań ,,Razem Bezpieczniej”, Działania 4.6 Ochrona Dziedzictwa Narodowego, gmina realizowała projekt np.: Chronimy Lokalne Obiekty Zabytkowe w Mircu” w 2014 r.</w:t>
      </w:r>
    </w:p>
    <w:p w:rsidR="00AC70EF" w:rsidRDefault="00AC70EF" w:rsidP="00AC70EF">
      <w:pPr>
        <w:jc w:val="both"/>
        <w:rPr>
          <w:rFonts w:ascii="Calibri" w:eastAsia="Times New Roman" w:hAnsi="Calibri" w:cs="Times New Roman"/>
          <w:lang w:eastAsia="pl-PL"/>
        </w:rPr>
      </w:pPr>
      <w:r>
        <w:rPr>
          <w:rFonts w:ascii="Calibri" w:eastAsia="Times New Roman" w:hAnsi="Calibri" w:cs="Times New Roman"/>
          <w:lang w:eastAsia="pl-PL"/>
        </w:rPr>
        <w:t>Uzyskano następujące rezultaty:</w:t>
      </w:r>
    </w:p>
    <w:p w:rsidR="00AC70EF" w:rsidRDefault="00AC70EF" w:rsidP="00234BBD">
      <w:pPr>
        <w:pStyle w:val="Akapitzlist"/>
        <w:numPr>
          <w:ilvl w:val="0"/>
          <w:numId w:val="53"/>
        </w:numPr>
        <w:jc w:val="both"/>
        <w:rPr>
          <w:rFonts w:ascii="Calibri" w:eastAsia="Times New Roman" w:hAnsi="Calibri" w:cs="Times New Roman"/>
          <w:lang w:eastAsia="pl-PL"/>
        </w:rPr>
      </w:pPr>
      <w:r>
        <w:rPr>
          <w:rFonts w:ascii="Calibri" w:eastAsia="Times New Roman" w:hAnsi="Calibri" w:cs="Times New Roman"/>
          <w:lang w:eastAsia="pl-PL"/>
        </w:rPr>
        <w:lastRenderedPageBreak/>
        <w:t>Wykonano monitoring wizyjny zewnętrzny składający się z dwóch kamer szybkoobrotowych i dwóch stacjonarnych w Mircu wraz z centrum monitoringu umieszczonym w Urzędzie Gminy,</w:t>
      </w:r>
    </w:p>
    <w:p w:rsidR="00AC70EF" w:rsidRDefault="00AC70EF" w:rsidP="00234BBD">
      <w:pPr>
        <w:pStyle w:val="Akapitzlist"/>
        <w:numPr>
          <w:ilvl w:val="0"/>
          <w:numId w:val="53"/>
        </w:numPr>
        <w:jc w:val="both"/>
        <w:rPr>
          <w:rFonts w:ascii="Calibri" w:eastAsia="Times New Roman" w:hAnsi="Calibri" w:cs="Times New Roman"/>
          <w:lang w:eastAsia="pl-PL"/>
        </w:rPr>
      </w:pPr>
      <w:r>
        <w:rPr>
          <w:rFonts w:ascii="Calibri" w:eastAsia="Times New Roman" w:hAnsi="Calibri" w:cs="Times New Roman"/>
          <w:lang w:eastAsia="pl-PL"/>
        </w:rPr>
        <w:t>Wykonano radiowa instalację przeciwpożarową w Kościele Parafialnym pw. św. Leonarda,</w:t>
      </w:r>
    </w:p>
    <w:p w:rsidR="00AC70EF" w:rsidRDefault="00AC70EF" w:rsidP="00234BBD">
      <w:pPr>
        <w:pStyle w:val="Akapitzlist"/>
        <w:numPr>
          <w:ilvl w:val="0"/>
          <w:numId w:val="53"/>
        </w:numPr>
        <w:jc w:val="both"/>
        <w:rPr>
          <w:rFonts w:ascii="Calibri" w:eastAsia="Times New Roman" w:hAnsi="Calibri" w:cs="Times New Roman"/>
          <w:lang w:eastAsia="pl-PL"/>
        </w:rPr>
      </w:pPr>
      <w:r>
        <w:rPr>
          <w:rFonts w:ascii="Calibri" w:eastAsia="Times New Roman" w:hAnsi="Calibri" w:cs="Times New Roman"/>
          <w:lang w:eastAsia="pl-PL"/>
        </w:rPr>
        <w:t>Zabezpieczono obiekty i obszary zabytkowe przed mogącymi je zniszczyć działaniami przestępczości, jak kradzież, wandalizm lub działania o charakterze klęsk żywiołowych, np. pożary,</w:t>
      </w:r>
    </w:p>
    <w:p w:rsidR="00AC70EF" w:rsidRDefault="00AC70EF" w:rsidP="00234BBD">
      <w:pPr>
        <w:pStyle w:val="Akapitzlist"/>
        <w:numPr>
          <w:ilvl w:val="0"/>
          <w:numId w:val="53"/>
        </w:numPr>
        <w:jc w:val="both"/>
        <w:rPr>
          <w:rFonts w:ascii="Calibri" w:eastAsia="Times New Roman" w:hAnsi="Calibri" w:cs="Times New Roman"/>
          <w:lang w:eastAsia="pl-PL"/>
        </w:rPr>
      </w:pPr>
      <w:r>
        <w:rPr>
          <w:rFonts w:ascii="Calibri" w:eastAsia="Times New Roman" w:hAnsi="Calibri" w:cs="Times New Roman"/>
          <w:lang w:eastAsia="pl-PL"/>
        </w:rPr>
        <w:t>W aspekcie wymiaru społecznego przeprowadzono edukację społeczności lokalnej, popularyzację Mirca i jego walorów turystycznych.</w:t>
      </w:r>
    </w:p>
    <w:p w:rsidR="00AC70EF" w:rsidRPr="00AC70EF" w:rsidRDefault="00AC70EF" w:rsidP="00AC70EF">
      <w:pPr>
        <w:jc w:val="both"/>
        <w:rPr>
          <w:rFonts w:ascii="Calibri" w:eastAsia="Times New Roman" w:hAnsi="Calibri" w:cs="Times New Roman"/>
          <w:lang w:eastAsia="pl-PL"/>
        </w:rPr>
      </w:pPr>
      <w:r w:rsidRPr="00AC70EF">
        <w:rPr>
          <w:rFonts w:ascii="Calibri" w:eastAsia="Times New Roman" w:hAnsi="Calibri" w:cs="Times New Roman"/>
          <w:lang w:eastAsia="pl-PL"/>
        </w:rPr>
        <w:t>Wartość projektu – 60.912,47 zł. W ty</w:t>
      </w:r>
      <w:r>
        <w:rPr>
          <w:rFonts w:ascii="Calibri" w:eastAsia="Times New Roman" w:hAnsi="Calibri" w:cs="Times New Roman"/>
          <w:lang w:eastAsia="pl-PL"/>
        </w:rPr>
        <w:t>m dotacja – 49.575,15 zł przy wkładzie własnym 11.337,32 zł.</w:t>
      </w:r>
    </w:p>
    <w:p w:rsidR="00EE0C8C" w:rsidRDefault="009D7955" w:rsidP="00EE0C8C">
      <w:pPr>
        <w:spacing w:after="120"/>
        <w:jc w:val="both"/>
        <w:rPr>
          <w:rFonts w:ascii="Calibri" w:eastAsia="Times New Roman" w:hAnsi="Calibri" w:cs="Times New Roman"/>
          <w:lang w:eastAsia="pl-PL"/>
        </w:rPr>
      </w:pPr>
      <w:r>
        <w:rPr>
          <w:rFonts w:ascii="Calibri" w:eastAsia="Times New Roman" w:hAnsi="Calibri" w:cs="Times New Roman"/>
          <w:lang w:eastAsia="pl-PL"/>
        </w:rPr>
        <w:t>Obiekty wpisane do ewidencji zabytków zgodnie z poniższym wykazem:</w:t>
      </w:r>
    </w:p>
    <w:p w:rsidR="009D7955" w:rsidRPr="009D7955" w:rsidRDefault="009D7955" w:rsidP="00EE0C8C">
      <w:pPr>
        <w:spacing w:after="120"/>
        <w:jc w:val="both"/>
        <w:rPr>
          <w:rFonts w:ascii="Calibri" w:eastAsia="Times New Roman" w:hAnsi="Calibri" w:cs="Times New Roman"/>
          <w:b/>
          <w:lang w:eastAsia="pl-PL"/>
        </w:rPr>
      </w:pPr>
      <w:r w:rsidRPr="009D7955">
        <w:rPr>
          <w:rFonts w:ascii="Calibri" w:eastAsia="Times New Roman" w:hAnsi="Calibri" w:cs="Times New Roman"/>
          <w:b/>
          <w:lang w:eastAsia="pl-PL"/>
        </w:rPr>
        <w:t>Mirzec</w:t>
      </w:r>
    </w:p>
    <w:p w:rsidR="00EE0C8C" w:rsidRDefault="009D7955" w:rsidP="00EE0C8C">
      <w:pPr>
        <w:rPr>
          <w:rFonts w:ascii="Calibri" w:eastAsia="Times New Roman" w:hAnsi="Calibri" w:cs="Times New Roman"/>
          <w:lang w:eastAsia="pl-PL"/>
        </w:rPr>
      </w:pPr>
      <w:r>
        <w:rPr>
          <w:rFonts w:ascii="Calibri" w:eastAsia="Times New Roman" w:hAnsi="Calibri" w:cs="Times New Roman"/>
          <w:lang w:eastAsia="pl-PL"/>
        </w:rPr>
        <w:t>Zespół kościoła par. pw. św. Leonarda:</w:t>
      </w:r>
    </w:p>
    <w:p w:rsidR="009D7955" w:rsidRDefault="009D7955" w:rsidP="00234BBD">
      <w:pPr>
        <w:pStyle w:val="Akapitzlist"/>
        <w:numPr>
          <w:ilvl w:val="0"/>
          <w:numId w:val="54"/>
        </w:numPr>
        <w:rPr>
          <w:rFonts w:ascii="Calibri" w:eastAsia="Times New Roman" w:hAnsi="Calibri" w:cs="Times New Roman"/>
          <w:lang w:eastAsia="pl-PL"/>
        </w:rPr>
      </w:pPr>
      <w:r>
        <w:rPr>
          <w:rFonts w:ascii="Calibri" w:eastAsia="Times New Roman" w:hAnsi="Calibri" w:cs="Times New Roman"/>
          <w:lang w:eastAsia="pl-PL"/>
        </w:rPr>
        <w:t>Kościół parafialny,</w:t>
      </w:r>
    </w:p>
    <w:p w:rsidR="009D7955" w:rsidRDefault="009D7955" w:rsidP="00234BBD">
      <w:pPr>
        <w:pStyle w:val="Akapitzlist"/>
        <w:numPr>
          <w:ilvl w:val="0"/>
          <w:numId w:val="54"/>
        </w:numPr>
        <w:rPr>
          <w:rFonts w:ascii="Calibri" w:eastAsia="Times New Roman" w:hAnsi="Calibri" w:cs="Times New Roman"/>
          <w:lang w:eastAsia="pl-PL"/>
        </w:rPr>
      </w:pPr>
      <w:r>
        <w:rPr>
          <w:rFonts w:ascii="Calibri" w:eastAsia="Times New Roman" w:hAnsi="Calibri" w:cs="Times New Roman"/>
          <w:lang w:eastAsia="pl-PL"/>
        </w:rPr>
        <w:t>Dzwonnica, mur.,</w:t>
      </w:r>
    </w:p>
    <w:p w:rsidR="009D7955" w:rsidRDefault="009D7955" w:rsidP="00234BBD">
      <w:pPr>
        <w:pStyle w:val="Akapitzlist"/>
        <w:numPr>
          <w:ilvl w:val="0"/>
          <w:numId w:val="54"/>
        </w:numPr>
        <w:rPr>
          <w:rFonts w:ascii="Calibri" w:eastAsia="Times New Roman" w:hAnsi="Calibri" w:cs="Times New Roman"/>
          <w:lang w:eastAsia="pl-PL"/>
        </w:rPr>
      </w:pPr>
      <w:r>
        <w:rPr>
          <w:rFonts w:ascii="Calibri" w:eastAsia="Times New Roman" w:hAnsi="Calibri" w:cs="Times New Roman"/>
          <w:lang w:eastAsia="pl-PL"/>
        </w:rPr>
        <w:t>Ogrodzenie, mur.,</w:t>
      </w:r>
    </w:p>
    <w:p w:rsidR="009D7955" w:rsidRDefault="009D7955" w:rsidP="00234BBD">
      <w:pPr>
        <w:pStyle w:val="Akapitzlist"/>
        <w:numPr>
          <w:ilvl w:val="0"/>
          <w:numId w:val="54"/>
        </w:numPr>
        <w:rPr>
          <w:rFonts w:ascii="Calibri" w:eastAsia="Times New Roman" w:hAnsi="Calibri" w:cs="Times New Roman"/>
          <w:lang w:eastAsia="pl-PL"/>
        </w:rPr>
      </w:pPr>
      <w:r>
        <w:rPr>
          <w:rFonts w:ascii="Calibri" w:eastAsia="Times New Roman" w:hAnsi="Calibri" w:cs="Times New Roman"/>
          <w:lang w:eastAsia="pl-PL"/>
        </w:rPr>
        <w:t>Drewniana kaplica pw. św.  Jana Nepomucena,</w:t>
      </w:r>
    </w:p>
    <w:p w:rsidR="009D7955" w:rsidRDefault="009D7955" w:rsidP="00234BBD">
      <w:pPr>
        <w:pStyle w:val="Akapitzlist"/>
        <w:numPr>
          <w:ilvl w:val="0"/>
          <w:numId w:val="54"/>
        </w:numPr>
        <w:rPr>
          <w:rFonts w:ascii="Calibri" w:eastAsia="Times New Roman" w:hAnsi="Calibri" w:cs="Times New Roman"/>
          <w:lang w:eastAsia="pl-PL"/>
        </w:rPr>
      </w:pPr>
      <w:r>
        <w:rPr>
          <w:rFonts w:ascii="Calibri" w:eastAsia="Times New Roman" w:hAnsi="Calibri" w:cs="Times New Roman"/>
          <w:lang w:eastAsia="pl-PL"/>
        </w:rPr>
        <w:t>Kapliczka przy drodze do Tychowa, mur.,</w:t>
      </w:r>
    </w:p>
    <w:p w:rsidR="009D7955" w:rsidRDefault="009D7955" w:rsidP="00234BBD">
      <w:pPr>
        <w:pStyle w:val="Akapitzlist"/>
        <w:numPr>
          <w:ilvl w:val="0"/>
          <w:numId w:val="54"/>
        </w:numPr>
        <w:rPr>
          <w:rFonts w:ascii="Calibri" w:eastAsia="Times New Roman" w:hAnsi="Calibri" w:cs="Times New Roman"/>
          <w:lang w:eastAsia="pl-PL"/>
        </w:rPr>
      </w:pPr>
      <w:r>
        <w:rPr>
          <w:rFonts w:ascii="Calibri" w:eastAsia="Times New Roman" w:hAnsi="Calibri" w:cs="Times New Roman"/>
          <w:lang w:eastAsia="pl-PL"/>
        </w:rPr>
        <w:t>Cmentarz parafialny stary,</w:t>
      </w:r>
    </w:p>
    <w:p w:rsidR="009D7955" w:rsidRDefault="009D7955" w:rsidP="00234BBD">
      <w:pPr>
        <w:pStyle w:val="Akapitzlist"/>
        <w:numPr>
          <w:ilvl w:val="0"/>
          <w:numId w:val="54"/>
        </w:numPr>
        <w:rPr>
          <w:rFonts w:ascii="Calibri" w:eastAsia="Times New Roman" w:hAnsi="Calibri" w:cs="Times New Roman"/>
          <w:lang w:eastAsia="pl-PL"/>
        </w:rPr>
      </w:pPr>
      <w:r>
        <w:rPr>
          <w:rFonts w:ascii="Calibri" w:eastAsia="Times New Roman" w:hAnsi="Calibri" w:cs="Times New Roman"/>
          <w:lang w:eastAsia="pl-PL"/>
        </w:rPr>
        <w:t>Kaplica cmentarna,</w:t>
      </w:r>
    </w:p>
    <w:p w:rsidR="009D7955" w:rsidRDefault="009D7955" w:rsidP="00234BBD">
      <w:pPr>
        <w:pStyle w:val="Akapitzlist"/>
        <w:numPr>
          <w:ilvl w:val="0"/>
          <w:numId w:val="54"/>
        </w:numPr>
        <w:rPr>
          <w:rFonts w:ascii="Calibri" w:eastAsia="Times New Roman" w:hAnsi="Calibri" w:cs="Times New Roman"/>
          <w:lang w:eastAsia="pl-PL"/>
        </w:rPr>
      </w:pPr>
      <w:r>
        <w:rPr>
          <w:rFonts w:ascii="Calibri" w:eastAsia="Times New Roman" w:hAnsi="Calibri" w:cs="Times New Roman"/>
          <w:lang w:eastAsia="pl-PL"/>
        </w:rPr>
        <w:t>Cmentarz parafialny,</w:t>
      </w:r>
    </w:p>
    <w:p w:rsidR="009D7955" w:rsidRDefault="009D7955" w:rsidP="00234BBD">
      <w:pPr>
        <w:pStyle w:val="Akapitzlist"/>
        <w:numPr>
          <w:ilvl w:val="0"/>
          <w:numId w:val="54"/>
        </w:numPr>
        <w:rPr>
          <w:rFonts w:ascii="Calibri" w:eastAsia="Times New Roman" w:hAnsi="Calibri" w:cs="Times New Roman"/>
          <w:lang w:eastAsia="pl-PL"/>
        </w:rPr>
      </w:pPr>
      <w:r>
        <w:rPr>
          <w:rFonts w:ascii="Calibri" w:eastAsia="Times New Roman" w:hAnsi="Calibri" w:cs="Times New Roman"/>
          <w:lang w:eastAsia="pl-PL"/>
        </w:rPr>
        <w:t>Dawny budynek Urzędu Gminy,</w:t>
      </w:r>
    </w:p>
    <w:p w:rsidR="009D7955" w:rsidRDefault="009D7955" w:rsidP="00234BBD">
      <w:pPr>
        <w:pStyle w:val="Akapitzlist"/>
        <w:numPr>
          <w:ilvl w:val="0"/>
          <w:numId w:val="54"/>
        </w:numPr>
        <w:rPr>
          <w:rFonts w:ascii="Calibri" w:eastAsia="Times New Roman" w:hAnsi="Calibri" w:cs="Times New Roman"/>
          <w:lang w:eastAsia="pl-PL"/>
        </w:rPr>
      </w:pPr>
      <w:r>
        <w:rPr>
          <w:rFonts w:ascii="Calibri" w:eastAsia="Times New Roman" w:hAnsi="Calibri" w:cs="Times New Roman"/>
          <w:lang w:eastAsia="pl-PL"/>
        </w:rPr>
        <w:t>Szkoła podstawowa.</w:t>
      </w:r>
    </w:p>
    <w:p w:rsidR="009D7955" w:rsidRDefault="009D7955" w:rsidP="009D7955">
      <w:pPr>
        <w:rPr>
          <w:rFonts w:ascii="Calibri" w:eastAsia="Times New Roman" w:hAnsi="Calibri" w:cs="Times New Roman"/>
          <w:lang w:eastAsia="pl-PL"/>
        </w:rPr>
      </w:pPr>
      <w:r>
        <w:rPr>
          <w:rFonts w:ascii="Calibri" w:eastAsia="Times New Roman" w:hAnsi="Calibri" w:cs="Times New Roman"/>
          <w:lang w:eastAsia="pl-PL"/>
        </w:rPr>
        <w:t>Pozostałości zespołu dworskiego (Mirzec Majorat)</w:t>
      </w:r>
    </w:p>
    <w:p w:rsidR="009D7955" w:rsidRDefault="009D7955" w:rsidP="00234BBD">
      <w:pPr>
        <w:pStyle w:val="Akapitzlist"/>
        <w:numPr>
          <w:ilvl w:val="0"/>
          <w:numId w:val="54"/>
        </w:numPr>
        <w:rPr>
          <w:rFonts w:ascii="Calibri" w:eastAsia="Times New Roman" w:hAnsi="Calibri" w:cs="Times New Roman"/>
          <w:lang w:eastAsia="pl-PL"/>
        </w:rPr>
      </w:pPr>
      <w:r>
        <w:rPr>
          <w:rFonts w:ascii="Calibri" w:eastAsia="Times New Roman" w:hAnsi="Calibri" w:cs="Times New Roman"/>
          <w:lang w:eastAsia="pl-PL"/>
        </w:rPr>
        <w:t>Willa,</w:t>
      </w:r>
    </w:p>
    <w:p w:rsidR="009D7955" w:rsidRDefault="009D7955" w:rsidP="00234BBD">
      <w:pPr>
        <w:pStyle w:val="Akapitzlist"/>
        <w:numPr>
          <w:ilvl w:val="0"/>
          <w:numId w:val="54"/>
        </w:numPr>
        <w:rPr>
          <w:rFonts w:ascii="Calibri" w:eastAsia="Times New Roman" w:hAnsi="Calibri" w:cs="Times New Roman"/>
          <w:lang w:eastAsia="pl-PL"/>
        </w:rPr>
      </w:pPr>
      <w:r>
        <w:rPr>
          <w:rFonts w:ascii="Calibri" w:eastAsia="Times New Roman" w:hAnsi="Calibri" w:cs="Times New Roman"/>
          <w:lang w:eastAsia="pl-PL"/>
        </w:rPr>
        <w:t>Spichlerz,</w:t>
      </w:r>
    </w:p>
    <w:p w:rsidR="009D7955" w:rsidRDefault="009D7955" w:rsidP="00234BBD">
      <w:pPr>
        <w:pStyle w:val="Akapitzlist"/>
        <w:numPr>
          <w:ilvl w:val="0"/>
          <w:numId w:val="54"/>
        </w:numPr>
        <w:rPr>
          <w:rFonts w:ascii="Calibri" w:eastAsia="Times New Roman" w:hAnsi="Calibri" w:cs="Times New Roman"/>
          <w:lang w:eastAsia="pl-PL"/>
        </w:rPr>
      </w:pPr>
      <w:r>
        <w:rPr>
          <w:rFonts w:ascii="Calibri" w:eastAsia="Times New Roman" w:hAnsi="Calibri" w:cs="Times New Roman"/>
          <w:lang w:eastAsia="pl-PL"/>
        </w:rPr>
        <w:t>Pozostałości parku</w:t>
      </w:r>
    </w:p>
    <w:p w:rsidR="009D7955" w:rsidRDefault="009D7955" w:rsidP="009D7955">
      <w:pPr>
        <w:rPr>
          <w:rFonts w:ascii="Calibri" w:eastAsia="Times New Roman" w:hAnsi="Calibri" w:cs="Times New Roman"/>
          <w:lang w:eastAsia="pl-PL"/>
        </w:rPr>
      </w:pPr>
      <w:r>
        <w:rPr>
          <w:rFonts w:ascii="Calibri" w:eastAsia="Times New Roman" w:hAnsi="Calibri" w:cs="Times New Roman"/>
          <w:lang w:eastAsia="pl-PL"/>
        </w:rPr>
        <w:t>Zespół starej plebanii:</w:t>
      </w:r>
    </w:p>
    <w:p w:rsidR="009D7955" w:rsidRDefault="009D7955" w:rsidP="00234BBD">
      <w:pPr>
        <w:pStyle w:val="Akapitzlist"/>
        <w:numPr>
          <w:ilvl w:val="0"/>
          <w:numId w:val="54"/>
        </w:numPr>
        <w:rPr>
          <w:rFonts w:ascii="Calibri" w:eastAsia="Times New Roman" w:hAnsi="Calibri" w:cs="Times New Roman"/>
          <w:lang w:eastAsia="pl-PL"/>
        </w:rPr>
      </w:pPr>
      <w:r>
        <w:rPr>
          <w:rFonts w:ascii="Calibri" w:eastAsia="Times New Roman" w:hAnsi="Calibri" w:cs="Times New Roman"/>
          <w:lang w:eastAsia="pl-PL"/>
        </w:rPr>
        <w:t>Plebania,</w:t>
      </w:r>
    </w:p>
    <w:p w:rsidR="009D7955" w:rsidRDefault="009D7955" w:rsidP="00234BBD">
      <w:pPr>
        <w:pStyle w:val="Akapitzlist"/>
        <w:numPr>
          <w:ilvl w:val="0"/>
          <w:numId w:val="54"/>
        </w:numPr>
        <w:rPr>
          <w:rFonts w:ascii="Calibri" w:eastAsia="Times New Roman" w:hAnsi="Calibri" w:cs="Times New Roman"/>
          <w:lang w:eastAsia="pl-PL"/>
        </w:rPr>
      </w:pPr>
      <w:r>
        <w:rPr>
          <w:rFonts w:ascii="Calibri" w:eastAsia="Times New Roman" w:hAnsi="Calibri" w:cs="Times New Roman"/>
          <w:lang w:eastAsia="pl-PL"/>
        </w:rPr>
        <w:t>Wikarówka,</w:t>
      </w:r>
    </w:p>
    <w:p w:rsidR="009D7955" w:rsidRDefault="009D7955" w:rsidP="00234BBD">
      <w:pPr>
        <w:pStyle w:val="Akapitzlist"/>
        <w:numPr>
          <w:ilvl w:val="0"/>
          <w:numId w:val="54"/>
        </w:numPr>
        <w:rPr>
          <w:rFonts w:ascii="Calibri" w:eastAsia="Times New Roman" w:hAnsi="Calibri" w:cs="Times New Roman"/>
          <w:lang w:eastAsia="pl-PL"/>
        </w:rPr>
      </w:pPr>
      <w:r>
        <w:rPr>
          <w:rFonts w:ascii="Calibri" w:eastAsia="Times New Roman" w:hAnsi="Calibri" w:cs="Times New Roman"/>
          <w:lang w:eastAsia="pl-PL"/>
        </w:rPr>
        <w:t>Spichlerz,</w:t>
      </w:r>
    </w:p>
    <w:p w:rsidR="009D7955" w:rsidRDefault="009D7955" w:rsidP="00234BBD">
      <w:pPr>
        <w:pStyle w:val="Akapitzlist"/>
        <w:numPr>
          <w:ilvl w:val="0"/>
          <w:numId w:val="54"/>
        </w:numPr>
        <w:rPr>
          <w:rFonts w:ascii="Calibri" w:eastAsia="Times New Roman" w:hAnsi="Calibri" w:cs="Times New Roman"/>
          <w:lang w:eastAsia="pl-PL"/>
        </w:rPr>
      </w:pPr>
      <w:r>
        <w:rPr>
          <w:rFonts w:ascii="Calibri" w:eastAsia="Times New Roman" w:hAnsi="Calibri" w:cs="Times New Roman"/>
          <w:lang w:eastAsia="pl-PL"/>
        </w:rPr>
        <w:t>Obora,</w:t>
      </w:r>
    </w:p>
    <w:p w:rsidR="009D7955" w:rsidRDefault="009D7955" w:rsidP="00234BBD">
      <w:pPr>
        <w:pStyle w:val="Akapitzlist"/>
        <w:numPr>
          <w:ilvl w:val="0"/>
          <w:numId w:val="54"/>
        </w:numPr>
        <w:rPr>
          <w:rFonts w:ascii="Calibri" w:eastAsia="Times New Roman" w:hAnsi="Calibri" w:cs="Times New Roman"/>
          <w:lang w:eastAsia="pl-PL"/>
        </w:rPr>
      </w:pPr>
      <w:r>
        <w:rPr>
          <w:rFonts w:ascii="Calibri" w:eastAsia="Times New Roman" w:hAnsi="Calibri" w:cs="Times New Roman"/>
          <w:lang w:eastAsia="pl-PL"/>
        </w:rPr>
        <w:t>Remiza strażaka,</w:t>
      </w:r>
    </w:p>
    <w:p w:rsidR="009D7955" w:rsidRDefault="009D7955" w:rsidP="00234BBD">
      <w:pPr>
        <w:pStyle w:val="Akapitzlist"/>
        <w:numPr>
          <w:ilvl w:val="0"/>
          <w:numId w:val="54"/>
        </w:numPr>
        <w:rPr>
          <w:rFonts w:ascii="Calibri" w:eastAsia="Times New Roman" w:hAnsi="Calibri" w:cs="Times New Roman"/>
          <w:lang w:eastAsia="pl-PL"/>
        </w:rPr>
      </w:pPr>
      <w:r>
        <w:rPr>
          <w:rFonts w:ascii="Calibri" w:eastAsia="Times New Roman" w:hAnsi="Calibri" w:cs="Times New Roman"/>
          <w:lang w:eastAsia="pl-PL"/>
        </w:rPr>
        <w:t>Kuźnia</w:t>
      </w:r>
    </w:p>
    <w:p w:rsidR="009D7955" w:rsidRDefault="009D7955" w:rsidP="009D7955">
      <w:pPr>
        <w:rPr>
          <w:rFonts w:ascii="Calibri" w:eastAsia="Times New Roman" w:hAnsi="Calibri" w:cs="Times New Roman"/>
          <w:b/>
          <w:lang w:eastAsia="pl-PL"/>
        </w:rPr>
      </w:pPr>
      <w:r w:rsidRPr="009D7955">
        <w:rPr>
          <w:rFonts w:ascii="Calibri" w:eastAsia="Times New Roman" w:hAnsi="Calibri" w:cs="Times New Roman"/>
          <w:b/>
          <w:lang w:eastAsia="pl-PL"/>
        </w:rPr>
        <w:t>Ostrożanka</w:t>
      </w:r>
    </w:p>
    <w:p w:rsidR="009D7955" w:rsidRDefault="009D7955" w:rsidP="00234BBD">
      <w:pPr>
        <w:pStyle w:val="Akapitzlist"/>
        <w:numPr>
          <w:ilvl w:val="0"/>
          <w:numId w:val="54"/>
        </w:numPr>
        <w:rPr>
          <w:rFonts w:ascii="Calibri" w:eastAsia="Times New Roman" w:hAnsi="Calibri" w:cs="Times New Roman"/>
          <w:lang w:eastAsia="pl-PL"/>
        </w:rPr>
      </w:pPr>
      <w:r>
        <w:rPr>
          <w:rFonts w:ascii="Calibri" w:eastAsia="Times New Roman" w:hAnsi="Calibri" w:cs="Times New Roman"/>
          <w:lang w:eastAsia="pl-PL"/>
        </w:rPr>
        <w:t>Kuźnia</w:t>
      </w:r>
    </w:p>
    <w:p w:rsidR="009D7955" w:rsidRDefault="009D7955" w:rsidP="009D7955">
      <w:pPr>
        <w:rPr>
          <w:rFonts w:ascii="Calibri" w:eastAsia="Times New Roman" w:hAnsi="Calibri" w:cs="Times New Roman"/>
          <w:lang w:eastAsia="pl-PL"/>
        </w:rPr>
      </w:pPr>
      <w:r>
        <w:rPr>
          <w:rFonts w:ascii="Calibri" w:eastAsia="Times New Roman" w:hAnsi="Calibri" w:cs="Times New Roman"/>
          <w:lang w:eastAsia="pl-PL"/>
        </w:rPr>
        <w:t>Zagroda młynarska</w:t>
      </w:r>
    </w:p>
    <w:p w:rsidR="009D7955" w:rsidRDefault="009D7955" w:rsidP="00234BBD">
      <w:pPr>
        <w:pStyle w:val="Akapitzlist"/>
        <w:numPr>
          <w:ilvl w:val="0"/>
          <w:numId w:val="54"/>
        </w:numPr>
        <w:rPr>
          <w:rFonts w:ascii="Calibri" w:eastAsia="Times New Roman" w:hAnsi="Calibri" w:cs="Times New Roman"/>
          <w:lang w:eastAsia="pl-PL"/>
        </w:rPr>
      </w:pPr>
      <w:r>
        <w:rPr>
          <w:rFonts w:ascii="Calibri" w:eastAsia="Times New Roman" w:hAnsi="Calibri" w:cs="Times New Roman"/>
          <w:lang w:eastAsia="pl-PL"/>
        </w:rPr>
        <w:lastRenderedPageBreak/>
        <w:t>Kurnik</w:t>
      </w:r>
    </w:p>
    <w:p w:rsidR="009D7955" w:rsidRPr="009D7955" w:rsidRDefault="009D7955" w:rsidP="009D7955">
      <w:pPr>
        <w:rPr>
          <w:rFonts w:ascii="Calibri" w:eastAsia="Times New Roman" w:hAnsi="Calibri" w:cs="Times New Roman"/>
          <w:b/>
          <w:lang w:eastAsia="pl-PL"/>
        </w:rPr>
      </w:pPr>
      <w:r w:rsidRPr="009D7955">
        <w:rPr>
          <w:rFonts w:ascii="Calibri" w:eastAsia="Times New Roman" w:hAnsi="Calibri" w:cs="Times New Roman"/>
          <w:b/>
          <w:lang w:eastAsia="pl-PL"/>
        </w:rPr>
        <w:t>Tychów Stary</w:t>
      </w:r>
    </w:p>
    <w:p w:rsidR="009D7955" w:rsidRDefault="009D7955" w:rsidP="00234BBD">
      <w:pPr>
        <w:pStyle w:val="Akapitzlist"/>
        <w:numPr>
          <w:ilvl w:val="0"/>
          <w:numId w:val="54"/>
        </w:numPr>
        <w:rPr>
          <w:rFonts w:ascii="Calibri" w:eastAsia="Times New Roman" w:hAnsi="Calibri" w:cs="Times New Roman"/>
          <w:lang w:eastAsia="pl-PL"/>
        </w:rPr>
      </w:pPr>
      <w:r>
        <w:rPr>
          <w:rFonts w:ascii="Calibri" w:eastAsia="Times New Roman" w:hAnsi="Calibri" w:cs="Times New Roman"/>
          <w:lang w:eastAsia="pl-PL"/>
        </w:rPr>
        <w:t>Pozostałości dawnego budynku szkoły (obecnie kapliczka z figurą Jana Nepomucena)</w:t>
      </w:r>
    </w:p>
    <w:p w:rsidR="009D7955" w:rsidRPr="009D7955" w:rsidRDefault="009D7955" w:rsidP="009D7955">
      <w:pPr>
        <w:rPr>
          <w:rFonts w:ascii="Calibri" w:eastAsia="Times New Roman" w:hAnsi="Calibri" w:cs="Times New Roman"/>
          <w:b/>
          <w:lang w:eastAsia="pl-PL"/>
        </w:rPr>
      </w:pPr>
      <w:r w:rsidRPr="009D7955">
        <w:rPr>
          <w:rFonts w:ascii="Calibri" w:eastAsia="Times New Roman" w:hAnsi="Calibri" w:cs="Times New Roman"/>
          <w:b/>
          <w:lang w:eastAsia="pl-PL"/>
        </w:rPr>
        <w:t>Małyszyn Górny</w:t>
      </w:r>
    </w:p>
    <w:p w:rsidR="009D7955" w:rsidRDefault="009D7955" w:rsidP="00234BBD">
      <w:pPr>
        <w:pStyle w:val="Akapitzlist"/>
        <w:numPr>
          <w:ilvl w:val="0"/>
          <w:numId w:val="54"/>
        </w:numPr>
        <w:rPr>
          <w:rFonts w:ascii="Calibri" w:eastAsia="Times New Roman" w:hAnsi="Calibri" w:cs="Times New Roman"/>
          <w:lang w:eastAsia="pl-PL"/>
        </w:rPr>
      </w:pPr>
      <w:r>
        <w:rPr>
          <w:rFonts w:ascii="Calibri" w:eastAsia="Times New Roman" w:hAnsi="Calibri" w:cs="Times New Roman"/>
          <w:lang w:eastAsia="pl-PL"/>
        </w:rPr>
        <w:t>Dom drewniany – zagroda 112</w:t>
      </w:r>
    </w:p>
    <w:p w:rsidR="009D7955" w:rsidRDefault="009D7955" w:rsidP="00234BBD">
      <w:pPr>
        <w:pStyle w:val="Akapitzlist"/>
        <w:numPr>
          <w:ilvl w:val="0"/>
          <w:numId w:val="54"/>
        </w:numPr>
        <w:rPr>
          <w:rFonts w:ascii="Calibri" w:eastAsia="Times New Roman" w:hAnsi="Calibri" w:cs="Times New Roman"/>
          <w:lang w:eastAsia="pl-PL"/>
        </w:rPr>
      </w:pPr>
      <w:r>
        <w:rPr>
          <w:rFonts w:ascii="Calibri" w:eastAsia="Times New Roman" w:hAnsi="Calibri" w:cs="Times New Roman"/>
          <w:lang w:eastAsia="pl-PL"/>
        </w:rPr>
        <w:t>Dom drewniany – zagroda 113</w:t>
      </w:r>
    </w:p>
    <w:p w:rsidR="009D7955" w:rsidRPr="009D7955" w:rsidRDefault="009D7955" w:rsidP="009D7955">
      <w:pPr>
        <w:rPr>
          <w:rFonts w:ascii="Calibri" w:eastAsia="Times New Roman" w:hAnsi="Calibri" w:cs="Times New Roman"/>
          <w:b/>
          <w:lang w:eastAsia="pl-PL"/>
        </w:rPr>
      </w:pPr>
      <w:r w:rsidRPr="009D7955">
        <w:rPr>
          <w:rFonts w:ascii="Calibri" w:eastAsia="Times New Roman" w:hAnsi="Calibri" w:cs="Times New Roman"/>
          <w:b/>
          <w:lang w:eastAsia="pl-PL"/>
        </w:rPr>
        <w:t>Osiny</w:t>
      </w:r>
    </w:p>
    <w:p w:rsidR="009D7955" w:rsidRDefault="009D7955" w:rsidP="00234BBD">
      <w:pPr>
        <w:pStyle w:val="Akapitzlist"/>
        <w:numPr>
          <w:ilvl w:val="0"/>
          <w:numId w:val="54"/>
        </w:numPr>
        <w:rPr>
          <w:rFonts w:ascii="Calibri" w:eastAsia="Times New Roman" w:hAnsi="Calibri" w:cs="Times New Roman"/>
          <w:lang w:eastAsia="pl-PL"/>
        </w:rPr>
      </w:pPr>
      <w:r>
        <w:rPr>
          <w:rFonts w:ascii="Calibri" w:eastAsia="Times New Roman" w:hAnsi="Calibri" w:cs="Times New Roman"/>
          <w:lang w:eastAsia="pl-PL"/>
        </w:rPr>
        <w:t>Dom drewniany – zagroda 89</w:t>
      </w:r>
    </w:p>
    <w:p w:rsidR="009D7955" w:rsidRDefault="009D7955" w:rsidP="00234BBD">
      <w:pPr>
        <w:pStyle w:val="Akapitzlist"/>
        <w:numPr>
          <w:ilvl w:val="0"/>
          <w:numId w:val="54"/>
        </w:numPr>
        <w:rPr>
          <w:rFonts w:ascii="Calibri" w:eastAsia="Times New Roman" w:hAnsi="Calibri" w:cs="Times New Roman"/>
          <w:lang w:eastAsia="pl-PL"/>
        </w:rPr>
      </w:pPr>
      <w:r>
        <w:rPr>
          <w:rFonts w:ascii="Calibri" w:eastAsia="Times New Roman" w:hAnsi="Calibri" w:cs="Times New Roman"/>
          <w:lang w:eastAsia="pl-PL"/>
        </w:rPr>
        <w:t>Dom drewniany – zagroda 51</w:t>
      </w:r>
    </w:p>
    <w:p w:rsidR="009D7955" w:rsidRDefault="009D7955" w:rsidP="009D7955">
      <w:pPr>
        <w:rPr>
          <w:rFonts w:ascii="Calibri" w:eastAsia="Times New Roman" w:hAnsi="Calibri" w:cs="Times New Roman"/>
          <w:b/>
          <w:lang w:eastAsia="pl-PL"/>
        </w:rPr>
      </w:pPr>
      <w:r w:rsidRPr="009D7955">
        <w:rPr>
          <w:rFonts w:ascii="Calibri" w:eastAsia="Times New Roman" w:hAnsi="Calibri" w:cs="Times New Roman"/>
          <w:b/>
          <w:lang w:eastAsia="pl-PL"/>
        </w:rPr>
        <w:t>Trębowiec Duży</w:t>
      </w:r>
    </w:p>
    <w:p w:rsidR="009D7955" w:rsidRDefault="009D7955" w:rsidP="00234BBD">
      <w:pPr>
        <w:pStyle w:val="Akapitzlist"/>
        <w:numPr>
          <w:ilvl w:val="0"/>
          <w:numId w:val="54"/>
        </w:numPr>
        <w:rPr>
          <w:rFonts w:ascii="Calibri" w:eastAsia="Times New Roman" w:hAnsi="Calibri" w:cs="Times New Roman"/>
          <w:lang w:eastAsia="pl-PL"/>
        </w:rPr>
      </w:pPr>
      <w:r>
        <w:rPr>
          <w:rFonts w:ascii="Calibri" w:eastAsia="Times New Roman" w:hAnsi="Calibri" w:cs="Times New Roman"/>
          <w:lang w:eastAsia="pl-PL"/>
        </w:rPr>
        <w:t>Piwnica murowana – zagroda 51</w:t>
      </w:r>
    </w:p>
    <w:p w:rsidR="009D7955" w:rsidRDefault="009D7955" w:rsidP="009D7955">
      <w:pPr>
        <w:rPr>
          <w:rFonts w:ascii="Calibri" w:eastAsia="Times New Roman" w:hAnsi="Calibri" w:cs="Times New Roman"/>
          <w:lang w:eastAsia="pl-PL"/>
        </w:rPr>
      </w:pPr>
      <w:r>
        <w:rPr>
          <w:rFonts w:ascii="Calibri" w:eastAsia="Times New Roman" w:hAnsi="Calibri" w:cs="Times New Roman"/>
          <w:lang w:eastAsia="pl-PL"/>
        </w:rPr>
        <w:t>Zagroda</w:t>
      </w:r>
    </w:p>
    <w:p w:rsidR="009D7955" w:rsidRDefault="009D7955" w:rsidP="00234BBD">
      <w:pPr>
        <w:pStyle w:val="Akapitzlist"/>
        <w:numPr>
          <w:ilvl w:val="0"/>
          <w:numId w:val="54"/>
        </w:numPr>
        <w:rPr>
          <w:rFonts w:ascii="Calibri" w:eastAsia="Times New Roman" w:hAnsi="Calibri" w:cs="Times New Roman"/>
          <w:lang w:eastAsia="pl-PL"/>
        </w:rPr>
      </w:pPr>
      <w:r>
        <w:rPr>
          <w:rFonts w:ascii="Calibri" w:eastAsia="Times New Roman" w:hAnsi="Calibri" w:cs="Times New Roman"/>
          <w:lang w:eastAsia="pl-PL"/>
        </w:rPr>
        <w:t>Piwnica mur-ziem. – zagroda 45</w:t>
      </w:r>
    </w:p>
    <w:p w:rsidR="009D7955" w:rsidRDefault="006128BA" w:rsidP="009D7955">
      <w:pPr>
        <w:rPr>
          <w:rFonts w:ascii="Calibri" w:eastAsia="Times New Roman" w:hAnsi="Calibri" w:cs="Times New Roman"/>
          <w:b/>
          <w:lang w:eastAsia="pl-PL"/>
        </w:rPr>
      </w:pPr>
      <w:r w:rsidRPr="006128BA">
        <w:rPr>
          <w:rFonts w:ascii="Calibri" w:eastAsia="Times New Roman" w:hAnsi="Calibri" w:cs="Times New Roman"/>
          <w:b/>
          <w:lang w:eastAsia="pl-PL"/>
        </w:rPr>
        <w:t>Miejsca Pamięci Narodowej</w:t>
      </w:r>
    </w:p>
    <w:p w:rsidR="006128BA" w:rsidRPr="006128BA" w:rsidRDefault="006128BA" w:rsidP="009D7955">
      <w:pPr>
        <w:rPr>
          <w:rFonts w:ascii="Calibri" w:eastAsia="Times New Roman" w:hAnsi="Calibri" w:cs="Times New Roman"/>
          <w:b/>
          <w:lang w:eastAsia="pl-PL"/>
        </w:rPr>
      </w:pPr>
      <w:r w:rsidRPr="006128BA">
        <w:rPr>
          <w:rFonts w:ascii="Calibri" w:eastAsia="Times New Roman" w:hAnsi="Calibri" w:cs="Times New Roman"/>
          <w:b/>
          <w:lang w:eastAsia="pl-PL"/>
        </w:rPr>
        <w:t>Gadka</w:t>
      </w:r>
    </w:p>
    <w:p w:rsidR="006128BA" w:rsidRDefault="006128BA" w:rsidP="00234BBD">
      <w:pPr>
        <w:pStyle w:val="Akapitzlist"/>
        <w:numPr>
          <w:ilvl w:val="0"/>
          <w:numId w:val="54"/>
        </w:numPr>
        <w:rPr>
          <w:rFonts w:ascii="Calibri" w:eastAsia="Times New Roman" w:hAnsi="Calibri" w:cs="Times New Roman"/>
          <w:lang w:eastAsia="pl-PL"/>
        </w:rPr>
      </w:pPr>
      <w:r>
        <w:rPr>
          <w:rFonts w:ascii="Calibri" w:eastAsia="Times New Roman" w:hAnsi="Calibri" w:cs="Times New Roman"/>
          <w:lang w:eastAsia="pl-PL"/>
        </w:rPr>
        <w:t>Pomnik ofiar egzekucji w 1943 r.,</w:t>
      </w:r>
    </w:p>
    <w:p w:rsidR="006128BA" w:rsidRDefault="006128BA" w:rsidP="006128BA">
      <w:pPr>
        <w:rPr>
          <w:rFonts w:ascii="Calibri" w:eastAsia="Times New Roman" w:hAnsi="Calibri" w:cs="Times New Roman"/>
          <w:b/>
          <w:lang w:eastAsia="pl-PL"/>
        </w:rPr>
      </w:pPr>
      <w:r w:rsidRPr="006128BA">
        <w:rPr>
          <w:rFonts w:ascii="Calibri" w:eastAsia="Times New Roman" w:hAnsi="Calibri" w:cs="Times New Roman"/>
          <w:b/>
          <w:lang w:eastAsia="pl-PL"/>
        </w:rPr>
        <w:t>Mirzec</w:t>
      </w:r>
    </w:p>
    <w:p w:rsidR="006128BA" w:rsidRDefault="006128BA" w:rsidP="00234BBD">
      <w:pPr>
        <w:pStyle w:val="Akapitzlist"/>
        <w:numPr>
          <w:ilvl w:val="0"/>
          <w:numId w:val="54"/>
        </w:numPr>
        <w:rPr>
          <w:rFonts w:ascii="Calibri" w:eastAsia="Times New Roman" w:hAnsi="Calibri" w:cs="Times New Roman"/>
          <w:lang w:eastAsia="pl-PL"/>
        </w:rPr>
      </w:pPr>
      <w:r w:rsidRPr="006128BA">
        <w:rPr>
          <w:rFonts w:ascii="Calibri" w:eastAsia="Times New Roman" w:hAnsi="Calibri" w:cs="Times New Roman"/>
          <w:lang w:eastAsia="pl-PL"/>
        </w:rPr>
        <w:t xml:space="preserve">Mogiła </w:t>
      </w:r>
      <w:r>
        <w:rPr>
          <w:rFonts w:ascii="Calibri" w:eastAsia="Times New Roman" w:hAnsi="Calibri" w:cs="Times New Roman"/>
          <w:lang w:eastAsia="pl-PL"/>
        </w:rPr>
        <w:t>żołnierzy Wojska Polskiego poległych w 1939r. – cmentarz katolicki,</w:t>
      </w:r>
    </w:p>
    <w:p w:rsidR="006128BA" w:rsidRDefault="006128BA" w:rsidP="00234BBD">
      <w:pPr>
        <w:pStyle w:val="Akapitzlist"/>
        <w:numPr>
          <w:ilvl w:val="0"/>
          <w:numId w:val="54"/>
        </w:numPr>
        <w:rPr>
          <w:rFonts w:ascii="Calibri" w:eastAsia="Times New Roman" w:hAnsi="Calibri" w:cs="Times New Roman"/>
          <w:lang w:eastAsia="pl-PL"/>
        </w:rPr>
      </w:pPr>
      <w:r>
        <w:rPr>
          <w:rFonts w:ascii="Calibri" w:eastAsia="Times New Roman" w:hAnsi="Calibri" w:cs="Times New Roman"/>
          <w:lang w:eastAsia="pl-PL"/>
        </w:rPr>
        <w:t>Mogiła partyzantów i ofiar terroru z 1943 – cmentarz katolicki,</w:t>
      </w:r>
    </w:p>
    <w:p w:rsidR="006128BA" w:rsidRDefault="006128BA" w:rsidP="00234BBD">
      <w:pPr>
        <w:pStyle w:val="Akapitzlist"/>
        <w:numPr>
          <w:ilvl w:val="0"/>
          <w:numId w:val="54"/>
        </w:numPr>
        <w:rPr>
          <w:rFonts w:ascii="Calibri" w:eastAsia="Times New Roman" w:hAnsi="Calibri" w:cs="Times New Roman"/>
          <w:lang w:eastAsia="pl-PL"/>
        </w:rPr>
      </w:pPr>
      <w:r>
        <w:rPr>
          <w:rFonts w:ascii="Calibri" w:eastAsia="Times New Roman" w:hAnsi="Calibri" w:cs="Times New Roman"/>
          <w:lang w:eastAsia="pl-PL"/>
        </w:rPr>
        <w:t>Mogiła Józefa Prendowskiego,</w:t>
      </w:r>
    </w:p>
    <w:p w:rsidR="006128BA" w:rsidRDefault="006128BA" w:rsidP="00234BBD">
      <w:pPr>
        <w:pStyle w:val="Akapitzlist"/>
        <w:numPr>
          <w:ilvl w:val="0"/>
          <w:numId w:val="54"/>
        </w:numPr>
        <w:rPr>
          <w:rFonts w:ascii="Calibri" w:eastAsia="Times New Roman" w:hAnsi="Calibri" w:cs="Times New Roman"/>
          <w:lang w:eastAsia="pl-PL"/>
        </w:rPr>
      </w:pPr>
      <w:r>
        <w:rPr>
          <w:rFonts w:ascii="Calibri" w:eastAsia="Times New Roman" w:hAnsi="Calibri" w:cs="Times New Roman"/>
          <w:lang w:eastAsia="pl-PL"/>
        </w:rPr>
        <w:t>Pomnik ofiar wojny 1939 – 1945 r. – skwer,</w:t>
      </w:r>
    </w:p>
    <w:p w:rsidR="006128BA" w:rsidRPr="006128BA" w:rsidRDefault="006128BA" w:rsidP="006128BA">
      <w:pPr>
        <w:rPr>
          <w:rFonts w:ascii="Calibri" w:eastAsia="Times New Roman" w:hAnsi="Calibri" w:cs="Times New Roman"/>
          <w:b/>
          <w:lang w:eastAsia="pl-PL"/>
        </w:rPr>
      </w:pPr>
      <w:r w:rsidRPr="006128BA">
        <w:rPr>
          <w:rFonts w:ascii="Calibri" w:eastAsia="Times New Roman" w:hAnsi="Calibri" w:cs="Times New Roman"/>
          <w:b/>
          <w:lang w:eastAsia="pl-PL"/>
        </w:rPr>
        <w:t>Tychów Stary</w:t>
      </w:r>
    </w:p>
    <w:p w:rsidR="006128BA" w:rsidRDefault="006128BA" w:rsidP="00234BBD">
      <w:pPr>
        <w:pStyle w:val="Akapitzlist"/>
        <w:numPr>
          <w:ilvl w:val="0"/>
          <w:numId w:val="54"/>
        </w:numPr>
        <w:rPr>
          <w:rFonts w:ascii="Calibri" w:eastAsia="Times New Roman" w:hAnsi="Calibri" w:cs="Times New Roman"/>
          <w:lang w:eastAsia="pl-PL"/>
        </w:rPr>
      </w:pPr>
      <w:r>
        <w:rPr>
          <w:rFonts w:ascii="Calibri" w:eastAsia="Times New Roman" w:hAnsi="Calibri" w:cs="Times New Roman"/>
          <w:lang w:eastAsia="pl-PL"/>
        </w:rPr>
        <w:t>Mogiła ofiar egzekucji w 1943 r. – mogiła na skraju lasu,</w:t>
      </w:r>
    </w:p>
    <w:p w:rsidR="006128BA" w:rsidRPr="006128BA" w:rsidRDefault="006128BA" w:rsidP="00234BBD">
      <w:pPr>
        <w:pStyle w:val="Akapitzlist"/>
        <w:numPr>
          <w:ilvl w:val="0"/>
          <w:numId w:val="54"/>
        </w:numPr>
        <w:rPr>
          <w:rFonts w:ascii="Calibri" w:eastAsia="Times New Roman" w:hAnsi="Calibri" w:cs="Times New Roman"/>
          <w:lang w:eastAsia="pl-PL"/>
        </w:rPr>
      </w:pPr>
      <w:r>
        <w:rPr>
          <w:rFonts w:ascii="Calibri" w:eastAsia="Times New Roman" w:hAnsi="Calibri" w:cs="Times New Roman"/>
          <w:lang w:eastAsia="pl-PL"/>
        </w:rPr>
        <w:t>Mogiła partyzantów z 1994 r. – mogiła w głębi lasu przy drodze do Starachowic.</w:t>
      </w:r>
    </w:p>
    <w:p w:rsidR="009D7955" w:rsidRPr="009D7955" w:rsidRDefault="009D7955" w:rsidP="009D7955">
      <w:pPr>
        <w:rPr>
          <w:rFonts w:ascii="Calibri" w:eastAsia="Times New Roman" w:hAnsi="Calibri" w:cs="Times New Roman"/>
          <w:lang w:eastAsia="pl-PL"/>
        </w:rPr>
      </w:pPr>
    </w:p>
    <w:p w:rsidR="00EE0C8C" w:rsidRPr="00EE0C8C" w:rsidRDefault="00EE0C8C" w:rsidP="00A76BDB">
      <w:pPr>
        <w:pStyle w:val="Nagwek2"/>
        <w:rPr>
          <w:lang w:eastAsia="pl-PL"/>
        </w:rPr>
      </w:pPr>
      <w:bookmarkStart w:id="70" w:name="_Toc439077760"/>
      <w:bookmarkStart w:id="71" w:name="_Toc450562489"/>
      <w:r w:rsidRPr="00EE0C8C">
        <w:rPr>
          <w:lang w:eastAsia="pl-PL"/>
        </w:rPr>
        <w:t>2.2. SFERA GOSPODARCZA</w:t>
      </w:r>
      <w:bookmarkEnd w:id="70"/>
      <w:bookmarkEnd w:id="71"/>
      <w:r w:rsidRPr="00EE0C8C">
        <w:rPr>
          <w:lang w:eastAsia="pl-PL"/>
        </w:rPr>
        <w:tab/>
      </w:r>
    </w:p>
    <w:p w:rsidR="00EE0C8C" w:rsidRPr="00EE0C8C" w:rsidRDefault="00EE0C8C" w:rsidP="00A76BDB">
      <w:pPr>
        <w:pStyle w:val="Nagwek2"/>
        <w:rPr>
          <w:lang w:eastAsia="pl-PL"/>
        </w:rPr>
      </w:pPr>
      <w:bookmarkStart w:id="72" w:name="_Toc439077761"/>
      <w:bookmarkStart w:id="73" w:name="_Toc450562490"/>
      <w:r w:rsidRPr="00EE0C8C">
        <w:rPr>
          <w:lang w:eastAsia="pl-PL"/>
        </w:rPr>
        <w:t>2.2.1. STRUKTURA DZIAŁALNOŚCI GOSPODARCZEJ</w:t>
      </w:r>
      <w:bookmarkEnd w:id="72"/>
      <w:bookmarkEnd w:id="73"/>
      <w:r w:rsidRPr="00EE0C8C">
        <w:rPr>
          <w:lang w:eastAsia="pl-PL"/>
        </w:rPr>
        <w:tab/>
      </w:r>
    </w:p>
    <w:p w:rsidR="00EE0C8C" w:rsidRPr="00EE0C8C" w:rsidRDefault="00EE0C8C" w:rsidP="00EE0C8C">
      <w:pPr>
        <w:ind w:firstLine="1134"/>
        <w:jc w:val="both"/>
        <w:rPr>
          <w:rFonts w:ascii="Calibri" w:eastAsia="Times New Roman" w:hAnsi="Calibri" w:cs="Times New Roman"/>
          <w:lang w:eastAsia="pl-PL"/>
        </w:rPr>
      </w:pPr>
    </w:p>
    <w:p w:rsidR="00EE0C8C" w:rsidRPr="00EE0C8C" w:rsidRDefault="00EE0C8C" w:rsidP="00EE0C8C">
      <w:pPr>
        <w:jc w:val="both"/>
        <w:rPr>
          <w:rFonts w:ascii="Calibri" w:eastAsia="Times New Roman" w:hAnsi="Calibri" w:cs="Times New Roman"/>
          <w:lang w:eastAsia="pl-PL"/>
        </w:rPr>
      </w:pPr>
      <w:r w:rsidRPr="00EE0C8C">
        <w:rPr>
          <w:rFonts w:ascii="Calibri" w:eastAsia="Times New Roman" w:hAnsi="Calibri" w:cs="Times New Roman"/>
          <w:lang w:eastAsia="pl-PL"/>
        </w:rPr>
        <w:t>Liczba podmiotów gospodarczych wpisanych do rejestru REGON gospodarki Gminy Mirzec w 2014r. wynosiła 469, co stanowi tylko 6,49 % w skali całego powiatu.</w:t>
      </w:r>
    </w:p>
    <w:p w:rsidR="00EE0C8C" w:rsidRPr="00EE0C8C" w:rsidRDefault="00EE0C8C" w:rsidP="00EE0C8C">
      <w:pPr>
        <w:jc w:val="center"/>
        <w:rPr>
          <w:rFonts w:ascii="Calibri" w:eastAsia="Times New Roman" w:hAnsi="Calibri" w:cs="Times New Roman"/>
          <w:i/>
          <w:lang w:eastAsia="pl-PL"/>
        </w:rPr>
      </w:pPr>
      <w:r w:rsidRPr="00EE0C8C">
        <w:rPr>
          <w:rFonts w:ascii="Calibri" w:eastAsia="Times New Roman" w:hAnsi="Calibri" w:cs="Times New Roman"/>
          <w:noProof/>
          <w:lang w:eastAsia="pl-PL"/>
        </w:rPr>
        <w:lastRenderedPageBreak/>
        <w:drawing>
          <wp:inline distT="0" distB="0" distL="0" distR="0" wp14:anchorId="6E214361" wp14:editId="0D22D834">
            <wp:extent cx="3820469" cy="1876425"/>
            <wp:effectExtent l="0" t="0" r="889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29216" cy="1880721"/>
                    </a:xfrm>
                    <a:prstGeom prst="rect">
                      <a:avLst/>
                    </a:prstGeom>
                    <a:noFill/>
                    <a:ln>
                      <a:noFill/>
                    </a:ln>
                  </pic:spPr>
                </pic:pic>
              </a:graphicData>
            </a:graphic>
          </wp:inline>
        </w:drawing>
      </w:r>
      <w:r w:rsidRPr="00EE0C8C">
        <w:rPr>
          <w:rFonts w:ascii="Calibri" w:eastAsia="Times New Roman" w:hAnsi="Calibri" w:cs="Times New Roman"/>
          <w:lang w:eastAsia="pl-PL"/>
        </w:rPr>
        <w:br/>
      </w:r>
      <w:r w:rsidRPr="00EE0C8C">
        <w:rPr>
          <w:rFonts w:ascii="Calibri" w:eastAsia="Times New Roman" w:hAnsi="Calibri" w:cs="Times New Roman"/>
          <w:i/>
          <w:lang w:eastAsia="pl-PL"/>
        </w:rPr>
        <w:t>(Źródło: http://kielce.stat.gov.pl)</w:t>
      </w:r>
    </w:p>
    <w:p w:rsidR="00EE0C8C" w:rsidRPr="00EE0C8C" w:rsidRDefault="00EE0C8C" w:rsidP="00EE0C8C">
      <w:pPr>
        <w:jc w:val="both"/>
        <w:rPr>
          <w:rFonts w:ascii="Calibri" w:eastAsia="Times New Roman" w:hAnsi="Calibri" w:cs="Times New Roman"/>
          <w:lang w:eastAsia="pl-PL"/>
        </w:rPr>
      </w:pPr>
      <w:r w:rsidRPr="00EE0C8C">
        <w:rPr>
          <w:rFonts w:ascii="Calibri" w:eastAsia="Times New Roman" w:hAnsi="Calibri" w:cs="Times New Roman"/>
          <w:lang w:eastAsia="pl-PL"/>
        </w:rPr>
        <w:t xml:space="preserve">Na przestrzeni ostatnich trzech lat liczba podmiotów wpisywanych do rejestru Regon systematycznie zwiększa się, co świadczy pozytywnie o rozwoju przedsiębiorczości na terenie gminy </w:t>
      </w:r>
      <w:r w:rsidRPr="00EE0C8C">
        <w:rPr>
          <w:rFonts w:ascii="Calibri" w:eastAsia="Times New Roman" w:hAnsi="Calibri" w:cs="Times New Roman"/>
          <w:lang w:eastAsia="pl-PL"/>
        </w:rPr>
        <w:br/>
        <w:t>i wskazują na siłę potencjału gospodarki. Zdecydowana większość jednostek wpisanych do Rejestru to jednostki sektora prywatnego – 96,16%.</w:t>
      </w:r>
    </w:p>
    <w:tbl>
      <w:tblPr>
        <w:tblW w:w="6880" w:type="dxa"/>
        <w:jc w:val="center"/>
        <w:tblInd w:w="55" w:type="dxa"/>
        <w:tblCellMar>
          <w:left w:w="70" w:type="dxa"/>
          <w:right w:w="70" w:type="dxa"/>
        </w:tblCellMar>
        <w:tblLook w:val="04A0" w:firstRow="1" w:lastRow="0" w:firstColumn="1" w:lastColumn="0" w:noHBand="0" w:noVBand="1"/>
      </w:tblPr>
      <w:tblGrid>
        <w:gridCol w:w="4000"/>
        <w:gridCol w:w="960"/>
        <w:gridCol w:w="960"/>
        <w:gridCol w:w="960"/>
      </w:tblGrid>
      <w:tr w:rsidR="00EE0C8C" w:rsidRPr="00EE0C8C" w:rsidTr="00A76BDB">
        <w:trPr>
          <w:trHeight w:val="255"/>
          <w:jc w:val="center"/>
        </w:trPr>
        <w:tc>
          <w:tcPr>
            <w:tcW w:w="4000" w:type="dxa"/>
            <w:vMerge w:val="restart"/>
            <w:tcBorders>
              <w:top w:val="single" w:sz="4" w:space="0" w:color="000000"/>
              <w:left w:val="single" w:sz="4" w:space="0" w:color="000000"/>
              <w:bottom w:val="single" w:sz="4" w:space="0" w:color="000000"/>
              <w:right w:val="single" w:sz="4" w:space="0" w:color="000000"/>
            </w:tcBorders>
            <w:shd w:val="clear" w:color="000000" w:fill="008080"/>
            <w:noWrap/>
            <w:vAlign w:val="center"/>
            <w:hideMark/>
          </w:tcPr>
          <w:p w:rsidR="00EE0C8C" w:rsidRPr="00EE0C8C" w:rsidRDefault="00EE0C8C" w:rsidP="00EE0C8C">
            <w:pPr>
              <w:spacing w:after="0" w:line="240" w:lineRule="auto"/>
              <w:jc w:val="center"/>
              <w:rPr>
                <w:rFonts w:ascii="Arial" w:eastAsia="Times New Roman" w:hAnsi="Arial" w:cs="Arial"/>
                <w:b/>
                <w:bCs/>
                <w:color w:val="FFFFFF"/>
                <w:sz w:val="20"/>
                <w:szCs w:val="20"/>
                <w:lang w:eastAsia="pl-PL"/>
              </w:rPr>
            </w:pPr>
            <w:r w:rsidRPr="00EE0C8C">
              <w:rPr>
                <w:rFonts w:ascii="Arial" w:eastAsia="Times New Roman" w:hAnsi="Arial" w:cs="Arial"/>
                <w:b/>
                <w:bCs/>
                <w:color w:val="FFFFFF"/>
                <w:sz w:val="20"/>
                <w:szCs w:val="20"/>
                <w:lang w:eastAsia="pl-PL"/>
              </w:rPr>
              <w:t>Jednostka terytorialna</w:t>
            </w:r>
          </w:p>
        </w:tc>
        <w:tc>
          <w:tcPr>
            <w:tcW w:w="2880" w:type="dxa"/>
            <w:gridSpan w:val="3"/>
            <w:tcBorders>
              <w:top w:val="single" w:sz="4" w:space="0" w:color="000000"/>
              <w:left w:val="nil"/>
              <w:bottom w:val="single" w:sz="4" w:space="0" w:color="000000"/>
              <w:right w:val="single" w:sz="4" w:space="0" w:color="000000"/>
            </w:tcBorders>
            <w:shd w:val="clear" w:color="000000" w:fill="008080"/>
            <w:noWrap/>
            <w:vAlign w:val="center"/>
            <w:hideMark/>
          </w:tcPr>
          <w:p w:rsidR="00EE0C8C" w:rsidRPr="00EE0C8C" w:rsidRDefault="00EE0C8C" w:rsidP="00EE0C8C">
            <w:pPr>
              <w:spacing w:after="0" w:line="240" w:lineRule="auto"/>
              <w:jc w:val="center"/>
              <w:rPr>
                <w:rFonts w:ascii="Arial" w:eastAsia="Times New Roman" w:hAnsi="Arial" w:cs="Arial"/>
                <w:b/>
                <w:bCs/>
                <w:color w:val="FFFFFF"/>
                <w:sz w:val="20"/>
                <w:szCs w:val="20"/>
                <w:lang w:eastAsia="pl-PL"/>
              </w:rPr>
            </w:pPr>
            <w:r w:rsidRPr="00EE0C8C">
              <w:rPr>
                <w:rFonts w:ascii="Arial" w:eastAsia="Times New Roman" w:hAnsi="Arial" w:cs="Arial"/>
                <w:b/>
                <w:bCs/>
                <w:color w:val="FFFFFF"/>
                <w:sz w:val="20"/>
                <w:szCs w:val="20"/>
                <w:lang w:eastAsia="pl-PL"/>
              </w:rPr>
              <w:t>ogółem</w:t>
            </w:r>
          </w:p>
        </w:tc>
      </w:tr>
      <w:tr w:rsidR="00EE0C8C" w:rsidRPr="00EE0C8C" w:rsidTr="00A76BDB">
        <w:trPr>
          <w:trHeight w:val="255"/>
          <w:jc w:val="center"/>
        </w:trPr>
        <w:tc>
          <w:tcPr>
            <w:tcW w:w="4000" w:type="dxa"/>
            <w:vMerge/>
            <w:tcBorders>
              <w:top w:val="single" w:sz="4" w:space="0" w:color="000000"/>
              <w:left w:val="single" w:sz="4" w:space="0" w:color="000000"/>
              <w:bottom w:val="single" w:sz="4" w:space="0" w:color="000000"/>
              <w:right w:val="single" w:sz="4" w:space="0" w:color="000000"/>
            </w:tcBorders>
            <w:vAlign w:val="center"/>
            <w:hideMark/>
          </w:tcPr>
          <w:p w:rsidR="00EE0C8C" w:rsidRPr="00EE0C8C" w:rsidRDefault="00EE0C8C" w:rsidP="00EE0C8C">
            <w:pPr>
              <w:spacing w:after="0" w:line="240" w:lineRule="auto"/>
              <w:rPr>
                <w:rFonts w:ascii="Arial" w:eastAsia="Times New Roman" w:hAnsi="Arial" w:cs="Arial"/>
                <w:b/>
                <w:bCs/>
                <w:color w:val="FFFFFF"/>
                <w:sz w:val="20"/>
                <w:szCs w:val="20"/>
                <w:lang w:eastAsia="pl-PL"/>
              </w:rPr>
            </w:pPr>
          </w:p>
        </w:tc>
        <w:tc>
          <w:tcPr>
            <w:tcW w:w="2880" w:type="dxa"/>
            <w:gridSpan w:val="3"/>
            <w:tcBorders>
              <w:top w:val="single" w:sz="4" w:space="0" w:color="000000"/>
              <w:left w:val="nil"/>
              <w:bottom w:val="single" w:sz="4" w:space="0" w:color="000000"/>
              <w:right w:val="single" w:sz="4" w:space="0" w:color="000000"/>
            </w:tcBorders>
            <w:shd w:val="clear" w:color="000000" w:fill="008080"/>
            <w:noWrap/>
            <w:vAlign w:val="center"/>
            <w:hideMark/>
          </w:tcPr>
          <w:p w:rsidR="00EE0C8C" w:rsidRPr="00EE0C8C" w:rsidRDefault="00EE0C8C" w:rsidP="00EE0C8C">
            <w:pPr>
              <w:spacing w:after="0" w:line="240" w:lineRule="auto"/>
              <w:jc w:val="center"/>
              <w:rPr>
                <w:rFonts w:ascii="Arial" w:eastAsia="Times New Roman" w:hAnsi="Arial" w:cs="Arial"/>
                <w:b/>
                <w:bCs/>
                <w:color w:val="FFFFFF"/>
                <w:sz w:val="20"/>
                <w:szCs w:val="20"/>
                <w:lang w:eastAsia="pl-PL"/>
              </w:rPr>
            </w:pPr>
            <w:r w:rsidRPr="00EE0C8C">
              <w:rPr>
                <w:rFonts w:ascii="Arial" w:eastAsia="Times New Roman" w:hAnsi="Arial" w:cs="Arial"/>
                <w:b/>
                <w:bCs/>
                <w:color w:val="FFFFFF"/>
                <w:sz w:val="20"/>
                <w:szCs w:val="20"/>
                <w:lang w:eastAsia="pl-PL"/>
              </w:rPr>
              <w:t>ogółem</w:t>
            </w:r>
          </w:p>
        </w:tc>
      </w:tr>
      <w:tr w:rsidR="00EE0C8C" w:rsidRPr="00EE0C8C" w:rsidTr="00A76BDB">
        <w:trPr>
          <w:trHeight w:val="255"/>
          <w:jc w:val="center"/>
        </w:trPr>
        <w:tc>
          <w:tcPr>
            <w:tcW w:w="4000" w:type="dxa"/>
            <w:vMerge/>
            <w:tcBorders>
              <w:top w:val="single" w:sz="4" w:space="0" w:color="000000"/>
              <w:left w:val="single" w:sz="4" w:space="0" w:color="000000"/>
              <w:bottom w:val="single" w:sz="4" w:space="0" w:color="000000"/>
              <w:right w:val="single" w:sz="4" w:space="0" w:color="000000"/>
            </w:tcBorders>
            <w:vAlign w:val="center"/>
            <w:hideMark/>
          </w:tcPr>
          <w:p w:rsidR="00EE0C8C" w:rsidRPr="00EE0C8C" w:rsidRDefault="00EE0C8C" w:rsidP="00EE0C8C">
            <w:pPr>
              <w:spacing w:after="0" w:line="240" w:lineRule="auto"/>
              <w:rPr>
                <w:rFonts w:ascii="Arial" w:eastAsia="Times New Roman" w:hAnsi="Arial" w:cs="Arial"/>
                <w:b/>
                <w:bCs/>
                <w:color w:val="FFFFFF"/>
                <w:sz w:val="20"/>
                <w:szCs w:val="20"/>
                <w:lang w:eastAsia="pl-PL"/>
              </w:rPr>
            </w:pPr>
          </w:p>
        </w:tc>
        <w:tc>
          <w:tcPr>
            <w:tcW w:w="960" w:type="dxa"/>
            <w:tcBorders>
              <w:top w:val="nil"/>
              <w:left w:val="nil"/>
              <w:bottom w:val="single" w:sz="4" w:space="0" w:color="000000"/>
              <w:right w:val="single" w:sz="4" w:space="0" w:color="000000"/>
            </w:tcBorders>
            <w:shd w:val="clear" w:color="000000" w:fill="008080"/>
            <w:noWrap/>
            <w:vAlign w:val="center"/>
            <w:hideMark/>
          </w:tcPr>
          <w:p w:rsidR="00EE0C8C" w:rsidRPr="00EE0C8C" w:rsidRDefault="00EE0C8C" w:rsidP="00EE0C8C">
            <w:pPr>
              <w:spacing w:after="0" w:line="240" w:lineRule="auto"/>
              <w:jc w:val="center"/>
              <w:rPr>
                <w:rFonts w:ascii="Arial" w:eastAsia="Times New Roman" w:hAnsi="Arial" w:cs="Arial"/>
                <w:b/>
                <w:bCs/>
                <w:color w:val="FFFFFF"/>
                <w:sz w:val="20"/>
                <w:szCs w:val="20"/>
                <w:lang w:eastAsia="pl-PL"/>
              </w:rPr>
            </w:pPr>
            <w:r w:rsidRPr="00EE0C8C">
              <w:rPr>
                <w:rFonts w:ascii="Arial" w:eastAsia="Times New Roman" w:hAnsi="Arial" w:cs="Arial"/>
                <w:b/>
                <w:bCs/>
                <w:color w:val="FFFFFF"/>
                <w:sz w:val="20"/>
                <w:szCs w:val="20"/>
                <w:lang w:eastAsia="pl-PL"/>
              </w:rPr>
              <w:t>2012</w:t>
            </w:r>
          </w:p>
        </w:tc>
        <w:tc>
          <w:tcPr>
            <w:tcW w:w="960" w:type="dxa"/>
            <w:tcBorders>
              <w:top w:val="nil"/>
              <w:left w:val="nil"/>
              <w:bottom w:val="single" w:sz="4" w:space="0" w:color="000000"/>
              <w:right w:val="single" w:sz="4" w:space="0" w:color="000000"/>
            </w:tcBorders>
            <w:shd w:val="clear" w:color="000000" w:fill="008080"/>
            <w:noWrap/>
            <w:vAlign w:val="center"/>
            <w:hideMark/>
          </w:tcPr>
          <w:p w:rsidR="00EE0C8C" w:rsidRPr="00EE0C8C" w:rsidRDefault="00EE0C8C" w:rsidP="00EE0C8C">
            <w:pPr>
              <w:spacing w:after="0" w:line="240" w:lineRule="auto"/>
              <w:jc w:val="center"/>
              <w:rPr>
                <w:rFonts w:ascii="Arial" w:eastAsia="Times New Roman" w:hAnsi="Arial" w:cs="Arial"/>
                <w:b/>
                <w:bCs/>
                <w:color w:val="FFFFFF"/>
                <w:sz w:val="20"/>
                <w:szCs w:val="20"/>
                <w:lang w:eastAsia="pl-PL"/>
              </w:rPr>
            </w:pPr>
            <w:r w:rsidRPr="00EE0C8C">
              <w:rPr>
                <w:rFonts w:ascii="Arial" w:eastAsia="Times New Roman" w:hAnsi="Arial" w:cs="Arial"/>
                <w:b/>
                <w:bCs/>
                <w:color w:val="FFFFFF"/>
                <w:sz w:val="20"/>
                <w:szCs w:val="20"/>
                <w:lang w:eastAsia="pl-PL"/>
              </w:rPr>
              <w:t>2013</w:t>
            </w:r>
          </w:p>
        </w:tc>
        <w:tc>
          <w:tcPr>
            <w:tcW w:w="960" w:type="dxa"/>
            <w:tcBorders>
              <w:top w:val="nil"/>
              <w:left w:val="nil"/>
              <w:bottom w:val="single" w:sz="4" w:space="0" w:color="000000"/>
              <w:right w:val="single" w:sz="4" w:space="0" w:color="000000"/>
            </w:tcBorders>
            <w:shd w:val="clear" w:color="000000" w:fill="008080"/>
            <w:noWrap/>
            <w:vAlign w:val="center"/>
            <w:hideMark/>
          </w:tcPr>
          <w:p w:rsidR="00EE0C8C" w:rsidRPr="00EE0C8C" w:rsidRDefault="00EE0C8C" w:rsidP="00EE0C8C">
            <w:pPr>
              <w:spacing w:after="0" w:line="240" w:lineRule="auto"/>
              <w:jc w:val="center"/>
              <w:rPr>
                <w:rFonts w:ascii="Arial" w:eastAsia="Times New Roman" w:hAnsi="Arial" w:cs="Arial"/>
                <w:b/>
                <w:bCs/>
                <w:color w:val="FFFFFF"/>
                <w:sz w:val="20"/>
                <w:szCs w:val="20"/>
                <w:lang w:eastAsia="pl-PL"/>
              </w:rPr>
            </w:pPr>
            <w:r w:rsidRPr="00EE0C8C">
              <w:rPr>
                <w:rFonts w:ascii="Arial" w:eastAsia="Times New Roman" w:hAnsi="Arial" w:cs="Arial"/>
                <w:b/>
                <w:bCs/>
                <w:color w:val="FFFFFF"/>
                <w:sz w:val="20"/>
                <w:szCs w:val="20"/>
                <w:lang w:eastAsia="pl-PL"/>
              </w:rPr>
              <w:t>2014</w:t>
            </w:r>
          </w:p>
        </w:tc>
      </w:tr>
      <w:tr w:rsidR="00EE0C8C" w:rsidRPr="00EE0C8C" w:rsidTr="00A76BDB">
        <w:trPr>
          <w:trHeight w:val="255"/>
          <w:jc w:val="center"/>
        </w:trPr>
        <w:tc>
          <w:tcPr>
            <w:tcW w:w="4000" w:type="dxa"/>
            <w:vMerge/>
            <w:tcBorders>
              <w:top w:val="single" w:sz="4" w:space="0" w:color="000000"/>
              <w:left w:val="single" w:sz="4" w:space="0" w:color="000000"/>
              <w:bottom w:val="single" w:sz="4" w:space="0" w:color="000000"/>
              <w:right w:val="single" w:sz="4" w:space="0" w:color="000000"/>
            </w:tcBorders>
            <w:vAlign w:val="center"/>
            <w:hideMark/>
          </w:tcPr>
          <w:p w:rsidR="00EE0C8C" w:rsidRPr="00EE0C8C" w:rsidRDefault="00EE0C8C" w:rsidP="00EE0C8C">
            <w:pPr>
              <w:spacing w:after="0" w:line="240" w:lineRule="auto"/>
              <w:rPr>
                <w:rFonts w:ascii="Arial" w:eastAsia="Times New Roman" w:hAnsi="Arial" w:cs="Arial"/>
                <w:b/>
                <w:bCs/>
                <w:color w:val="FFFFFF"/>
                <w:sz w:val="20"/>
                <w:szCs w:val="20"/>
                <w:lang w:eastAsia="pl-PL"/>
              </w:rPr>
            </w:pPr>
          </w:p>
        </w:tc>
        <w:tc>
          <w:tcPr>
            <w:tcW w:w="960" w:type="dxa"/>
            <w:tcBorders>
              <w:top w:val="nil"/>
              <w:left w:val="nil"/>
              <w:bottom w:val="single" w:sz="4" w:space="0" w:color="000000"/>
              <w:right w:val="single" w:sz="4" w:space="0" w:color="000000"/>
            </w:tcBorders>
            <w:shd w:val="clear" w:color="000000" w:fill="CCFFFF"/>
            <w:noWrap/>
            <w:vAlign w:val="center"/>
            <w:hideMark/>
          </w:tcPr>
          <w:p w:rsidR="00EE0C8C" w:rsidRPr="00EE0C8C" w:rsidRDefault="00EE0C8C" w:rsidP="00EE0C8C">
            <w:pPr>
              <w:spacing w:after="0" w:line="240" w:lineRule="auto"/>
              <w:jc w:val="center"/>
              <w:rPr>
                <w:rFonts w:ascii="Arial" w:eastAsia="Times New Roman" w:hAnsi="Arial" w:cs="Arial"/>
                <w:b/>
                <w:bCs/>
                <w:color w:val="008080"/>
                <w:sz w:val="20"/>
                <w:szCs w:val="20"/>
                <w:lang w:eastAsia="pl-PL"/>
              </w:rPr>
            </w:pPr>
            <w:r w:rsidRPr="00EE0C8C">
              <w:rPr>
                <w:rFonts w:ascii="Arial" w:eastAsia="Times New Roman" w:hAnsi="Arial" w:cs="Arial"/>
                <w:b/>
                <w:bCs/>
                <w:color w:val="008080"/>
                <w:sz w:val="20"/>
                <w:szCs w:val="20"/>
                <w:lang w:eastAsia="pl-PL"/>
              </w:rPr>
              <w:t>-</w:t>
            </w:r>
          </w:p>
        </w:tc>
        <w:tc>
          <w:tcPr>
            <w:tcW w:w="960" w:type="dxa"/>
            <w:tcBorders>
              <w:top w:val="nil"/>
              <w:left w:val="nil"/>
              <w:bottom w:val="single" w:sz="4" w:space="0" w:color="000000"/>
              <w:right w:val="single" w:sz="4" w:space="0" w:color="000000"/>
            </w:tcBorders>
            <w:shd w:val="clear" w:color="000000" w:fill="CCFFFF"/>
            <w:noWrap/>
            <w:vAlign w:val="center"/>
            <w:hideMark/>
          </w:tcPr>
          <w:p w:rsidR="00EE0C8C" w:rsidRPr="00EE0C8C" w:rsidRDefault="00EE0C8C" w:rsidP="00EE0C8C">
            <w:pPr>
              <w:spacing w:after="0" w:line="240" w:lineRule="auto"/>
              <w:jc w:val="center"/>
              <w:rPr>
                <w:rFonts w:ascii="Arial" w:eastAsia="Times New Roman" w:hAnsi="Arial" w:cs="Arial"/>
                <w:b/>
                <w:bCs/>
                <w:color w:val="008080"/>
                <w:sz w:val="20"/>
                <w:szCs w:val="20"/>
                <w:lang w:eastAsia="pl-PL"/>
              </w:rPr>
            </w:pPr>
            <w:r w:rsidRPr="00EE0C8C">
              <w:rPr>
                <w:rFonts w:ascii="Arial" w:eastAsia="Times New Roman" w:hAnsi="Arial" w:cs="Arial"/>
                <w:b/>
                <w:bCs/>
                <w:color w:val="008080"/>
                <w:sz w:val="20"/>
                <w:szCs w:val="20"/>
                <w:lang w:eastAsia="pl-PL"/>
              </w:rPr>
              <w:t>-</w:t>
            </w:r>
          </w:p>
        </w:tc>
        <w:tc>
          <w:tcPr>
            <w:tcW w:w="960" w:type="dxa"/>
            <w:tcBorders>
              <w:top w:val="nil"/>
              <w:left w:val="nil"/>
              <w:bottom w:val="single" w:sz="4" w:space="0" w:color="000000"/>
              <w:right w:val="single" w:sz="4" w:space="0" w:color="000000"/>
            </w:tcBorders>
            <w:shd w:val="clear" w:color="000000" w:fill="CCFFFF"/>
            <w:noWrap/>
            <w:vAlign w:val="center"/>
            <w:hideMark/>
          </w:tcPr>
          <w:p w:rsidR="00EE0C8C" w:rsidRPr="00EE0C8C" w:rsidRDefault="00EE0C8C" w:rsidP="00EE0C8C">
            <w:pPr>
              <w:spacing w:after="0" w:line="240" w:lineRule="auto"/>
              <w:jc w:val="center"/>
              <w:rPr>
                <w:rFonts w:ascii="Arial" w:eastAsia="Times New Roman" w:hAnsi="Arial" w:cs="Arial"/>
                <w:b/>
                <w:bCs/>
                <w:color w:val="008080"/>
                <w:sz w:val="20"/>
                <w:szCs w:val="20"/>
                <w:lang w:eastAsia="pl-PL"/>
              </w:rPr>
            </w:pPr>
            <w:r w:rsidRPr="00EE0C8C">
              <w:rPr>
                <w:rFonts w:ascii="Arial" w:eastAsia="Times New Roman" w:hAnsi="Arial" w:cs="Arial"/>
                <w:b/>
                <w:bCs/>
                <w:color w:val="008080"/>
                <w:sz w:val="20"/>
                <w:szCs w:val="20"/>
                <w:lang w:eastAsia="pl-PL"/>
              </w:rPr>
              <w:t>-</w:t>
            </w:r>
          </w:p>
        </w:tc>
      </w:tr>
      <w:tr w:rsidR="00EE0C8C" w:rsidRPr="00EE0C8C" w:rsidTr="00A76BDB">
        <w:trPr>
          <w:trHeight w:val="255"/>
          <w:jc w:val="center"/>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rPr>
                <w:rFonts w:ascii="Arial" w:eastAsia="Times New Roman" w:hAnsi="Arial" w:cs="Arial"/>
                <w:sz w:val="20"/>
                <w:szCs w:val="20"/>
                <w:lang w:eastAsia="pl-PL"/>
              </w:rPr>
            </w:pPr>
            <w:r w:rsidRPr="00EE0C8C">
              <w:rPr>
                <w:rFonts w:ascii="Arial" w:eastAsia="Times New Roman" w:hAnsi="Arial" w:cs="Arial"/>
                <w:sz w:val="20"/>
                <w:szCs w:val="20"/>
                <w:lang w:eastAsia="pl-PL"/>
              </w:rPr>
              <w:t xml:space="preserve">Gmina Mirzec </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409</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451</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469</w:t>
            </w:r>
          </w:p>
        </w:tc>
      </w:tr>
    </w:tbl>
    <w:p w:rsidR="00EE0C8C" w:rsidRPr="00EE0C8C" w:rsidRDefault="00EE0C8C" w:rsidP="00EE0C8C">
      <w:pPr>
        <w:jc w:val="center"/>
        <w:rPr>
          <w:rFonts w:ascii="Calibri" w:eastAsia="Times New Roman" w:hAnsi="Calibri" w:cs="Times New Roman"/>
          <w:i/>
          <w:lang w:eastAsia="pl-PL"/>
        </w:rPr>
      </w:pPr>
      <w:r w:rsidRPr="00EE0C8C">
        <w:rPr>
          <w:rFonts w:ascii="Calibri" w:eastAsia="Times New Roman" w:hAnsi="Calibri" w:cs="Times New Roman"/>
          <w:i/>
          <w:lang w:eastAsia="pl-PL"/>
        </w:rPr>
        <w:t>(Źródło: Bank Danych Lokalnych)</w:t>
      </w:r>
    </w:p>
    <w:p w:rsidR="00EE0C8C" w:rsidRPr="00EE0C8C" w:rsidRDefault="00EE0C8C" w:rsidP="00EE0C8C">
      <w:pPr>
        <w:jc w:val="center"/>
        <w:rPr>
          <w:rFonts w:ascii="Calibri" w:eastAsia="Times New Roman" w:hAnsi="Calibri" w:cs="Times New Roman"/>
          <w:i/>
          <w:lang w:eastAsia="pl-PL"/>
        </w:rPr>
      </w:pPr>
    </w:p>
    <w:tbl>
      <w:tblPr>
        <w:tblW w:w="6946" w:type="dxa"/>
        <w:tblInd w:w="1204" w:type="dxa"/>
        <w:tblCellMar>
          <w:left w:w="70" w:type="dxa"/>
          <w:right w:w="70" w:type="dxa"/>
        </w:tblCellMar>
        <w:tblLook w:val="04A0" w:firstRow="1" w:lastRow="0" w:firstColumn="1" w:lastColumn="0" w:noHBand="0" w:noVBand="1"/>
      </w:tblPr>
      <w:tblGrid>
        <w:gridCol w:w="3897"/>
        <w:gridCol w:w="960"/>
        <w:gridCol w:w="960"/>
        <w:gridCol w:w="1129"/>
      </w:tblGrid>
      <w:tr w:rsidR="00EE0C8C" w:rsidRPr="00EE0C8C" w:rsidTr="00A76BDB">
        <w:trPr>
          <w:trHeight w:val="255"/>
        </w:trPr>
        <w:tc>
          <w:tcPr>
            <w:tcW w:w="3897" w:type="dxa"/>
            <w:vMerge w:val="restart"/>
            <w:tcBorders>
              <w:top w:val="single" w:sz="4" w:space="0" w:color="000000"/>
              <w:left w:val="single" w:sz="4" w:space="0" w:color="000000"/>
              <w:bottom w:val="single" w:sz="4" w:space="0" w:color="000000"/>
              <w:right w:val="single" w:sz="4" w:space="0" w:color="000000"/>
            </w:tcBorders>
            <w:shd w:val="clear" w:color="000000" w:fill="008080"/>
            <w:noWrap/>
            <w:vAlign w:val="center"/>
            <w:hideMark/>
          </w:tcPr>
          <w:p w:rsidR="00EE0C8C" w:rsidRPr="00EE0C8C" w:rsidRDefault="00EE0C8C" w:rsidP="00EE0C8C">
            <w:pPr>
              <w:spacing w:after="0" w:line="240" w:lineRule="auto"/>
              <w:jc w:val="center"/>
              <w:rPr>
                <w:rFonts w:ascii="Arial" w:eastAsia="Times New Roman" w:hAnsi="Arial" w:cs="Arial"/>
                <w:b/>
                <w:bCs/>
                <w:color w:val="FFFFFF"/>
                <w:sz w:val="20"/>
                <w:szCs w:val="20"/>
                <w:lang w:eastAsia="pl-PL"/>
              </w:rPr>
            </w:pPr>
            <w:r w:rsidRPr="00EE0C8C">
              <w:rPr>
                <w:rFonts w:ascii="Arial" w:eastAsia="Times New Roman" w:hAnsi="Arial" w:cs="Arial"/>
                <w:b/>
                <w:bCs/>
                <w:color w:val="FFFFFF"/>
                <w:sz w:val="20"/>
                <w:szCs w:val="20"/>
                <w:lang w:eastAsia="pl-PL"/>
              </w:rPr>
              <w:t>Jednostka terytorialna</w:t>
            </w:r>
          </w:p>
        </w:tc>
        <w:tc>
          <w:tcPr>
            <w:tcW w:w="3049" w:type="dxa"/>
            <w:gridSpan w:val="3"/>
            <w:tcBorders>
              <w:top w:val="single" w:sz="4" w:space="0" w:color="000000"/>
              <w:left w:val="nil"/>
              <w:bottom w:val="single" w:sz="4" w:space="0" w:color="000000"/>
              <w:right w:val="single" w:sz="4" w:space="0" w:color="000000"/>
            </w:tcBorders>
            <w:shd w:val="clear" w:color="000000" w:fill="008080"/>
            <w:noWrap/>
            <w:vAlign w:val="center"/>
            <w:hideMark/>
          </w:tcPr>
          <w:p w:rsidR="00EE0C8C" w:rsidRPr="00EE0C8C" w:rsidRDefault="00EE0C8C" w:rsidP="00EE0C8C">
            <w:pPr>
              <w:spacing w:after="0" w:line="240" w:lineRule="auto"/>
              <w:jc w:val="center"/>
              <w:rPr>
                <w:rFonts w:ascii="Arial" w:eastAsia="Times New Roman" w:hAnsi="Arial" w:cs="Arial"/>
                <w:b/>
                <w:bCs/>
                <w:color w:val="FFFFFF"/>
                <w:sz w:val="20"/>
                <w:szCs w:val="20"/>
                <w:lang w:eastAsia="pl-PL"/>
              </w:rPr>
            </w:pPr>
            <w:r w:rsidRPr="00EE0C8C">
              <w:rPr>
                <w:rFonts w:ascii="Arial" w:eastAsia="Times New Roman" w:hAnsi="Arial" w:cs="Arial"/>
                <w:b/>
                <w:bCs/>
                <w:color w:val="FFFFFF"/>
                <w:sz w:val="20"/>
                <w:szCs w:val="20"/>
                <w:lang w:eastAsia="pl-PL"/>
              </w:rPr>
              <w:t>sektor publiczny</w:t>
            </w:r>
          </w:p>
        </w:tc>
      </w:tr>
      <w:tr w:rsidR="00EE0C8C" w:rsidRPr="00EE0C8C" w:rsidTr="00A76BDB">
        <w:trPr>
          <w:trHeight w:val="255"/>
        </w:trPr>
        <w:tc>
          <w:tcPr>
            <w:tcW w:w="3897" w:type="dxa"/>
            <w:vMerge/>
            <w:tcBorders>
              <w:top w:val="single" w:sz="4" w:space="0" w:color="000000"/>
              <w:left w:val="single" w:sz="4" w:space="0" w:color="000000"/>
              <w:bottom w:val="single" w:sz="4" w:space="0" w:color="000000"/>
              <w:right w:val="single" w:sz="4" w:space="0" w:color="000000"/>
            </w:tcBorders>
            <w:vAlign w:val="center"/>
            <w:hideMark/>
          </w:tcPr>
          <w:p w:rsidR="00EE0C8C" w:rsidRPr="00EE0C8C" w:rsidRDefault="00EE0C8C" w:rsidP="00EE0C8C">
            <w:pPr>
              <w:spacing w:after="0" w:line="240" w:lineRule="auto"/>
              <w:rPr>
                <w:rFonts w:ascii="Arial" w:eastAsia="Times New Roman" w:hAnsi="Arial" w:cs="Arial"/>
                <w:b/>
                <w:bCs/>
                <w:color w:val="FFFFFF"/>
                <w:sz w:val="20"/>
                <w:szCs w:val="20"/>
                <w:lang w:eastAsia="pl-PL"/>
              </w:rPr>
            </w:pPr>
          </w:p>
        </w:tc>
        <w:tc>
          <w:tcPr>
            <w:tcW w:w="3049" w:type="dxa"/>
            <w:gridSpan w:val="3"/>
            <w:tcBorders>
              <w:top w:val="single" w:sz="4" w:space="0" w:color="000000"/>
              <w:left w:val="nil"/>
              <w:bottom w:val="single" w:sz="4" w:space="0" w:color="000000"/>
              <w:right w:val="single" w:sz="4" w:space="0" w:color="000000"/>
            </w:tcBorders>
            <w:shd w:val="clear" w:color="000000" w:fill="008080"/>
            <w:noWrap/>
            <w:vAlign w:val="center"/>
            <w:hideMark/>
          </w:tcPr>
          <w:p w:rsidR="00EE0C8C" w:rsidRPr="00EE0C8C" w:rsidRDefault="00EE0C8C" w:rsidP="00EE0C8C">
            <w:pPr>
              <w:spacing w:after="0" w:line="240" w:lineRule="auto"/>
              <w:jc w:val="center"/>
              <w:rPr>
                <w:rFonts w:ascii="Arial" w:eastAsia="Times New Roman" w:hAnsi="Arial" w:cs="Arial"/>
                <w:b/>
                <w:bCs/>
                <w:color w:val="FFFFFF"/>
                <w:sz w:val="20"/>
                <w:szCs w:val="20"/>
                <w:lang w:eastAsia="pl-PL"/>
              </w:rPr>
            </w:pPr>
            <w:r w:rsidRPr="00EE0C8C">
              <w:rPr>
                <w:rFonts w:ascii="Arial" w:eastAsia="Times New Roman" w:hAnsi="Arial" w:cs="Arial"/>
                <w:b/>
                <w:bCs/>
                <w:color w:val="FFFFFF"/>
                <w:sz w:val="20"/>
                <w:szCs w:val="20"/>
                <w:lang w:eastAsia="pl-PL"/>
              </w:rPr>
              <w:t>ogółem</w:t>
            </w:r>
          </w:p>
        </w:tc>
      </w:tr>
      <w:tr w:rsidR="00EE0C8C" w:rsidRPr="00EE0C8C" w:rsidTr="00A76BDB">
        <w:trPr>
          <w:trHeight w:val="255"/>
        </w:trPr>
        <w:tc>
          <w:tcPr>
            <w:tcW w:w="3897" w:type="dxa"/>
            <w:vMerge/>
            <w:tcBorders>
              <w:top w:val="single" w:sz="4" w:space="0" w:color="000000"/>
              <w:left w:val="single" w:sz="4" w:space="0" w:color="000000"/>
              <w:bottom w:val="single" w:sz="4" w:space="0" w:color="000000"/>
              <w:right w:val="single" w:sz="4" w:space="0" w:color="000000"/>
            </w:tcBorders>
            <w:vAlign w:val="center"/>
            <w:hideMark/>
          </w:tcPr>
          <w:p w:rsidR="00EE0C8C" w:rsidRPr="00EE0C8C" w:rsidRDefault="00EE0C8C" w:rsidP="00EE0C8C">
            <w:pPr>
              <w:spacing w:after="0" w:line="240" w:lineRule="auto"/>
              <w:rPr>
                <w:rFonts w:ascii="Arial" w:eastAsia="Times New Roman" w:hAnsi="Arial" w:cs="Arial"/>
                <w:b/>
                <w:bCs/>
                <w:color w:val="FFFFFF"/>
                <w:sz w:val="20"/>
                <w:szCs w:val="20"/>
                <w:lang w:eastAsia="pl-PL"/>
              </w:rPr>
            </w:pPr>
          </w:p>
        </w:tc>
        <w:tc>
          <w:tcPr>
            <w:tcW w:w="960" w:type="dxa"/>
            <w:tcBorders>
              <w:top w:val="nil"/>
              <w:left w:val="nil"/>
              <w:bottom w:val="single" w:sz="4" w:space="0" w:color="000000"/>
              <w:right w:val="single" w:sz="4" w:space="0" w:color="000000"/>
            </w:tcBorders>
            <w:shd w:val="clear" w:color="000000" w:fill="008080"/>
            <w:noWrap/>
            <w:vAlign w:val="center"/>
            <w:hideMark/>
          </w:tcPr>
          <w:p w:rsidR="00EE0C8C" w:rsidRPr="00EE0C8C" w:rsidRDefault="00EE0C8C" w:rsidP="00EE0C8C">
            <w:pPr>
              <w:spacing w:after="0" w:line="240" w:lineRule="auto"/>
              <w:jc w:val="center"/>
              <w:rPr>
                <w:rFonts w:ascii="Arial" w:eastAsia="Times New Roman" w:hAnsi="Arial" w:cs="Arial"/>
                <w:b/>
                <w:bCs/>
                <w:color w:val="FFFFFF"/>
                <w:sz w:val="20"/>
                <w:szCs w:val="20"/>
                <w:lang w:eastAsia="pl-PL"/>
              </w:rPr>
            </w:pPr>
            <w:r w:rsidRPr="00EE0C8C">
              <w:rPr>
                <w:rFonts w:ascii="Arial" w:eastAsia="Times New Roman" w:hAnsi="Arial" w:cs="Arial"/>
                <w:b/>
                <w:bCs/>
                <w:color w:val="FFFFFF"/>
                <w:sz w:val="20"/>
                <w:szCs w:val="20"/>
                <w:lang w:eastAsia="pl-PL"/>
              </w:rPr>
              <w:t>2012</w:t>
            </w:r>
          </w:p>
        </w:tc>
        <w:tc>
          <w:tcPr>
            <w:tcW w:w="960" w:type="dxa"/>
            <w:tcBorders>
              <w:top w:val="nil"/>
              <w:left w:val="nil"/>
              <w:bottom w:val="single" w:sz="4" w:space="0" w:color="000000"/>
              <w:right w:val="single" w:sz="4" w:space="0" w:color="000000"/>
            </w:tcBorders>
            <w:shd w:val="clear" w:color="000000" w:fill="008080"/>
            <w:noWrap/>
            <w:vAlign w:val="center"/>
            <w:hideMark/>
          </w:tcPr>
          <w:p w:rsidR="00EE0C8C" w:rsidRPr="00EE0C8C" w:rsidRDefault="00EE0C8C" w:rsidP="00EE0C8C">
            <w:pPr>
              <w:spacing w:after="0" w:line="240" w:lineRule="auto"/>
              <w:jc w:val="center"/>
              <w:rPr>
                <w:rFonts w:ascii="Arial" w:eastAsia="Times New Roman" w:hAnsi="Arial" w:cs="Arial"/>
                <w:b/>
                <w:bCs/>
                <w:color w:val="FFFFFF"/>
                <w:sz w:val="20"/>
                <w:szCs w:val="20"/>
                <w:lang w:eastAsia="pl-PL"/>
              </w:rPr>
            </w:pPr>
            <w:r w:rsidRPr="00EE0C8C">
              <w:rPr>
                <w:rFonts w:ascii="Arial" w:eastAsia="Times New Roman" w:hAnsi="Arial" w:cs="Arial"/>
                <w:b/>
                <w:bCs/>
                <w:color w:val="FFFFFF"/>
                <w:sz w:val="20"/>
                <w:szCs w:val="20"/>
                <w:lang w:eastAsia="pl-PL"/>
              </w:rPr>
              <w:t>2013</w:t>
            </w:r>
          </w:p>
        </w:tc>
        <w:tc>
          <w:tcPr>
            <w:tcW w:w="1129" w:type="dxa"/>
            <w:tcBorders>
              <w:top w:val="nil"/>
              <w:left w:val="nil"/>
              <w:bottom w:val="single" w:sz="4" w:space="0" w:color="000000"/>
              <w:right w:val="single" w:sz="4" w:space="0" w:color="000000"/>
            </w:tcBorders>
            <w:shd w:val="clear" w:color="000000" w:fill="008080"/>
            <w:noWrap/>
            <w:vAlign w:val="center"/>
            <w:hideMark/>
          </w:tcPr>
          <w:p w:rsidR="00EE0C8C" w:rsidRPr="00EE0C8C" w:rsidRDefault="00EE0C8C" w:rsidP="00EE0C8C">
            <w:pPr>
              <w:spacing w:after="0" w:line="240" w:lineRule="auto"/>
              <w:jc w:val="center"/>
              <w:rPr>
                <w:rFonts w:ascii="Arial" w:eastAsia="Times New Roman" w:hAnsi="Arial" w:cs="Arial"/>
                <w:b/>
                <w:bCs/>
                <w:color w:val="FFFFFF"/>
                <w:sz w:val="20"/>
                <w:szCs w:val="20"/>
                <w:lang w:eastAsia="pl-PL"/>
              </w:rPr>
            </w:pPr>
            <w:r w:rsidRPr="00EE0C8C">
              <w:rPr>
                <w:rFonts w:ascii="Arial" w:eastAsia="Times New Roman" w:hAnsi="Arial" w:cs="Arial"/>
                <w:b/>
                <w:bCs/>
                <w:color w:val="FFFFFF"/>
                <w:sz w:val="20"/>
                <w:szCs w:val="20"/>
                <w:lang w:eastAsia="pl-PL"/>
              </w:rPr>
              <w:t>2014</w:t>
            </w:r>
          </w:p>
        </w:tc>
      </w:tr>
      <w:tr w:rsidR="00EE0C8C" w:rsidRPr="00EE0C8C" w:rsidTr="00A76BDB">
        <w:trPr>
          <w:trHeight w:val="255"/>
        </w:trPr>
        <w:tc>
          <w:tcPr>
            <w:tcW w:w="3897" w:type="dxa"/>
            <w:vMerge/>
            <w:tcBorders>
              <w:top w:val="single" w:sz="4" w:space="0" w:color="000000"/>
              <w:left w:val="single" w:sz="4" w:space="0" w:color="000000"/>
              <w:bottom w:val="single" w:sz="4" w:space="0" w:color="000000"/>
              <w:right w:val="single" w:sz="4" w:space="0" w:color="000000"/>
            </w:tcBorders>
            <w:vAlign w:val="center"/>
            <w:hideMark/>
          </w:tcPr>
          <w:p w:rsidR="00EE0C8C" w:rsidRPr="00EE0C8C" w:rsidRDefault="00EE0C8C" w:rsidP="00EE0C8C">
            <w:pPr>
              <w:spacing w:after="0" w:line="240" w:lineRule="auto"/>
              <w:rPr>
                <w:rFonts w:ascii="Arial" w:eastAsia="Times New Roman" w:hAnsi="Arial" w:cs="Arial"/>
                <w:b/>
                <w:bCs/>
                <w:color w:val="FFFFFF"/>
                <w:sz w:val="20"/>
                <w:szCs w:val="20"/>
                <w:lang w:eastAsia="pl-PL"/>
              </w:rPr>
            </w:pPr>
          </w:p>
        </w:tc>
        <w:tc>
          <w:tcPr>
            <w:tcW w:w="960" w:type="dxa"/>
            <w:tcBorders>
              <w:top w:val="nil"/>
              <w:left w:val="nil"/>
              <w:bottom w:val="single" w:sz="4" w:space="0" w:color="000000"/>
              <w:right w:val="single" w:sz="4" w:space="0" w:color="000000"/>
            </w:tcBorders>
            <w:shd w:val="clear" w:color="000000" w:fill="CCFFFF"/>
            <w:noWrap/>
            <w:vAlign w:val="center"/>
            <w:hideMark/>
          </w:tcPr>
          <w:p w:rsidR="00EE0C8C" w:rsidRPr="00EE0C8C" w:rsidRDefault="00EE0C8C" w:rsidP="00EE0C8C">
            <w:pPr>
              <w:spacing w:after="0" w:line="240" w:lineRule="auto"/>
              <w:jc w:val="center"/>
              <w:rPr>
                <w:rFonts w:ascii="Arial" w:eastAsia="Times New Roman" w:hAnsi="Arial" w:cs="Arial"/>
                <w:b/>
                <w:bCs/>
                <w:color w:val="008080"/>
                <w:sz w:val="20"/>
                <w:szCs w:val="20"/>
                <w:lang w:eastAsia="pl-PL"/>
              </w:rPr>
            </w:pPr>
            <w:r w:rsidRPr="00EE0C8C">
              <w:rPr>
                <w:rFonts w:ascii="Arial" w:eastAsia="Times New Roman" w:hAnsi="Arial" w:cs="Arial"/>
                <w:b/>
                <w:bCs/>
                <w:color w:val="008080"/>
                <w:sz w:val="20"/>
                <w:szCs w:val="20"/>
                <w:lang w:eastAsia="pl-PL"/>
              </w:rPr>
              <w:t>-</w:t>
            </w:r>
          </w:p>
        </w:tc>
        <w:tc>
          <w:tcPr>
            <w:tcW w:w="960" w:type="dxa"/>
            <w:tcBorders>
              <w:top w:val="nil"/>
              <w:left w:val="nil"/>
              <w:bottom w:val="single" w:sz="4" w:space="0" w:color="000000"/>
              <w:right w:val="single" w:sz="4" w:space="0" w:color="000000"/>
            </w:tcBorders>
            <w:shd w:val="clear" w:color="000000" w:fill="CCFFFF"/>
            <w:noWrap/>
            <w:vAlign w:val="center"/>
            <w:hideMark/>
          </w:tcPr>
          <w:p w:rsidR="00EE0C8C" w:rsidRPr="00EE0C8C" w:rsidRDefault="00EE0C8C" w:rsidP="00EE0C8C">
            <w:pPr>
              <w:spacing w:after="0" w:line="240" w:lineRule="auto"/>
              <w:jc w:val="center"/>
              <w:rPr>
                <w:rFonts w:ascii="Arial" w:eastAsia="Times New Roman" w:hAnsi="Arial" w:cs="Arial"/>
                <w:b/>
                <w:bCs/>
                <w:color w:val="008080"/>
                <w:sz w:val="20"/>
                <w:szCs w:val="20"/>
                <w:lang w:eastAsia="pl-PL"/>
              </w:rPr>
            </w:pPr>
            <w:r w:rsidRPr="00EE0C8C">
              <w:rPr>
                <w:rFonts w:ascii="Arial" w:eastAsia="Times New Roman" w:hAnsi="Arial" w:cs="Arial"/>
                <w:b/>
                <w:bCs/>
                <w:color w:val="008080"/>
                <w:sz w:val="20"/>
                <w:szCs w:val="20"/>
                <w:lang w:eastAsia="pl-PL"/>
              </w:rPr>
              <w:t>-</w:t>
            </w:r>
          </w:p>
        </w:tc>
        <w:tc>
          <w:tcPr>
            <w:tcW w:w="1129" w:type="dxa"/>
            <w:tcBorders>
              <w:top w:val="nil"/>
              <w:left w:val="nil"/>
              <w:bottom w:val="single" w:sz="4" w:space="0" w:color="000000"/>
              <w:right w:val="single" w:sz="4" w:space="0" w:color="000000"/>
            </w:tcBorders>
            <w:shd w:val="clear" w:color="000000" w:fill="CCFFFF"/>
            <w:noWrap/>
            <w:vAlign w:val="center"/>
            <w:hideMark/>
          </w:tcPr>
          <w:p w:rsidR="00EE0C8C" w:rsidRPr="00EE0C8C" w:rsidRDefault="00EE0C8C" w:rsidP="00EE0C8C">
            <w:pPr>
              <w:spacing w:after="0" w:line="240" w:lineRule="auto"/>
              <w:jc w:val="center"/>
              <w:rPr>
                <w:rFonts w:ascii="Arial" w:eastAsia="Times New Roman" w:hAnsi="Arial" w:cs="Arial"/>
                <w:b/>
                <w:bCs/>
                <w:color w:val="008080"/>
                <w:sz w:val="20"/>
                <w:szCs w:val="20"/>
                <w:lang w:eastAsia="pl-PL"/>
              </w:rPr>
            </w:pPr>
            <w:r w:rsidRPr="00EE0C8C">
              <w:rPr>
                <w:rFonts w:ascii="Arial" w:eastAsia="Times New Roman" w:hAnsi="Arial" w:cs="Arial"/>
                <w:b/>
                <w:bCs/>
                <w:color w:val="008080"/>
                <w:sz w:val="20"/>
                <w:szCs w:val="20"/>
                <w:lang w:eastAsia="pl-PL"/>
              </w:rPr>
              <w:t>-</w:t>
            </w:r>
          </w:p>
        </w:tc>
      </w:tr>
      <w:tr w:rsidR="00EE0C8C" w:rsidRPr="00EE0C8C" w:rsidTr="00A76BDB">
        <w:trPr>
          <w:trHeight w:val="255"/>
        </w:trPr>
        <w:tc>
          <w:tcPr>
            <w:tcW w:w="3897"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rPr>
                <w:rFonts w:ascii="Arial" w:eastAsia="Times New Roman" w:hAnsi="Arial" w:cs="Arial"/>
                <w:sz w:val="20"/>
                <w:szCs w:val="20"/>
                <w:lang w:eastAsia="pl-PL"/>
              </w:rPr>
            </w:pPr>
            <w:r w:rsidRPr="00EE0C8C">
              <w:rPr>
                <w:rFonts w:ascii="Arial" w:eastAsia="Times New Roman" w:hAnsi="Arial" w:cs="Arial"/>
                <w:sz w:val="20"/>
                <w:szCs w:val="20"/>
                <w:lang w:eastAsia="pl-PL"/>
              </w:rPr>
              <w:t xml:space="preserve">Gmina Mirzec </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17</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18</w:t>
            </w:r>
          </w:p>
        </w:tc>
        <w:tc>
          <w:tcPr>
            <w:tcW w:w="112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18</w:t>
            </w:r>
          </w:p>
        </w:tc>
      </w:tr>
    </w:tbl>
    <w:p w:rsidR="00EE0C8C" w:rsidRPr="00EE0C8C" w:rsidRDefault="00EE0C8C" w:rsidP="00EE0C8C">
      <w:pPr>
        <w:jc w:val="center"/>
        <w:rPr>
          <w:rFonts w:ascii="Calibri" w:eastAsia="Times New Roman" w:hAnsi="Calibri" w:cs="Times New Roman"/>
          <w:i/>
          <w:lang w:eastAsia="pl-PL"/>
        </w:rPr>
      </w:pPr>
      <w:r w:rsidRPr="00EE0C8C">
        <w:rPr>
          <w:rFonts w:ascii="Calibri" w:eastAsia="Times New Roman" w:hAnsi="Calibri" w:cs="Times New Roman"/>
          <w:i/>
          <w:lang w:eastAsia="pl-PL"/>
        </w:rPr>
        <w:t>(Źródło: Bank Danych Lokalnych)</w:t>
      </w:r>
    </w:p>
    <w:tbl>
      <w:tblPr>
        <w:tblW w:w="6880" w:type="dxa"/>
        <w:tblInd w:w="1101" w:type="dxa"/>
        <w:tblCellMar>
          <w:left w:w="70" w:type="dxa"/>
          <w:right w:w="70" w:type="dxa"/>
        </w:tblCellMar>
        <w:tblLook w:val="04A0" w:firstRow="1" w:lastRow="0" w:firstColumn="1" w:lastColumn="0" w:noHBand="0" w:noVBand="1"/>
      </w:tblPr>
      <w:tblGrid>
        <w:gridCol w:w="4000"/>
        <w:gridCol w:w="960"/>
        <w:gridCol w:w="960"/>
        <w:gridCol w:w="960"/>
      </w:tblGrid>
      <w:tr w:rsidR="00EE0C8C" w:rsidRPr="00EE0C8C" w:rsidTr="00A76BDB">
        <w:trPr>
          <w:trHeight w:val="255"/>
        </w:trPr>
        <w:tc>
          <w:tcPr>
            <w:tcW w:w="4000" w:type="dxa"/>
            <w:vMerge w:val="restart"/>
            <w:tcBorders>
              <w:top w:val="single" w:sz="4" w:space="0" w:color="000000"/>
              <w:left w:val="single" w:sz="4" w:space="0" w:color="000000"/>
              <w:bottom w:val="single" w:sz="4" w:space="0" w:color="000000"/>
              <w:right w:val="single" w:sz="4" w:space="0" w:color="000000"/>
            </w:tcBorders>
            <w:shd w:val="clear" w:color="000000" w:fill="008080"/>
            <w:noWrap/>
            <w:vAlign w:val="center"/>
            <w:hideMark/>
          </w:tcPr>
          <w:p w:rsidR="00EE0C8C" w:rsidRPr="00EE0C8C" w:rsidRDefault="00EE0C8C" w:rsidP="00EE0C8C">
            <w:pPr>
              <w:spacing w:after="0" w:line="240" w:lineRule="auto"/>
              <w:jc w:val="center"/>
              <w:rPr>
                <w:rFonts w:ascii="Arial" w:eastAsia="Times New Roman" w:hAnsi="Arial" w:cs="Arial"/>
                <w:b/>
                <w:bCs/>
                <w:color w:val="FFFFFF"/>
                <w:sz w:val="20"/>
                <w:szCs w:val="20"/>
                <w:lang w:eastAsia="pl-PL"/>
              </w:rPr>
            </w:pPr>
            <w:r w:rsidRPr="00EE0C8C">
              <w:rPr>
                <w:rFonts w:ascii="Arial" w:eastAsia="Times New Roman" w:hAnsi="Arial" w:cs="Arial"/>
                <w:b/>
                <w:bCs/>
                <w:color w:val="FFFFFF"/>
                <w:sz w:val="20"/>
                <w:szCs w:val="20"/>
                <w:lang w:eastAsia="pl-PL"/>
              </w:rPr>
              <w:t>Jednostka terytorialna</w:t>
            </w:r>
          </w:p>
        </w:tc>
        <w:tc>
          <w:tcPr>
            <w:tcW w:w="2880" w:type="dxa"/>
            <w:gridSpan w:val="3"/>
            <w:tcBorders>
              <w:top w:val="single" w:sz="4" w:space="0" w:color="000000"/>
              <w:left w:val="nil"/>
              <w:bottom w:val="single" w:sz="4" w:space="0" w:color="000000"/>
              <w:right w:val="single" w:sz="4" w:space="0" w:color="000000"/>
            </w:tcBorders>
            <w:shd w:val="clear" w:color="000000" w:fill="008080"/>
            <w:noWrap/>
            <w:vAlign w:val="center"/>
            <w:hideMark/>
          </w:tcPr>
          <w:p w:rsidR="00EE0C8C" w:rsidRPr="00EE0C8C" w:rsidRDefault="00EE0C8C" w:rsidP="00EE0C8C">
            <w:pPr>
              <w:spacing w:after="0" w:line="240" w:lineRule="auto"/>
              <w:jc w:val="center"/>
              <w:rPr>
                <w:rFonts w:ascii="Arial" w:eastAsia="Times New Roman" w:hAnsi="Arial" w:cs="Arial"/>
                <w:b/>
                <w:bCs/>
                <w:color w:val="FFFFFF"/>
                <w:sz w:val="20"/>
                <w:szCs w:val="20"/>
                <w:lang w:eastAsia="pl-PL"/>
              </w:rPr>
            </w:pPr>
            <w:r w:rsidRPr="00EE0C8C">
              <w:rPr>
                <w:rFonts w:ascii="Arial" w:eastAsia="Times New Roman" w:hAnsi="Arial" w:cs="Arial"/>
                <w:b/>
                <w:bCs/>
                <w:color w:val="FFFFFF"/>
                <w:sz w:val="20"/>
                <w:szCs w:val="20"/>
                <w:lang w:eastAsia="pl-PL"/>
              </w:rPr>
              <w:t>sektor prywatny</w:t>
            </w:r>
          </w:p>
        </w:tc>
      </w:tr>
      <w:tr w:rsidR="00EE0C8C" w:rsidRPr="00EE0C8C" w:rsidTr="00A76BDB">
        <w:trPr>
          <w:trHeight w:val="255"/>
        </w:trPr>
        <w:tc>
          <w:tcPr>
            <w:tcW w:w="4000" w:type="dxa"/>
            <w:vMerge/>
            <w:tcBorders>
              <w:top w:val="single" w:sz="4" w:space="0" w:color="000000"/>
              <w:left w:val="single" w:sz="4" w:space="0" w:color="000000"/>
              <w:bottom w:val="single" w:sz="4" w:space="0" w:color="000000"/>
              <w:right w:val="single" w:sz="4" w:space="0" w:color="000000"/>
            </w:tcBorders>
            <w:vAlign w:val="center"/>
            <w:hideMark/>
          </w:tcPr>
          <w:p w:rsidR="00EE0C8C" w:rsidRPr="00EE0C8C" w:rsidRDefault="00EE0C8C" w:rsidP="00EE0C8C">
            <w:pPr>
              <w:spacing w:after="0" w:line="240" w:lineRule="auto"/>
              <w:rPr>
                <w:rFonts w:ascii="Arial" w:eastAsia="Times New Roman" w:hAnsi="Arial" w:cs="Arial"/>
                <w:b/>
                <w:bCs/>
                <w:color w:val="FFFFFF"/>
                <w:sz w:val="20"/>
                <w:szCs w:val="20"/>
                <w:lang w:eastAsia="pl-PL"/>
              </w:rPr>
            </w:pPr>
          </w:p>
        </w:tc>
        <w:tc>
          <w:tcPr>
            <w:tcW w:w="2880" w:type="dxa"/>
            <w:gridSpan w:val="3"/>
            <w:tcBorders>
              <w:top w:val="single" w:sz="4" w:space="0" w:color="000000"/>
              <w:left w:val="nil"/>
              <w:bottom w:val="single" w:sz="4" w:space="0" w:color="000000"/>
              <w:right w:val="single" w:sz="4" w:space="0" w:color="000000"/>
            </w:tcBorders>
            <w:shd w:val="clear" w:color="000000" w:fill="008080"/>
            <w:noWrap/>
            <w:vAlign w:val="center"/>
            <w:hideMark/>
          </w:tcPr>
          <w:p w:rsidR="00EE0C8C" w:rsidRPr="00EE0C8C" w:rsidRDefault="00EE0C8C" w:rsidP="00EE0C8C">
            <w:pPr>
              <w:spacing w:after="0" w:line="240" w:lineRule="auto"/>
              <w:jc w:val="center"/>
              <w:rPr>
                <w:rFonts w:ascii="Arial" w:eastAsia="Times New Roman" w:hAnsi="Arial" w:cs="Arial"/>
                <w:b/>
                <w:bCs/>
                <w:color w:val="FFFFFF"/>
                <w:sz w:val="20"/>
                <w:szCs w:val="20"/>
                <w:lang w:eastAsia="pl-PL"/>
              </w:rPr>
            </w:pPr>
            <w:r w:rsidRPr="00EE0C8C">
              <w:rPr>
                <w:rFonts w:ascii="Arial" w:eastAsia="Times New Roman" w:hAnsi="Arial" w:cs="Arial"/>
                <w:b/>
                <w:bCs/>
                <w:color w:val="FFFFFF"/>
                <w:sz w:val="20"/>
                <w:szCs w:val="20"/>
                <w:lang w:eastAsia="pl-PL"/>
              </w:rPr>
              <w:t>ogółem</w:t>
            </w:r>
          </w:p>
        </w:tc>
      </w:tr>
      <w:tr w:rsidR="00EE0C8C" w:rsidRPr="00EE0C8C" w:rsidTr="00A76BDB">
        <w:trPr>
          <w:trHeight w:val="255"/>
        </w:trPr>
        <w:tc>
          <w:tcPr>
            <w:tcW w:w="4000" w:type="dxa"/>
            <w:vMerge/>
            <w:tcBorders>
              <w:top w:val="single" w:sz="4" w:space="0" w:color="000000"/>
              <w:left w:val="single" w:sz="4" w:space="0" w:color="000000"/>
              <w:bottom w:val="single" w:sz="4" w:space="0" w:color="000000"/>
              <w:right w:val="single" w:sz="4" w:space="0" w:color="000000"/>
            </w:tcBorders>
            <w:vAlign w:val="center"/>
            <w:hideMark/>
          </w:tcPr>
          <w:p w:rsidR="00EE0C8C" w:rsidRPr="00EE0C8C" w:rsidRDefault="00EE0C8C" w:rsidP="00EE0C8C">
            <w:pPr>
              <w:spacing w:after="0" w:line="240" w:lineRule="auto"/>
              <w:rPr>
                <w:rFonts w:ascii="Arial" w:eastAsia="Times New Roman" w:hAnsi="Arial" w:cs="Arial"/>
                <w:b/>
                <w:bCs/>
                <w:color w:val="FFFFFF"/>
                <w:sz w:val="20"/>
                <w:szCs w:val="20"/>
                <w:lang w:eastAsia="pl-PL"/>
              </w:rPr>
            </w:pPr>
          </w:p>
        </w:tc>
        <w:tc>
          <w:tcPr>
            <w:tcW w:w="960" w:type="dxa"/>
            <w:tcBorders>
              <w:top w:val="nil"/>
              <w:left w:val="nil"/>
              <w:bottom w:val="single" w:sz="4" w:space="0" w:color="000000"/>
              <w:right w:val="single" w:sz="4" w:space="0" w:color="000000"/>
            </w:tcBorders>
            <w:shd w:val="clear" w:color="000000" w:fill="008080"/>
            <w:noWrap/>
            <w:vAlign w:val="center"/>
            <w:hideMark/>
          </w:tcPr>
          <w:p w:rsidR="00EE0C8C" w:rsidRPr="00EE0C8C" w:rsidRDefault="00EE0C8C" w:rsidP="00EE0C8C">
            <w:pPr>
              <w:spacing w:after="0" w:line="240" w:lineRule="auto"/>
              <w:jc w:val="center"/>
              <w:rPr>
                <w:rFonts w:ascii="Arial" w:eastAsia="Times New Roman" w:hAnsi="Arial" w:cs="Arial"/>
                <w:b/>
                <w:bCs/>
                <w:color w:val="FFFFFF"/>
                <w:sz w:val="20"/>
                <w:szCs w:val="20"/>
                <w:lang w:eastAsia="pl-PL"/>
              </w:rPr>
            </w:pPr>
            <w:r w:rsidRPr="00EE0C8C">
              <w:rPr>
                <w:rFonts w:ascii="Arial" w:eastAsia="Times New Roman" w:hAnsi="Arial" w:cs="Arial"/>
                <w:b/>
                <w:bCs/>
                <w:color w:val="FFFFFF"/>
                <w:sz w:val="20"/>
                <w:szCs w:val="20"/>
                <w:lang w:eastAsia="pl-PL"/>
              </w:rPr>
              <w:t>2012</w:t>
            </w:r>
          </w:p>
        </w:tc>
        <w:tc>
          <w:tcPr>
            <w:tcW w:w="960" w:type="dxa"/>
            <w:tcBorders>
              <w:top w:val="nil"/>
              <w:left w:val="nil"/>
              <w:bottom w:val="single" w:sz="4" w:space="0" w:color="000000"/>
              <w:right w:val="single" w:sz="4" w:space="0" w:color="000000"/>
            </w:tcBorders>
            <w:shd w:val="clear" w:color="000000" w:fill="008080"/>
            <w:noWrap/>
            <w:vAlign w:val="center"/>
            <w:hideMark/>
          </w:tcPr>
          <w:p w:rsidR="00EE0C8C" w:rsidRPr="00EE0C8C" w:rsidRDefault="00EE0C8C" w:rsidP="00EE0C8C">
            <w:pPr>
              <w:spacing w:after="0" w:line="240" w:lineRule="auto"/>
              <w:jc w:val="center"/>
              <w:rPr>
                <w:rFonts w:ascii="Arial" w:eastAsia="Times New Roman" w:hAnsi="Arial" w:cs="Arial"/>
                <w:b/>
                <w:bCs/>
                <w:color w:val="FFFFFF"/>
                <w:sz w:val="20"/>
                <w:szCs w:val="20"/>
                <w:lang w:eastAsia="pl-PL"/>
              </w:rPr>
            </w:pPr>
            <w:r w:rsidRPr="00EE0C8C">
              <w:rPr>
                <w:rFonts w:ascii="Arial" w:eastAsia="Times New Roman" w:hAnsi="Arial" w:cs="Arial"/>
                <w:b/>
                <w:bCs/>
                <w:color w:val="FFFFFF"/>
                <w:sz w:val="20"/>
                <w:szCs w:val="20"/>
                <w:lang w:eastAsia="pl-PL"/>
              </w:rPr>
              <w:t>2013</w:t>
            </w:r>
          </w:p>
        </w:tc>
        <w:tc>
          <w:tcPr>
            <w:tcW w:w="960" w:type="dxa"/>
            <w:tcBorders>
              <w:top w:val="nil"/>
              <w:left w:val="nil"/>
              <w:bottom w:val="single" w:sz="4" w:space="0" w:color="000000"/>
              <w:right w:val="single" w:sz="4" w:space="0" w:color="000000"/>
            </w:tcBorders>
            <w:shd w:val="clear" w:color="000000" w:fill="008080"/>
            <w:noWrap/>
            <w:vAlign w:val="center"/>
            <w:hideMark/>
          </w:tcPr>
          <w:p w:rsidR="00EE0C8C" w:rsidRPr="00EE0C8C" w:rsidRDefault="00EE0C8C" w:rsidP="00EE0C8C">
            <w:pPr>
              <w:spacing w:after="0" w:line="240" w:lineRule="auto"/>
              <w:jc w:val="center"/>
              <w:rPr>
                <w:rFonts w:ascii="Arial" w:eastAsia="Times New Roman" w:hAnsi="Arial" w:cs="Arial"/>
                <w:b/>
                <w:bCs/>
                <w:color w:val="FFFFFF"/>
                <w:sz w:val="20"/>
                <w:szCs w:val="20"/>
                <w:lang w:eastAsia="pl-PL"/>
              </w:rPr>
            </w:pPr>
            <w:r w:rsidRPr="00EE0C8C">
              <w:rPr>
                <w:rFonts w:ascii="Arial" w:eastAsia="Times New Roman" w:hAnsi="Arial" w:cs="Arial"/>
                <w:b/>
                <w:bCs/>
                <w:color w:val="FFFFFF"/>
                <w:sz w:val="20"/>
                <w:szCs w:val="20"/>
                <w:lang w:eastAsia="pl-PL"/>
              </w:rPr>
              <w:t>2014</w:t>
            </w:r>
          </w:p>
        </w:tc>
      </w:tr>
      <w:tr w:rsidR="00EE0C8C" w:rsidRPr="00EE0C8C" w:rsidTr="00A76BDB">
        <w:trPr>
          <w:trHeight w:val="255"/>
        </w:trPr>
        <w:tc>
          <w:tcPr>
            <w:tcW w:w="4000" w:type="dxa"/>
            <w:vMerge/>
            <w:tcBorders>
              <w:top w:val="single" w:sz="4" w:space="0" w:color="000000"/>
              <w:left w:val="single" w:sz="4" w:space="0" w:color="000000"/>
              <w:bottom w:val="single" w:sz="4" w:space="0" w:color="000000"/>
              <w:right w:val="single" w:sz="4" w:space="0" w:color="000000"/>
            </w:tcBorders>
            <w:vAlign w:val="center"/>
            <w:hideMark/>
          </w:tcPr>
          <w:p w:rsidR="00EE0C8C" w:rsidRPr="00EE0C8C" w:rsidRDefault="00EE0C8C" w:rsidP="00EE0C8C">
            <w:pPr>
              <w:spacing w:after="0" w:line="240" w:lineRule="auto"/>
              <w:rPr>
                <w:rFonts w:ascii="Arial" w:eastAsia="Times New Roman" w:hAnsi="Arial" w:cs="Arial"/>
                <w:b/>
                <w:bCs/>
                <w:color w:val="FFFFFF"/>
                <w:sz w:val="20"/>
                <w:szCs w:val="20"/>
                <w:lang w:eastAsia="pl-PL"/>
              </w:rPr>
            </w:pPr>
          </w:p>
        </w:tc>
        <w:tc>
          <w:tcPr>
            <w:tcW w:w="960" w:type="dxa"/>
            <w:tcBorders>
              <w:top w:val="nil"/>
              <w:left w:val="nil"/>
              <w:bottom w:val="single" w:sz="4" w:space="0" w:color="000000"/>
              <w:right w:val="single" w:sz="4" w:space="0" w:color="000000"/>
            </w:tcBorders>
            <w:shd w:val="clear" w:color="000000" w:fill="CCFFFF"/>
            <w:noWrap/>
            <w:vAlign w:val="center"/>
            <w:hideMark/>
          </w:tcPr>
          <w:p w:rsidR="00EE0C8C" w:rsidRPr="00EE0C8C" w:rsidRDefault="00EE0C8C" w:rsidP="00EE0C8C">
            <w:pPr>
              <w:spacing w:after="0" w:line="240" w:lineRule="auto"/>
              <w:jc w:val="center"/>
              <w:rPr>
                <w:rFonts w:ascii="Arial" w:eastAsia="Times New Roman" w:hAnsi="Arial" w:cs="Arial"/>
                <w:b/>
                <w:bCs/>
                <w:color w:val="008080"/>
                <w:sz w:val="20"/>
                <w:szCs w:val="20"/>
                <w:lang w:eastAsia="pl-PL"/>
              </w:rPr>
            </w:pPr>
            <w:r w:rsidRPr="00EE0C8C">
              <w:rPr>
                <w:rFonts w:ascii="Arial" w:eastAsia="Times New Roman" w:hAnsi="Arial" w:cs="Arial"/>
                <w:b/>
                <w:bCs/>
                <w:color w:val="008080"/>
                <w:sz w:val="20"/>
                <w:szCs w:val="20"/>
                <w:lang w:eastAsia="pl-PL"/>
              </w:rPr>
              <w:t>-</w:t>
            </w:r>
          </w:p>
        </w:tc>
        <w:tc>
          <w:tcPr>
            <w:tcW w:w="960" w:type="dxa"/>
            <w:tcBorders>
              <w:top w:val="nil"/>
              <w:left w:val="nil"/>
              <w:bottom w:val="single" w:sz="4" w:space="0" w:color="000000"/>
              <w:right w:val="single" w:sz="4" w:space="0" w:color="000000"/>
            </w:tcBorders>
            <w:shd w:val="clear" w:color="000000" w:fill="CCFFFF"/>
            <w:noWrap/>
            <w:vAlign w:val="center"/>
            <w:hideMark/>
          </w:tcPr>
          <w:p w:rsidR="00EE0C8C" w:rsidRPr="00EE0C8C" w:rsidRDefault="00EE0C8C" w:rsidP="00EE0C8C">
            <w:pPr>
              <w:spacing w:after="0" w:line="240" w:lineRule="auto"/>
              <w:jc w:val="center"/>
              <w:rPr>
                <w:rFonts w:ascii="Arial" w:eastAsia="Times New Roman" w:hAnsi="Arial" w:cs="Arial"/>
                <w:b/>
                <w:bCs/>
                <w:color w:val="008080"/>
                <w:sz w:val="20"/>
                <w:szCs w:val="20"/>
                <w:lang w:eastAsia="pl-PL"/>
              </w:rPr>
            </w:pPr>
            <w:r w:rsidRPr="00EE0C8C">
              <w:rPr>
                <w:rFonts w:ascii="Arial" w:eastAsia="Times New Roman" w:hAnsi="Arial" w:cs="Arial"/>
                <w:b/>
                <w:bCs/>
                <w:color w:val="008080"/>
                <w:sz w:val="20"/>
                <w:szCs w:val="20"/>
                <w:lang w:eastAsia="pl-PL"/>
              </w:rPr>
              <w:t>-</w:t>
            </w:r>
          </w:p>
        </w:tc>
        <w:tc>
          <w:tcPr>
            <w:tcW w:w="960" w:type="dxa"/>
            <w:tcBorders>
              <w:top w:val="nil"/>
              <w:left w:val="nil"/>
              <w:bottom w:val="single" w:sz="4" w:space="0" w:color="000000"/>
              <w:right w:val="single" w:sz="4" w:space="0" w:color="000000"/>
            </w:tcBorders>
            <w:shd w:val="clear" w:color="000000" w:fill="CCFFFF"/>
            <w:noWrap/>
            <w:vAlign w:val="center"/>
            <w:hideMark/>
          </w:tcPr>
          <w:p w:rsidR="00EE0C8C" w:rsidRPr="00EE0C8C" w:rsidRDefault="00EE0C8C" w:rsidP="00EE0C8C">
            <w:pPr>
              <w:spacing w:after="0" w:line="240" w:lineRule="auto"/>
              <w:jc w:val="center"/>
              <w:rPr>
                <w:rFonts w:ascii="Arial" w:eastAsia="Times New Roman" w:hAnsi="Arial" w:cs="Arial"/>
                <w:b/>
                <w:bCs/>
                <w:color w:val="008080"/>
                <w:sz w:val="20"/>
                <w:szCs w:val="20"/>
                <w:lang w:eastAsia="pl-PL"/>
              </w:rPr>
            </w:pPr>
            <w:r w:rsidRPr="00EE0C8C">
              <w:rPr>
                <w:rFonts w:ascii="Arial" w:eastAsia="Times New Roman" w:hAnsi="Arial" w:cs="Arial"/>
                <w:b/>
                <w:bCs/>
                <w:color w:val="008080"/>
                <w:sz w:val="20"/>
                <w:szCs w:val="20"/>
                <w:lang w:eastAsia="pl-PL"/>
              </w:rPr>
              <w:t>-</w:t>
            </w:r>
          </w:p>
        </w:tc>
      </w:tr>
      <w:tr w:rsidR="00EE0C8C" w:rsidRPr="00EE0C8C" w:rsidTr="00A76BDB">
        <w:trPr>
          <w:trHeight w:val="255"/>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rPr>
                <w:rFonts w:ascii="Arial" w:eastAsia="Times New Roman" w:hAnsi="Arial" w:cs="Arial"/>
                <w:sz w:val="20"/>
                <w:szCs w:val="20"/>
                <w:lang w:eastAsia="pl-PL"/>
              </w:rPr>
            </w:pPr>
            <w:r w:rsidRPr="00EE0C8C">
              <w:rPr>
                <w:rFonts w:ascii="Arial" w:eastAsia="Times New Roman" w:hAnsi="Arial" w:cs="Arial"/>
                <w:sz w:val="20"/>
                <w:szCs w:val="20"/>
                <w:lang w:eastAsia="pl-PL"/>
              </w:rPr>
              <w:t xml:space="preserve">Gmina Mirzec </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392</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433</w:t>
            </w:r>
          </w:p>
        </w:tc>
        <w:tc>
          <w:tcPr>
            <w:tcW w:w="960"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451</w:t>
            </w:r>
          </w:p>
        </w:tc>
      </w:tr>
    </w:tbl>
    <w:p w:rsidR="00EE0C8C" w:rsidRPr="00EE0C8C" w:rsidRDefault="00EE0C8C" w:rsidP="00EE0C8C">
      <w:pPr>
        <w:jc w:val="center"/>
        <w:rPr>
          <w:rFonts w:ascii="Calibri" w:eastAsia="Times New Roman" w:hAnsi="Calibri" w:cs="Times New Roman"/>
          <w:i/>
          <w:lang w:eastAsia="pl-PL"/>
        </w:rPr>
      </w:pPr>
      <w:r w:rsidRPr="00EE0C8C">
        <w:rPr>
          <w:rFonts w:ascii="Calibri" w:eastAsia="Times New Roman" w:hAnsi="Calibri" w:cs="Times New Roman"/>
          <w:i/>
          <w:lang w:eastAsia="pl-PL"/>
        </w:rPr>
        <w:t>(Źródło: Bank Danych Lokalnych)</w:t>
      </w:r>
    </w:p>
    <w:p w:rsidR="00EE0C8C" w:rsidRPr="00EE0C8C" w:rsidRDefault="00EE0C8C" w:rsidP="00A76BDB">
      <w:pPr>
        <w:pStyle w:val="Nagwek2"/>
        <w:rPr>
          <w:lang w:eastAsia="pl-PL"/>
        </w:rPr>
      </w:pPr>
      <w:bookmarkStart w:id="74" w:name="_Toc439077762"/>
      <w:bookmarkStart w:id="75" w:name="_Toc450562491"/>
      <w:r w:rsidRPr="00EE0C8C">
        <w:rPr>
          <w:lang w:eastAsia="pl-PL"/>
        </w:rPr>
        <w:t>2.2.2. OBSZARY AKTYWNOŚCI GOSPODARCZEJ W GMINIE</w:t>
      </w:r>
      <w:bookmarkEnd w:id="74"/>
      <w:bookmarkEnd w:id="75"/>
      <w:r w:rsidRPr="00EE0C8C">
        <w:rPr>
          <w:lang w:eastAsia="pl-PL"/>
        </w:rPr>
        <w:tab/>
      </w:r>
    </w:p>
    <w:p w:rsidR="00EE0C8C" w:rsidRPr="00EE0C8C" w:rsidRDefault="00EE0C8C" w:rsidP="00EE0C8C">
      <w:pPr>
        <w:jc w:val="both"/>
        <w:rPr>
          <w:rFonts w:ascii="Calibri" w:eastAsia="Times New Roman" w:hAnsi="Calibri" w:cs="Times New Roman"/>
          <w:lang w:eastAsia="pl-PL"/>
        </w:rPr>
      </w:pPr>
    </w:p>
    <w:p w:rsidR="00EE0C8C" w:rsidRPr="00EE0C8C" w:rsidRDefault="00EE0C8C" w:rsidP="00EE0C8C">
      <w:pPr>
        <w:jc w:val="both"/>
        <w:rPr>
          <w:rFonts w:ascii="Calibri" w:eastAsia="Times New Roman" w:hAnsi="Calibri" w:cs="Times New Roman"/>
          <w:color w:val="000000"/>
          <w:lang w:eastAsia="pl-PL"/>
        </w:rPr>
      </w:pPr>
      <w:r w:rsidRPr="00EE0C8C">
        <w:rPr>
          <w:rFonts w:ascii="Calibri" w:eastAsia="Times New Roman" w:hAnsi="Calibri" w:cs="Times New Roman"/>
          <w:color w:val="000000"/>
          <w:lang w:eastAsia="pl-PL"/>
        </w:rPr>
        <w:t>Pośród wszystkich podmiotów gospodarki narodowej przeważają osoby fizyczne prowadzące działalność gospodarczą  – 87,63 % ogółu podmiotów.</w:t>
      </w:r>
    </w:p>
    <w:p w:rsidR="00EE0C8C" w:rsidRPr="00EE0C8C" w:rsidRDefault="00EE0C8C" w:rsidP="00EE0C8C">
      <w:pPr>
        <w:jc w:val="both"/>
        <w:rPr>
          <w:rFonts w:ascii="Calibri" w:eastAsia="Times New Roman" w:hAnsi="Calibri" w:cs="Times New Roman"/>
          <w:color w:val="000000"/>
          <w:lang w:eastAsia="pl-PL"/>
        </w:rPr>
      </w:pPr>
      <w:r w:rsidRPr="00EE0C8C">
        <w:rPr>
          <w:rFonts w:ascii="Calibri" w:eastAsia="Times New Roman" w:hAnsi="Calibri" w:cs="Times New Roman"/>
          <w:color w:val="000000"/>
          <w:lang w:eastAsia="pl-PL"/>
        </w:rPr>
        <w:t xml:space="preserve">Najczęściej są to małe firmy rodzinne, które niestety nie generują dużej liczby  miejsc  pracy. </w:t>
      </w:r>
    </w:p>
    <w:p w:rsidR="00EE0C8C" w:rsidRPr="00EE0C8C" w:rsidRDefault="00EE0C8C" w:rsidP="00EE0C8C">
      <w:pPr>
        <w:jc w:val="both"/>
        <w:rPr>
          <w:rFonts w:ascii="Calibri" w:eastAsia="Times New Roman" w:hAnsi="Calibri" w:cs="Times New Roman"/>
          <w:color w:val="000000"/>
          <w:lang w:eastAsia="pl-PL"/>
        </w:rPr>
      </w:pPr>
      <w:r w:rsidRPr="00EE0C8C">
        <w:rPr>
          <w:rFonts w:ascii="Calibri" w:eastAsia="Times New Roman" w:hAnsi="Calibri" w:cs="Times New Roman"/>
          <w:color w:val="000000"/>
          <w:lang w:eastAsia="pl-PL"/>
        </w:rPr>
        <w:t xml:space="preserve">Największą dynamikę rozwojową w gospodarce Gminy Mirzec wykazuje sektor handlu oraz usług.  Przedmiotem  działalności  usługowej  na  terenie  gminy  jest  przede  wszystkim budownictwo </w:t>
      </w:r>
      <w:r w:rsidRPr="00EE0C8C">
        <w:rPr>
          <w:rFonts w:ascii="Calibri" w:eastAsia="Times New Roman" w:hAnsi="Calibri" w:cs="Times New Roman"/>
          <w:color w:val="000000"/>
          <w:lang w:eastAsia="pl-PL"/>
        </w:rPr>
        <w:br/>
      </w:r>
      <w:r w:rsidRPr="00EE0C8C">
        <w:rPr>
          <w:rFonts w:ascii="Calibri" w:eastAsia="Times New Roman" w:hAnsi="Calibri" w:cs="Times New Roman"/>
          <w:color w:val="000000"/>
          <w:lang w:eastAsia="pl-PL"/>
        </w:rPr>
        <w:lastRenderedPageBreak/>
        <w:t xml:space="preserve">i transport. Rzemiosło reprezentowane jest głównie przez stolarstwo. Na terenie gminy Mirzec brak jest dużych zakładów tworzących miejsca pracy , przez co większość mieszkańców dojeżdża do zakładów pracy w pobliskich gminach . </w:t>
      </w:r>
    </w:p>
    <w:p w:rsidR="00EE0C8C" w:rsidRPr="00EE0C8C" w:rsidRDefault="00EE0C8C" w:rsidP="00EE0C8C">
      <w:pPr>
        <w:spacing w:after="120"/>
        <w:jc w:val="both"/>
        <w:rPr>
          <w:rFonts w:ascii="Calibri" w:eastAsia="Times New Roman" w:hAnsi="Calibri" w:cs="Times New Roman"/>
          <w:color w:val="000000"/>
          <w:lang w:eastAsia="pl-PL"/>
        </w:rPr>
      </w:pPr>
      <w:r w:rsidRPr="00EE0C8C">
        <w:rPr>
          <w:rFonts w:ascii="Calibri" w:eastAsia="Times New Roman" w:hAnsi="Calibri" w:cs="Times New Roman"/>
          <w:color w:val="000000"/>
          <w:lang w:eastAsia="pl-PL"/>
        </w:rPr>
        <w:t xml:space="preserve">Działalność gospodarcza w Gminie Mirzec w ponad 30% skoncentrowana jest na terenie centralnych sołectw Gminy Mirzec : sołectwa Mirzec I i sołectwa Mirzec II . I tak na terenie sołectwa Mirzec I działa 37 podmiotów gospodarczych, a na terenie sołectwa Mirzec II działa 43 podmioty gospodarcze. </w:t>
      </w:r>
    </w:p>
    <w:p w:rsidR="00EE0C8C" w:rsidRPr="00EE0C8C" w:rsidRDefault="00EE0C8C" w:rsidP="00EE0C8C">
      <w:pPr>
        <w:spacing w:after="120"/>
        <w:ind w:firstLine="1134"/>
        <w:rPr>
          <w:rFonts w:ascii="Calibri" w:eastAsia="Times New Roman" w:hAnsi="Calibri" w:cs="Times New Roman"/>
          <w:lang w:eastAsia="pl-PL"/>
        </w:rPr>
      </w:pPr>
    </w:p>
    <w:p w:rsidR="00EE0C8C" w:rsidRPr="00EE0C8C" w:rsidRDefault="00EE0C8C" w:rsidP="00A76BDB">
      <w:pPr>
        <w:pStyle w:val="Nagwek2"/>
        <w:rPr>
          <w:lang w:eastAsia="pl-PL"/>
        </w:rPr>
      </w:pPr>
      <w:bookmarkStart w:id="76" w:name="_Toc439077764"/>
      <w:bookmarkStart w:id="77" w:name="_Toc450562492"/>
      <w:r w:rsidRPr="00EE0C8C">
        <w:rPr>
          <w:lang w:eastAsia="pl-PL"/>
        </w:rPr>
        <w:t>2.3. SFERA SPOŁECZNA</w:t>
      </w:r>
      <w:bookmarkEnd w:id="76"/>
      <w:bookmarkEnd w:id="77"/>
      <w:r w:rsidRPr="00EE0C8C">
        <w:rPr>
          <w:lang w:eastAsia="pl-PL"/>
        </w:rPr>
        <w:tab/>
      </w:r>
    </w:p>
    <w:p w:rsidR="00EE0C8C" w:rsidRPr="00EE0C8C" w:rsidRDefault="00EE0C8C" w:rsidP="00EE0C8C">
      <w:pPr>
        <w:keepNext/>
        <w:keepLines/>
        <w:spacing w:before="200" w:after="0"/>
        <w:outlineLvl w:val="2"/>
        <w:rPr>
          <w:rFonts w:ascii="Cambria" w:eastAsia="Times New Roman" w:hAnsi="Cambria" w:cs="Times New Roman"/>
          <w:b/>
          <w:bCs/>
          <w:color w:val="4F81BD"/>
          <w:lang w:eastAsia="pl-PL"/>
        </w:rPr>
      </w:pPr>
      <w:bookmarkStart w:id="78" w:name="_Toc439077765"/>
      <w:bookmarkStart w:id="79" w:name="_Toc450562493"/>
      <w:r w:rsidRPr="00EE0C8C">
        <w:rPr>
          <w:rFonts w:ascii="Cambria" w:eastAsia="Times New Roman" w:hAnsi="Cambria" w:cs="Times New Roman"/>
          <w:b/>
          <w:bCs/>
          <w:color w:val="4F81BD"/>
          <w:lang w:eastAsia="pl-PL"/>
        </w:rPr>
        <w:t>2.3.1. STRUKTURA DEMOGRAFICZNA</w:t>
      </w:r>
      <w:bookmarkEnd w:id="78"/>
      <w:bookmarkEnd w:id="79"/>
    </w:p>
    <w:p w:rsidR="00EE0C8C" w:rsidRPr="00EE0C8C" w:rsidRDefault="00EE0C8C" w:rsidP="00EE0C8C">
      <w:pPr>
        <w:rPr>
          <w:rFonts w:ascii="Calibri" w:eastAsia="Times New Roman" w:hAnsi="Calibri" w:cs="Times New Roman"/>
          <w:lang w:eastAsia="pl-PL"/>
        </w:rPr>
      </w:pPr>
      <w:r w:rsidRPr="00EE0C8C">
        <w:rPr>
          <w:rFonts w:ascii="Calibri" w:eastAsia="Times New Roman" w:hAnsi="Calibri" w:cs="Times New Roman"/>
          <w:lang w:eastAsia="pl-PL"/>
        </w:rPr>
        <w:t>Gminę Mirzec tworzy 10 sołectw obejmując obszar 111,10 km². W 2015 r. gminę zamieszkiwało</w:t>
      </w:r>
      <w:r w:rsidRPr="00EE0C8C">
        <w:rPr>
          <w:rFonts w:ascii="Calibri" w:eastAsia="Times New Roman" w:hAnsi="Calibri" w:cs="Times New Roman"/>
          <w:lang w:eastAsia="pl-PL"/>
        </w:rPr>
        <w:br/>
        <w:t>8 422 mieszkańców.</w:t>
      </w:r>
    </w:p>
    <w:tbl>
      <w:tblPr>
        <w:tblStyle w:val="redniasiatka3akcent51"/>
        <w:tblW w:w="7338" w:type="dxa"/>
        <w:tblLayout w:type="fixed"/>
        <w:tblLook w:val="04A0" w:firstRow="1" w:lastRow="0" w:firstColumn="1" w:lastColumn="0" w:noHBand="0" w:noVBand="1"/>
      </w:tblPr>
      <w:tblGrid>
        <w:gridCol w:w="2046"/>
        <w:gridCol w:w="1443"/>
        <w:gridCol w:w="1443"/>
        <w:gridCol w:w="959"/>
        <w:gridCol w:w="1447"/>
      </w:tblGrid>
      <w:tr w:rsidR="00EE0C8C" w:rsidRPr="00EE0C8C" w:rsidTr="00A76BDB">
        <w:trPr>
          <w:cnfStyle w:val="100000000000" w:firstRow="1" w:lastRow="0"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2046" w:type="dxa"/>
            <w:noWrap/>
            <w:hideMark/>
          </w:tcPr>
          <w:p w:rsidR="00EE0C8C" w:rsidRPr="00EE0C8C" w:rsidRDefault="00EE0C8C" w:rsidP="00EE0C8C">
            <w:pPr>
              <w:rPr>
                <w:rFonts w:ascii="Calibri" w:eastAsia="Times New Roman" w:hAnsi="Calibri" w:cs="Times New Roman"/>
                <w:color w:val="000000"/>
                <w:lang w:eastAsia="pl-PL"/>
              </w:rPr>
            </w:pPr>
            <w:r w:rsidRPr="00EE0C8C">
              <w:rPr>
                <w:rFonts w:ascii="Calibri" w:eastAsia="Times New Roman" w:hAnsi="Calibri" w:cs="Times New Roman"/>
                <w:color w:val="000000"/>
                <w:lang w:eastAsia="pl-PL"/>
              </w:rPr>
              <w:t>Sołectwo</w:t>
            </w:r>
          </w:p>
        </w:tc>
        <w:tc>
          <w:tcPr>
            <w:tcW w:w="1443" w:type="dxa"/>
            <w:noWrap/>
            <w:hideMark/>
          </w:tcPr>
          <w:p w:rsidR="00EE0C8C" w:rsidRPr="00EE0C8C" w:rsidRDefault="00EE0C8C" w:rsidP="00EE0C8C">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EE0C8C">
              <w:rPr>
                <w:rFonts w:ascii="Calibri" w:eastAsia="Times New Roman" w:hAnsi="Calibri" w:cs="Times New Roman"/>
                <w:color w:val="000000"/>
                <w:lang w:eastAsia="pl-PL"/>
              </w:rPr>
              <w:t>2012 r.</w:t>
            </w:r>
          </w:p>
        </w:tc>
        <w:tc>
          <w:tcPr>
            <w:tcW w:w="1443" w:type="dxa"/>
            <w:noWrap/>
            <w:hideMark/>
          </w:tcPr>
          <w:p w:rsidR="00EE0C8C" w:rsidRPr="00EE0C8C" w:rsidRDefault="00EE0C8C" w:rsidP="00EE0C8C">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EE0C8C">
              <w:rPr>
                <w:rFonts w:ascii="Calibri" w:eastAsia="Times New Roman" w:hAnsi="Calibri" w:cs="Times New Roman"/>
                <w:color w:val="000000"/>
                <w:lang w:eastAsia="pl-PL"/>
              </w:rPr>
              <w:t>2013 r.</w:t>
            </w:r>
          </w:p>
        </w:tc>
        <w:tc>
          <w:tcPr>
            <w:tcW w:w="959" w:type="dxa"/>
            <w:noWrap/>
            <w:hideMark/>
          </w:tcPr>
          <w:p w:rsidR="00EE0C8C" w:rsidRPr="00EE0C8C" w:rsidRDefault="00EE0C8C" w:rsidP="00EE0C8C">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EE0C8C">
              <w:rPr>
                <w:rFonts w:ascii="Calibri" w:eastAsia="Times New Roman" w:hAnsi="Calibri" w:cs="Times New Roman"/>
                <w:color w:val="000000"/>
                <w:lang w:eastAsia="pl-PL"/>
              </w:rPr>
              <w:t>2014 r.</w:t>
            </w:r>
          </w:p>
        </w:tc>
        <w:tc>
          <w:tcPr>
            <w:tcW w:w="1447" w:type="dxa"/>
          </w:tcPr>
          <w:p w:rsidR="00EE0C8C" w:rsidRPr="00EE0C8C" w:rsidRDefault="00EE0C8C" w:rsidP="00EE0C8C">
            <w:pPr>
              <w:jc w:val="right"/>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2015 rok</w:t>
            </w:r>
          </w:p>
        </w:tc>
      </w:tr>
      <w:tr w:rsidR="00EE0C8C" w:rsidRPr="00EE0C8C" w:rsidTr="00A76BDB">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2046" w:type="dxa"/>
            <w:noWrap/>
            <w:hideMark/>
          </w:tcPr>
          <w:p w:rsidR="00EE0C8C" w:rsidRPr="00EE0C8C" w:rsidRDefault="00EE0C8C" w:rsidP="00EE0C8C">
            <w:pPr>
              <w:rPr>
                <w:rFonts w:ascii="Calibri" w:eastAsia="Times New Roman" w:hAnsi="Calibri" w:cs="Times New Roman"/>
                <w:color w:val="000000"/>
                <w:lang w:eastAsia="pl-PL"/>
              </w:rPr>
            </w:pPr>
            <w:r w:rsidRPr="00EE0C8C">
              <w:rPr>
                <w:rFonts w:ascii="Calibri" w:eastAsia="Times New Roman" w:hAnsi="Calibri" w:cs="Times New Roman"/>
                <w:color w:val="000000"/>
                <w:lang w:eastAsia="pl-PL"/>
              </w:rPr>
              <w:t>Mirzec I</w:t>
            </w:r>
          </w:p>
        </w:tc>
        <w:tc>
          <w:tcPr>
            <w:tcW w:w="1443" w:type="dxa"/>
            <w:noWrap/>
            <w:hideMark/>
          </w:tcPr>
          <w:p w:rsidR="00EE0C8C" w:rsidRPr="00EE0C8C" w:rsidRDefault="00EE0C8C" w:rsidP="00EE0C8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EE0C8C">
              <w:rPr>
                <w:rFonts w:ascii="Calibri" w:eastAsia="Times New Roman" w:hAnsi="Calibri" w:cs="Times New Roman"/>
                <w:color w:val="000000"/>
                <w:lang w:eastAsia="pl-PL"/>
              </w:rPr>
              <w:t>1281</w:t>
            </w:r>
          </w:p>
        </w:tc>
        <w:tc>
          <w:tcPr>
            <w:tcW w:w="1443" w:type="dxa"/>
            <w:noWrap/>
            <w:hideMark/>
          </w:tcPr>
          <w:p w:rsidR="00EE0C8C" w:rsidRPr="00EE0C8C" w:rsidRDefault="00EE0C8C" w:rsidP="00EE0C8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EE0C8C">
              <w:rPr>
                <w:rFonts w:ascii="Calibri" w:eastAsia="Times New Roman" w:hAnsi="Calibri" w:cs="Times New Roman"/>
                <w:color w:val="000000"/>
                <w:lang w:eastAsia="pl-PL"/>
              </w:rPr>
              <w:t>1304</w:t>
            </w:r>
          </w:p>
        </w:tc>
        <w:tc>
          <w:tcPr>
            <w:tcW w:w="959" w:type="dxa"/>
            <w:noWrap/>
            <w:hideMark/>
          </w:tcPr>
          <w:p w:rsidR="00EE0C8C" w:rsidRPr="00EE0C8C" w:rsidRDefault="00EE0C8C" w:rsidP="00EE0C8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EE0C8C">
              <w:rPr>
                <w:rFonts w:ascii="Calibri" w:eastAsia="Times New Roman" w:hAnsi="Calibri" w:cs="Times New Roman"/>
                <w:color w:val="000000"/>
                <w:lang w:eastAsia="pl-PL"/>
              </w:rPr>
              <w:t>1298</w:t>
            </w:r>
          </w:p>
        </w:tc>
        <w:tc>
          <w:tcPr>
            <w:tcW w:w="1447" w:type="dxa"/>
          </w:tcPr>
          <w:p w:rsidR="00EE0C8C" w:rsidRPr="00EE0C8C" w:rsidRDefault="00EE0C8C" w:rsidP="00EE0C8C">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1325</w:t>
            </w:r>
          </w:p>
        </w:tc>
      </w:tr>
      <w:tr w:rsidR="00EE0C8C" w:rsidRPr="00EE0C8C" w:rsidTr="00A76BDB">
        <w:trPr>
          <w:trHeight w:val="367"/>
        </w:trPr>
        <w:tc>
          <w:tcPr>
            <w:cnfStyle w:val="001000000000" w:firstRow="0" w:lastRow="0" w:firstColumn="1" w:lastColumn="0" w:oddVBand="0" w:evenVBand="0" w:oddHBand="0" w:evenHBand="0" w:firstRowFirstColumn="0" w:firstRowLastColumn="0" w:lastRowFirstColumn="0" w:lastRowLastColumn="0"/>
            <w:tcW w:w="2046" w:type="dxa"/>
            <w:noWrap/>
            <w:hideMark/>
          </w:tcPr>
          <w:p w:rsidR="00EE0C8C" w:rsidRPr="00EE0C8C" w:rsidRDefault="00EE0C8C" w:rsidP="00EE0C8C">
            <w:pPr>
              <w:rPr>
                <w:rFonts w:ascii="Calibri" w:eastAsia="Times New Roman" w:hAnsi="Calibri" w:cs="Times New Roman"/>
                <w:color w:val="000000"/>
                <w:lang w:eastAsia="pl-PL"/>
              </w:rPr>
            </w:pPr>
            <w:r w:rsidRPr="00EE0C8C">
              <w:rPr>
                <w:rFonts w:ascii="Calibri" w:eastAsia="Times New Roman" w:hAnsi="Calibri" w:cs="Times New Roman"/>
                <w:color w:val="000000"/>
                <w:lang w:eastAsia="pl-PL"/>
              </w:rPr>
              <w:t>Mirzec II</w:t>
            </w:r>
          </w:p>
        </w:tc>
        <w:tc>
          <w:tcPr>
            <w:tcW w:w="1443" w:type="dxa"/>
            <w:noWrap/>
            <w:hideMark/>
          </w:tcPr>
          <w:p w:rsidR="00EE0C8C" w:rsidRPr="00EE0C8C" w:rsidRDefault="00EE0C8C" w:rsidP="00EE0C8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EE0C8C">
              <w:rPr>
                <w:rFonts w:ascii="Calibri" w:eastAsia="Times New Roman" w:hAnsi="Calibri" w:cs="Times New Roman"/>
                <w:color w:val="000000"/>
                <w:lang w:eastAsia="pl-PL"/>
              </w:rPr>
              <w:t>895</w:t>
            </w:r>
          </w:p>
        </w:tc>
        <w:tc>
          <w:tcPr>
            <w:tcW w:w="1443" w:type="dxa"/>
            <w:noWrap/>
            <w:hideMark/>
          </w:tcPr>
          <w:p w:rsidR="00EE0C8C" w:rsidRPr="00EE0C8C" w:rsidRDefault="00EE0C8C" w:rsidP="00EE0C8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EE0C8C">
              <w:rPr>
                <w:rFonts w:ascii="Calibri" w:eastAsia="Times New Roman" w:hAnsi="Calibri" w:cs="Times New Roman"/>
                <w:color w:val="000000"/>
                <w:lang w:eastAsia="pl-PL"/>
              </w:rPr>
              <w:t>903</w:t>
            </w:r>
          </w:p>
        </w:tc>
        <w:tc>
          <w:tcPr>
            <w:tcW w:w="959" w:type="dxa"/>
            <w:noWrap/>
            <w:hideMark/>
          </w:tcPr>
          <w:p w:rsidR="00EE0C8C" w:rsidRPr="00EE0C8C" w:rsidRDefault="00EE0C8C" w:rsidP="00EE0C8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EE0C8C">
              <w:rPr>
                <w:rFonts w:ascii="Calibri" w:eastAsia="Times New Roman" w:hAnsi="Calibri" w:cs="Times New Roman"/>
                <w:color w:val="000000"/>
                <w:lang w:eastAsia="pl-PL"/>
              </w:rPr>
              <w:t>899</w:t>
            </w:r>
          </w:p>
        </w:tc>
        <w:tc>
          <w:tcPr>
            <w:tcW w:w="1447" w:type="dxa"/>
          </w:tcPr>
          <w:p w:rsidR="00EE0C8C" w:rsidRPr="00EE0C8C" w:rsidRDefault="00EE0C8C" w:rsidP="00EE0C8C">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837</w:t>
            </w:r>
          </w:p>
        </w:tc>
      </w:tr>
      <w:tr w:rsidR="00EE0C8C" w:rsidRPr="00EE0C8C" w:rsidTr="00A76BDB">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2046" w:type="dxa"/>
            <w:noWrap/>
            <w:hideMark/>
          </w:tcPr>
          <w:p w:rsidR="00EE0C8C" w:rsidRPr="00EE0C8C" w:rsidRDefault="00EE0C8C" w:rsidP="00EE0C8C">
            <w:pPr>
              <w:rPr>
                <w:rFonts w:ascii="Calibri" w:eastAsia="Times New Roman" w:hAnsi="Calibri" w:cs="Times New Roman"/>
                <w:color w:val="000000"/>
                <w:lang w:eastAsia="pl-PL"/>
              </w:rPr>
            </w:pPr>
            <w:r w:rsidRPr="00EE0C8C">
              <w:rPr>
                <w:rFonts w:ascii="Calibri" w:eastAsia="Times New Roman" w:hAnsi="Calibri" w:cs="Times New Roman"/>
                <w:color w:val="000000"/>
                <w:lang w:eastAsia="pl-PL"/>
              </w:rPr>
              <w:t>Trębowiec</w:t>
            </w:r>
          </w:p>
        </w:tc>
        <w:tc>
          <w:tcPr>
            <w:tcW w:w="1443" w:type="dxa"/>
            <w:noWrap/>
            <w:hideMark/>
          </w:tcPr>
          <w:p w:rsidR="00EE0C8C" w:rsidRPr="00EE0C8C" w:rsidRDefault="00EE0C8C" w:rsidP="00EE0C8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EE0C8C">
              <w:rPr>
                <w:rFonts w:ascii="Calibri" w:eastAsia="Times New Roman" w:hAnsi="Calibri" w:cs="Times New Roman"/>
                <w:color w:val="000000"/>
                <w:lang w:eastAsia="pl-PL"/>
              </w:rPr>
              <w:t>574</w:t>
            </w:r>
          </w:p>
        </w:tc>
        <w:tc>
          <w:tcPr>
            <w:tcW w:w="1443" w:type="dxa"/>
            <w:noWrap/>
            <w:hideMark/>
          </w:tcPr>
          <w:p w:rsidR="00EE0C8C" w:rsidRPr="00EE0C8C" w:rsidRDefault="00EE0C8C" w:rsidP="00EE0C8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EE0C8C">
              <w:rPr>
                <w:rFonts w:ascii="Calibri" w:eastAsia="Times New Roman" w:hAnsi="Calibri" w:cs="Times New Roman"/>
                <w:color w:val="000000"/>
                <w:lang w:eastAsia="pl-PL"/>
              </w:rPr>
              <w:t>570</w:t>
            </w:r>
          </w:p>
        </w:tc>
        <w:tc>
          <w:tcPr>
            <w:tcW w:w="959" w:type="dxa"/>
            <w:noWrap/>
            <w:hideMark/>
          </w:tcPr>
          <w:p w:rsidR="00EE0C8C" w:rsidRPr="00EE0C8C" w:rsidRDefault="00EE0C8C" w:rsidP="00EE0C8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EE0C8C">
              <w:rPr>
                <w:rFonts w:ascii="Calibri" w:eastAsia="Times New Roman" w:hAnsi="Calibri" w:cs="Times New Roman"/>
                <w:color w:val="000000"/>
                <w:lang w:eastAsia="pl-PL"/>
              </w:rPr>
              <w:t>572</w:t>
            </w:r>
          </w:p>
        </w:tc>
        <w:tc>
          <w:tcPr>
            <w:tcW w:w="1447" w:type="dxa"/>
          </w:tcPr>
          <w:p w:rsidR="00EE0C8C" w:rsidRPr="00EE0C8C" w:rsidRDefault="00EE0C8C" w:rsidP="00EE0C8C">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572</w:t>
            </w:r>
          </w:p>
        </w:tc>
      </w:tr>
      <w:tr w:rsidR="00EE0C8C" w:rsidRPr="00EE0C8C" w:rsidTr="00A76BDB">
        <w:trPr>
          <w:gridAfter w:val="1"/>
          <w:wAfter w:w="1447" w:type="dxa"/>
        </w:trPr>
        <w:tc>
          <w:tcPr>
            <w:cnfStyle w:val="001000000000" w:firstRow="0" w:lastRow="0" w:firstColumn="1" w:lastColumn="0" w:oddVBand="0" w:evenVBand="0" w:oddHBand="0" w:evenHBand="0" w:firstRowFirstColumn="0" w:firstRowLastColumn="0" w:lastRowFirstColumn="0" w:lastRowLastColumn="0"/>
            <w:tcW w:w="2046" w:type="dxa"/>
            <w:noWrap/>
            <w:hideMark/>
          </w:tcPr>
          <w:p w:rsidR="00EE0C8C" w:rsidRPr="00EE0C8C" w:rsidRDefault="00EE0C8C" w:rsidP="00EE0C8C">
            <w:pPr>
              <w:rPr>
                <w:rFonts w:ascii="Calibri" w:eastAsia="Times New Roman" w:hAnsi="Calibri" w:cs="Times New Roman"/>
                <w:color w:val="000000"/>
              </w:rPr>
            </w:pPr>
          </w:p>
        </w:tc>
        <w:tc>
          <w:tcPr>
            <w:tcW w:w="1443" w:type="dxa"/>
            <w:noWrap/>
            <w:hideMark/>
          </w:tcPr>
          <w:p w:rsidR="00EE0C8C" w:rsidRPr="00EE0C8C" w:rsidRDefault="00EE0C8C" w:rsidP="00EE0C8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c>
          <w:tcPr>
            <w:tcW w:w="1443" w:type="dxa"/>
            <w:noWrap/>
            <w:hideMark/>
          </w:tcPr>
          <w:p w:rsidR="00EE0C8C" w:rsidRPr="00EE0C8C" w:rsidRDefault="00EE0C8C" w:rsidP="00EE0C8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c>
          <w:tcPr>
            <w:tcW w:w="959" w:type="dxa"/>
            <w:noWrap/>
            <w:hideMark/>
          </w:tcPr>
          <w:p w:rsidR="00EE0C8C" w:rsidRPr="00EE0C8C" w:rsidRDefault="00EE0C8C" w:rsidP="00EE0C8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r>
      <w:tr w:rsidR="00EE0C8C" w:rsidRPr="00EE0C8C" w:rsidTr="00A76BDB">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2046" w:type="dxa"/>
            <w:noWrap/>
            <w:hideMark/>
          </w:tcPr>
          <w:p w:rsidR="00EE0C8C" w:rsidRPr="00EE0C8C" w:rsidRDefault="00EE0C8C" w:rsidP="00EE0C8C">
            <w:pPr>
              <w:rPr>
                <w:rFonts w:ascii="Calibri" w:eastAsia="Times New Roman" w:hAnsi="Calibri" w:cs="Times New Roman"/>
                <w:color w:val="000000"/>
                <w:lang w:eastAsia="pl-PL"/>
              </w:rPr>
            </w:pPr>
            <w:r w:rsidRPr="00EE0C8C">
              <w:rPr>
                <w:rFonts w:ascii="Calibri" w:eastAsia="Times New Roman" w:hAnsi="Calibri" w:cs="Times New Roman"/>
                <w:color w:val="000000"/>
                <w:lang w:eastAsia="pl-PL"/>
              </w:rPr>
              <w:t>Osiny</w:t>
            </w:r>
          </w:p>
        </w:tc>
        <w:tc>
          <w:tcPr>
            <w:tcW w:w="1443" w:type="dxa"/>
            <w:noWrap/>
            <w:hideMark/>
          </w:tcPr>
          <w:p w:rsidR="00EE0C8C" w:rsidRPr="00EE0C8C" w:rsidRDefault="00EE0C8C" w:rsidP="00EE0C8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EE0C8C">
              <w:rPr>
                <w:rFonts w:ascii="Calibri" w:eastAsia="Times New Roman" w:hAnsi="Calibri" w:cs="Times New Roman"/>
                <w:color w:val="000000"/>
                <w:lang w:eastAsia="pl-PL"/>
              </w:rPr>
              <w:t>897</w:t>
            </w:r>
          </w:p>
        </w:tc>
        <w:tc>
          <w:tcPr>
            <w:tcW w:w="1443" w:type="dxa"/>
            <w:noWrap/>
            <w:hideMark/>
          </w:tcPr>
          <w:p w:rsidR="00EE0C8C" w:rsidRPr="00EE0C8C" w:rsidRDefault="00EE0C8C" w:rsidP="00EE0C8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EE0C8C">
              <w:rPr>
                <w:rFonts w:ascii="Calibri" w:eastAsia="Times New Roman" w:hAnsi="Calibri" w:cs="Times New Roman"/>
                <w:color w:val="000000"/>
                <w:lang w:eastAsia="pl-PL"/>
              </w:rPr>
              <w:t>886</w:t>
            </w:r>
          </w:p>
        </w:tc>
        <w:tc>
          <w:tcPr>
            <w:tcW w:w="959" w:type="dxa"/>
            <w:noWrap/>
            <w:hideMark/>
          </w:tcPr>
          <w:p w:rsidR="00EE0C8C" w:rsidRPr="00EE0C8C" w:rsidRDefault="00EE0C8C" w:rsidP="00EE0C8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EE0C8C">
              <w:rPr>
                <w:rFonts w:ascii="Calibri" w:eastAsia="Times New Roman" w:hAnsi="Calibri" w:cs="Times New Roman"/>
                <w:color w:val="000000"/>
                <w:lang w:eastAsia="pl-PL"/>
              </w:rPr>
              <w:t>891</w:t>
            </w:r>
          </w:p>
        </w:tc>
        <w:tc>
          <w:tcPr>
            <w:tcW w:w="1447" w:type="dxa"/>
          </w:tcPr>
          <w:p w:rsidR="00EE0C8C" w:rsidRPr="00EE0C8C" w:rsidRDefault="00EE0C8C" w:rsidP="00EE0C8C">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896</w:t>
            </w:r>
          </w:p>
        </w:tc>
      </w:tr>
      <w:tr w:rsidR="00EE0C8C" w:rsidRPr="00EE0C8C" w:rsidTr="00A76BDB">
        <w:trPr>
          <w:trHeight w:val="367"/>
        </w:trPr>
        <w:tc>
          <w:tcPr>
            <w:cnfStyle w:val="001000000000" w:firstRow="0" w:lastRow="0" w:firstColumn="1" w:lastColumn="0" w:oddVBand="0" w:evenVBand="0" w:oddHBand="0" w:evenHBand="0" w:firstRowFirstColumn="0" w:firstRowLastColumn="0" w:lastRowFirstColumn="0" w:lastRowLastColumn="0"/>
            <w:tcW w:w="2046" w:type="dxa"/>
            <w:noWrap/>
            <w:hideMark/>
          </w:tcPr>
          <w:p w:rsidR="00EE0C8C" w:rsidRPr="00EE0C8C" w:rsidRDefault="00EE0C8C" w:rsidP="00EE0C8C">
            <w:pPr>
              <w:rPr>
                <w:rFonts w:ascii="Calibri" w:eastAsia="Times New Roman" w:hAnsi="Calibri" w:cs="Times New Roman"/>
                <w:color w:val="000000"/>
                <w:lang w:eastAsia="pl-PL"/>
              </w:rPr>
            </w:pPr>
            <w:r w:rsidRPr="00EE0C8C">
              <w:rPr>
                <w:rFonts w:ascii="Calibri" w:eastAsia="Times New Roman" w:hAnsi="Calibri" w:cs="Times New Roman"/>
                <w:color w:val="000000"/>
                <w:lang w:eastAsia="pl-PL"/>
              </w:rPr>
              <w:t>Gadka</w:t>
            </w:r>
          </w:p>
        </w:tc>
        <w:tc>
          <w:tcPr>
            <w:tcW w:w="1443" w:type="dxa"/>
            <w:noWrap/>
            <w:hideMark/>
          </w:tcPr>
          <w:p w:rsidR="00EE0C8C" w:rsidRPr="00EE0C8C" w:rsidRDefault="00EE0C8C" w:rsidP="00EE0C8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EE0C8C">
              <w:rPr>
                <w:rFonts w:ascii="Calibri" w:eastAsia="Times New Roman" w:hAnsi="Calibri" w:cs="Times New Roman"/>
                <w:color w:val="000000"/>
                <w:lang w:eastAsia="pl-PL"/>
              </w:rPr>
              <w:t>1254</w:t>
            </w:r>
          </w:p>
        </w:tc>
        <w:tc>
          <w:tcPr>
            <w:tcW w:w="1443" w:type="dxa"/>
            <w:noWrap/>
            <w:hideMark/>
          </w:tcPr>
          <w:p w:rsidR="00EE0C8C" w:rsidRPr="00EE0C8C" w:rsidRDefault="00EE0C8C" w:rsidP="00EE0C8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EE0C8C">
              <w:rPr>
                <w:rFonts w:ascii="Calibri" w:eastAsia="Times New Roman" w:hAnsi="Calibri" w:cs="Times New Roman"/>
                <w:color w:val="000000"/>
                <w:lang w:eastAsia="pl-PL"/>
              </w:rPr>
              <w:t>1248</w:t>
            </w:r>
          </w:p>
        </w:tc>
        <w:tc>
          <w:tcPr>
            <w:tcW w:w="959" w:type="dxa"/>
            <w:noWrap/>
            <w:hideMark/>
          </w:tcPr>
          <w:p w:rsidR="00EE0C8C" w:rsidRPr="00EE0C8C" w:rsidRDefault="00EE0C8C" w:rsidP="00EE0C8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EE0C8C">
              <w:rPr>
                <w:rFonts w:ascii="Calibri" w:eastAsia="Times New Roman" w:hAnsi="Calibri" w:cs="Times New Roman"/>
                <w:color w:val="000000"/>
                <w:lang w:eastAsia="pl-PL"/>
              </w:rPr>
              <w:t>1241</w:t>
            </w:r>
          </w:p>
        </w:tc>
        <w:tc>
          <w:tcPr>
            <w:tcW w:w="1447" w:type="dxa"/>
          </w:tcPr>
          <w:p w:rsidR="00EE0C8C" w:rsidRPr="00EE0C8C" w:rsidRDefault="00EE0C8C" w:rsidP="00EE0C8C">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1221</w:t>
            </w:r>
          </w:p>
        </w:tc>
      </w:tr>
      <w:tr w:rsidR="00EE0C8C" w:rsidRPr="00EE0C8C" w:rsidTr="00A76BDB">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2046" w:type="dxa"/>
            <w:noWrap/>
            <w:hideMark/>
          </w:tcPr>
          <w:p w:rsidR="00EE0C8C" w:rsidRPr="00EE0C8C" w:rsidRDefault="00EE0C8C" w:rsidP="00EE0C8C">
            <w:pPr>
              <w:rPr>
                <w:rFonts w:ascii="Calibri" w:eastAsia="Times New Roman" w:hAnsi="Calibri" w:cs="Times New Roman"/>
                <w:color w:val="000000"/>
                <w:lang w:eastAsia="pl-PL"/>
              </w:rPr>
            </w:pPr>
            <w:r w:rsidRPr="00EE0C8C">
              <w:rPr>
                <w:rFonts w:ascii="Calibri" w:eastAsia="Times New Roman" w:hAnsi="Calibri" w:cs="Times New Roman"/>
                <w:color w:val="000000"/>
                <w:lang w:eastAsia="pl-PL"/>
              </w:rPr>
              <w:t>Tychów Stary</w:t>
            </w:r>
          </w:p>
        </w:tc>
        <w:tc>
          <w:tcPr>
            <w:tcW w:w="1443" w:type="dxa"/>
            <w:noWrap/>
            <w:hideMark/>
          </w:tcPr>
          <w:p w:rsidR="00EE0C8C" w:rsidRPr="00EE0C8C" w:rsidRDefault="00EE0C8C" w:rsidP="00EE0C8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EE0C8C">
              <w:rPr>
                <w:rFonts w:ascii="Calibri" w:eastAsia="Times New Roman" w:hAnsi="Calibri" w:cs="Times New Roman"/>
                <w:color w:val="000000"/>
                <w:lang w:eastAsia="pl-PL"/>
              </w:rPr>
              <w:t>866</w:t>
            </w:r>
          </w:p>
        </w:tc>
        <w:tc>
          <w:tcPr>
            <w:tcW w:w="1443" w:type="dxa"/>
            <w:noWrap/>
            <w:hideMark/>
          </w:tcPr>
          <w:p w:rsidR="00EE0C8C" w:rsidRPr="00EE0C8C" w:rsidRDefault="00EE0C8C" w:rsidP="00EE0C8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EE0C8C">
              <w:rPr>
                <w:rFonts w:ascii="Calibri" w:eastAsia="Times New Roman" w:hAnsi="Calibri" w:cs="Times New Roman"/>
                <w:color w:val="000000"/>
                <w:lang w:eastAsia="pl-PL"/>
              </w:rPr>
              <w:t>854</w:t>
            </w:r>
          </w:p>
        </w:tc>
        <w:tc>
          <w:tcPr>
            <w:tcW w:w="959" w:type="dxa"/>
            <w:noWrap/>
            <w:hideMark/>
          </w:tcPr>
          <w:p w:rsidR="00EE0C8C" w:rsidRPr="00EE0C8C" w:rsidRDefault="00EE0C8C" w:rsidP="00EE0C8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EE0C8C">
              <w:rPr>
                <w:rFonts w:ascii="Calibri" w:eastAsia="Times New Roman" w:hAnsi="Calibri" w:cs="Times New Roman"/>
                <w:color w:val="000000"/>
                <w:lang w:eastAsia="pl-PL"/>
              </w:rPr>
              <w:t>857</w:t>
            </w:r>
          </w:p>
        </w:tc>
        <w:tc>
          <w:tcPr>
            <w:tcW w:w="1447" w:type="dxa"/>
          </w:tcPr>
          <w:p w:rsidR="00EE0C8C" w:rsidRPr="00EE0C8C" w:rsidRDefault="00EE0C8C" w:rsidP="00EE0C8C">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839</w:t>
            </w:r>
          </w:p>
        </w:tc>
      </w:tr>
      <w:tr w:rsidR="00EE0C8C" w:rsidRPr="00EE0C8C" w:rsidTr="00A76BDB">
        <w:trPr>
          <w:trHeight w:val="367"/>
        </w:trPr>
        <w:tc>
          <w:tcPr>
            <w:cnfStyle w:val="001000000000" w:firstRow="0" w:lastRow="0" w:firstColumn="1" w:lastColumn="0" w:oddVBand="0" w:evenVBand="0" w:oddHBand="0" w:evenHBand="0" w:firstRowFirstColumn="0" w:firstRowLastColumn="0" w:lastRowFirstColumn="0" w:lastRowLastColumn="0"/>
            <w:tcW w:w="2046" w:type="dxa"/>
            <w:noWrap/>
            <w:hideMark/>
          </w:tcPr>
          <w:p w:rsidR="00EE0C8C" w:rsidRPr="00EE0C8C" w:rsidRDefault="00EE0C8C" w:rsidP="00EE0C8C">
            <w:pPr>
              <w:rPr>
                <w:rFonts w:ascii="Calibri" w:eastAsia="Times New Roman" w:hAnsi="Calibri" w:cs="Times New Roman"/>
                <w:color w:val="000000"/>
                <w:lang w:eastAsia="pl-PL"/>
              </w:rPr>
            </w:pPr>
            <w:r w:rsidRPr="00EE0C8C">
              <w:rPr>
                <w:rFonts w:ascii="Calibri" w:eastAsia="Times New Roman" w:hAnsi="Calibri" w:cs="Times New Roman"/>
                <w:color w:val="000000"/>
                <w:lang w:eastAsia="pl-PL"/>
              </w:rPr>
              <w:t>Ostrożanka</w:t>
            </w:r>
          </w:p>
        </w:tc>
        <w:tc>
          <w:tcPr>
            <w:tcW w:w="1443" w:type="dxa"/>
            <w:noWrap/>
            <w:hideMark/>
          </w:tcPr>
          <w:p w:rsidR="00EE0C8C" w:rsidRPr="00EE0C8C" w:rsidRDefault="00EE0C8C" w:rsidP="00EE0C8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EE0C8C">
              <w:rPr>
                <w:rFonts w:ascii="Calibri" w:eastAsia="Times New Roman" w:hAnsi="Calibri" w:cs="Times New Roman"/>
                <w:color w:val="000000"/>
                <w:lang w:eastAsia="pl-PL"/>
              </w:rPr>
              <w:t>432</w:t>
            </w:r>
          </w:p>
        </w:tc>
        <w:tc>
          <w:tcPr>
            <w:tcW w:w="1443" w:type="dxa"/>
            <w:noWrap/>
            <w:hideMark/>
          </w:tcPr>
          <w:p w:rsidR="00EE0C8C" w:rsidRPr="00EE0C8C" w:rsidRDefault="00EE0C8C" w:rsidP="00EE0C8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EE0C8C">
              <w:rPr>
                <w:rFonts w:ascii="Calibri" w:eastAsia="Times New Roman" w:hAnsi="Calibri" w:cs="Times New Roman"/>
                <w:color w:val="000000"/>
                <w:lang w:eastAsia="pl-PL"/>
              </w:rPr>
              <w:t>440</w:t>
            </w:r>
          </w:p>
        </w:tc>
        <w:tc>
          <w:tcPr>
            <w:tcW w:w="959" w:type="dxa"/>
            <w:noWrap/>
            <w:hideMark/>
          </w:tcPr>
          <w:p w:rsidR="00EE0C8C" w:rsidRPr="00EE0C8C" w:rsidRDefault="00EE0C8C" w:rsidP="00EE0C8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EE0C8C">
              <w:rPr>
                <w:rFonts w:ascii="Calibri" w:eastAsia="Times New Roman" w:hAnsi="Calibri" w:cs="Times New Roman"/>
                <w:color w:val="000000"/>
                <w:lang w:eastAsia="pl-PL"/>
              </w:rPr>
              <w:t>433</w:t>
            </w:r>
          </w:p>
        </w:tc>
        <w:tc>
          <w:tcPr>
            <w:tcW w:w="1447" w:type="dxa"/>
          </w:tcPr>
          <w:p w:rsidR="00EE0C8C" w:rsidRPr="00EE0C8C" w:rsidRDefault="00EE0C8C" w:rsidP="00EE0C8C">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433</w:t>
            </w:r>
          </w:p>
        </w:tc>
      </w:tr>
      <w:tr w:rsidR="00EE0C8C" w:rsidRPr="00EE0C8C" w:rsidTr="00A76BDB">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046" w:type="dxa"/>
            <w:noWrap/>
            <w:hideMark/>
          </w:tcPr>
          <w:p w:rsidR="00EE0C8C" w:rsidRPr="00EE0C8C" w:rsidRDefault="00EE0C8C" w:rsidP="00EE0C8C">
            <w:pPr>
              <w:rPr>
                <w:rFonts w:ascii="Calibri" w:eastAsia="Times New Roman" w:hAnsi="Calibri" w:cs="Times New Roman"/>
                <w:color w:val="000000"/>
                <w:lang w:eastAsia="pl-PL"/>
              </w:rPr>
            </w:pPr>
            <w:r w:rsidRPr="00EE0C8C">
              <w:rPr>
                <w:rFonts w:ascii="Calibri" w:eastAsia="Times New Roman" w:hAnsi="Calibri" w:cs="Times New Roman"/>
                <w:color w:val="000000"/>
                <w:lang w:eastAsia="pl-PL"/>
              </w:rPr>
              <w:t>Małyszyn</w:t>
            </w:r>
          </w:p>
        </w:tc>
        <w:tc>
          <w:tcPr>
            <w:tcW w:w="1443" w:type="dxa"/>
            <w:noWrap/>
            <w:hideMark/>
          </w:tcPr>
          <w:p w:rsidR="00EE0C8C" w:rsidRPr="00EE0C8C" w:rsidRDefault="00EE0C8C" w:rsidP="00EE0C8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EE0C8C">
              <w:rPr>
                <w:rFonts w:ascii="Calibri" w:eastAsia="Times New Roman" w:hAnsi="Calibri" w:cs="Times New Roman"/>
                <w:color w:val="000000"/>
                <w:lang w:eastAsia="pl-PL"/>
              </w:rPr>
              <w:t>975</w:t>
            </w:r>
          </w:p>
        </w:tc>
        <w:tc>
          <w:tcPr>
            <w:tcW w:w="1443" w:type="dxa"/>
            <w:noWrap/>
            <w:hideMark/>
          </w:tcPr>
          <w:p w:rsidR="00EE0C8C" w:rsidRPr="00EE0C8C" w:rsidRDefault="00EE0C8C" w:rsidP="00EE0C8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EE0C8C">
              <w:rPr>
                <w:rFonts w:ascii="Calibri" w:eastAsia="Times New Roman" w:hAnsi="Calibri" w:cs="Times New Roman"/>
                <w:color w:val="000000"/>
                <w:lang w:eastAsia="pl-PL"/>
              </w:rPr>
              <w:t>960</w:t>
            </w:r>
          </w:p>
        </w:tc>
        <w:tc>
          <w:tcPr>
            <w:tcW w:w="959" w:type="dxa"/>
            <w:noWrap/>
            <w:hideMark/>
          </w:tcPr>
          <w:p w:rsidR="00EE0C8C" w:rsidRPr="00EE0C8C" w:rsidRDefault="00EE0C8C" w:rsidP="00EE0C8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EE0C8C">
              <w:rPr>
                <w:rFonts w:ascii="Calibri" w:eastAsia="Times New Roman" w:hAnsi="Calibri" w:cs="Times New Roman"/>
                <w:color w:val="000000"/>
                <w:lang w:eastAsia="pl-PL"/>
              </w:rPr>
              <w:t>952</w:t>
            </w:r>
          </w:p>
        </w:tc>
        <w:tc>
          <w:tcPr>
            <w:tcW w:w="1447" w:type="dxa"/>
          </w:tcPr>
          <w:p w:rsidR="00EE0C8C" w:rsidRPr="00EE0C8C" w:rsidRDefault="00EE0C8C" w:rsidP="00EE0C8C">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933</w:t>
            </w:r>
          </w:p>
        </w:tc>
      </w:tr>
      <w:tr w:rsidR="00EE0C8C" w:rsidRPr="00EE0C8C" w:rsidTr="00A76BDB">
        <w:trPr>
          <w:trHeight w:val="367"/>
        </w:trPr>
        <w:tc>
          <w:tcPr>
            <w:cnfStyle w:val="001000000000" w:firstRow="0" w:lastRow="0" w:firstColumn="1" w:lastColumn="0" w:oddVBand="0" w:evenVBand="0" w:oddHBand="0" w:evenHBand="0" w:firstRowFirstColumn="0" w:firstRowLastColumn="0" w:lastRowFirstColumn="0" w:lastRowLastColumn="0"/>
            <w:tcW w:w="2046" w:type="dxa"/>
            <w:noWrap/>
            <w:hideMark/>
          </w:tcPr>
          <w:p w:rsidR="00EE0C8C" w:rsidRPr="00EE0C8C" w:rsidRDefault="00EE0C8C" w:rsidP="00EE0C8C">
            <w:pPr>
              <w:rPr>
                <w:rFonts w:ascii="Calibri" w:eastAsia="Times New Roman" w:hAnsi="Calibri" w:cs="Times New Roman"/>
                <w:color w:val="000000"/>
                <w:lang w:eastAsia="pl-PL"/>
              </w:rPr>
            </w:pPr>
            <w:r w:rsidRPr="00EE0C8C">
              <w:rPr>
                <w:rFonts w:ascii="Calibri" w:eastAsia="Times New Roman" w:hAnsi="Calibri" w:cs="Times New Roman"/>
                <w:color w:val="000000"/>
                <w:lang w:eastAsia="pl-PL"/>
              </w:rPr>
              <w:t>Tychów Nowy</w:t>
            </w:r>
          </w:p>
        </w:tc>
        <w:tc>
          <w:tcPr>
            <w:tcW w:w="1443" w:type="dxa"/>
            <w:noWrap/>
            <w:hideMark/>
          </w:tcPr>
          <w:p w:rsidR="00EE0C8C" w:rsidRPr="00EE0C8C" w:rsidRDefault="00EE0C8C" w:rsidP="00EE0C8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EE0C8C">
              <w:rPr>
                <w:rFonts w:ascii="Calibri" w:eastAsia="Times New Roman" w:hAnsi="Calibri" w:cs="Times New Roman"/>
                <w:color w:val="000000"/>
                <w:lang w:eastAsia="pl-PL"/>
              </w:rPr>
              <w:t>851</w:t>
            </w:r>
          </w:p>
        </w:tc>
        <w:tc>
          <w:tcPr>
            <w:tcW w:w="1443" w:type="dxa"/>
            <w:noWrap/>
            <w:hideMark/>
          </w:tcPr>
          <w:p w:rsidR="00EE0C8C" w:rsidRPr="00EE0C8C" w:rsidRDefault="00EE0C8C" w:rsidP="00EE0C8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EE0C8C">
              <w:rPr>
                <w:rFonts w:ascii="Calibri" w:eastAsia="Times New Roman" w:hAnsi="Calibri" w:cs="Times New Roman"/>
                <w:color w:val="000000"/>
                <w:lang w:eastAsia="pl-PL"/>
              </w:rPr>
              <w:t>831</w:t>
            </w:r>
          </w:p>
        </w:tc>
        <w:tc>
          <w:tcPr>
            <w:tcW w:w="959" w:type="dxa"/>
            <w:noWrap/>
            <w:hideMark/>
          </w:tcPr>
          <w:p w:rsidR="00EE0C8C" w:rsidRPr="00EE0C8C" w:rsidRDefault="00EE0C8C" w:rsidP="00EE0C8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EE0C8C">
              <w:rPr>
                <w:rFonts w:ascii="Calibri" w:eastAsia="Times New Roman" w:hAnsi="Calibri" w:cs="Times New Roman"/>
                <w:color w:val="000000"/>
                <w:lang w:eastAsia="pl-PL"/>
              </w:rPr>
              <w:t>824</w:t>
            </w:r>
          </w:p>
        </w:tc>
        <w:tc>
          <w:tcPr>
            <w:tcW w:w="1447" w:type="dxa"/>
          </w:tcPr>
          <w:p w:rsidR="00EE0C8C" w:rsidRPr="00EE0C8C" w:rsidRDefault="00EE0C8C" w:rsidP="00EE0C8C">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807</w:t>
            </w:r>
          </w:p>
        </w:tc>
      </w:tr>
      <w:tr w:rsidR="00EE0C8C" w:rsidRPr="00EE0C8C" w:rsidTr="00A76BDB">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2046" w:type="dxa"/>
            <w:noWrap/>
            <w:hideMark/>
          </w:tcPr>
          <w:p w:rsidR="00EE0C8C" w:rsidRPr="00EE0C8C" w:rsidRDefault="00EE0C8C" w:rsidP="00EE0C8C">
            <w:pPr>
              <w:rPr>
                <w:rFonts w:ascii="Calibri" w:eastAsia="Times New Roman" w:hAnsi="Calibri" w:cs="Times New Roman"/>
                <w:color w:val="000000"/>
                <w:lang w:eastAsia="pl-PL"/>
              </w:rPr>
            </w:pPr>
            <w:r w:rsidRPr="00EE0C8C">
              <w:rPr>
                <w:rFonts w:ascii="Calibri" w:eastAsia="Times New Roman" w:hAnsi="Calibri" w:cs="Times New Roman"/>
                <w:color w:val="000000"/>
                <w:lang w:eastAsia="pl-PL"/>
              </w:rPr>
              <w:t>Jagodne</w:t>
            </w:r>
          </w:p>
        </w:tc>
        <w:tc>
          <w:tcPr>
            <w:tcW w:w="1443" w:type="dxa"/>
            <w:noWrap/>
            <w:hideMark/>
          </w:tcPr>
          <w:p w:rsidR="00EE0C8C" w:rsidRPr="00EE0C8C" w:rsidRDefault="00EE0C8C" w:rsidP="00EE0C8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EE0C8C">
              <w:rPr>
                <w:rFonts w:ascii="Calibri" w:eastAsia="Times New Roman" w:hAnsi="Calibri" w:cs="Times New Roman"/>
                <w:color w:val="000000"/>
                <w:lang w:eastAsia="pl-PL"/>
              </w:rPr>
              <w:t>591</w:t>
            </w:r>
          </w:p>
        </w:tc>
        <w:tc>
          <w:tcPr>
            <w:tcW w:w="1443" w:type="dxa"/>
            <w:noWrap/>
            <w:hideMark/>
          </w:tcPr>
          <w:p w:rsidR="00EE0C8C" w:rsidRPr="00EE0C8C" w:rsidRDefault="00EE0C8C" w:rsidP="00EE0C8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EE0C8C">
              <w:rPr>
                <w:rFonts w:ascii="Calibri" w:eastAsia="Times New Roman" w:hAnsi="Calibri" w:cs="Times New Roman"/>
                <w:color w:val="000000"/>
                <w:lang w:eastAsia="pl-PL"/>
              </w:rPr>
              <w:t>585</w:t>
            </w:r>
          </w:p>
        </w:tc>
        <w:tc>
          <w:tcPr>
            <w:tcW w:w="959" w:type="dxa"/>
            <w:noWrap/>
            <w:hideMark/>
          </w:tcPr>
          <w:p w:rsidR="00EE0C8C" w:rsidRPr="00EE0C8C" w:rsidRDefault="00EE0C8C" w:rsidP="00EE0C8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EE0C8C">
              <w:rPr>
                <w:rFonts w:ascii="Calibri" w:eastAsia="Times New Roman" w:hAnsi="Calibri" w:cs="Times New Roman"/>
                <w:color w:val="000000"/>
                <w:lang w:eastAsia="pl-PL"/>
              </w:rPr>
              <w:t>571</w:t>
            </w:r>
          </w:p>
        </w:tc>
        <w:tc>
          <w:tcPr>
            <w:tcW w:w="1447" w:type="dxa"/>
          </w:tcPr>
          <w:p w:rsidR="00EE0C8C" w:rsidRPr="00EE0C8C" w:rsidRDefault="00EE0C8C" w:rsidP="00EE0C8C">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559</w:t>
            </w:r>
          </w:p>
        </w:tc>
      </w:tr>
      <w:tr w:rsidR="00EE0C8C" w:rsidRPr="00EE0C8C" w:rsidTr="00A76BDB">
        <w:trPr>
          <w:trHeight w:val="367"/>
        </w:trPr>
        <w:tc>
          <w:tcPr>
            <w:cnfStyle w:val="001000000000" w:firstRow="0" w:lastRow="0" w:firstColumn="1" w:lastColumn="0" w:oddVBand="0" w:evenVBand="0" w:oddHBand="0" w:evenHBand="0" w:firstRowFirstColumn="0" w:firstRowLastColumn="0" w:lastRowFirstColumn="0" w:lastRowLastColumn="0"/>
            <w:tcW w:w="2046" w:type="dxa"/>
            <w:noWrap/>
            <w:hideMark/>
          </w:tcPr>
          <w:p w:rsidR="00EE0C8C" w:rsidRPr="00EE0C8C" w:rsidRDefault="00EE0C8C" w:rsidP="00EE0C8C">
            <w:pPr>
              <w:rPr>
                <w:rFonts w:ascii="Calibri" w:eastAsia="Times New Roman" w:hAnsi="Calibri" w:cs="Times New Roman"/>
                <w:i/>
                <w:color w:val="000000"/>
                <w:lang w:eastAsia="pl-PL"/>
              </w:rPr>
            </w:pPr>
            <w:r w:rsidRPr="00EE0C8C">
              <w:rPr>
                <w:rFonts w:ascii="Calibri" w:eastAsia="Times New Roman" w:hAnsi="Calibri" w:cs="Times New Roman"/>
                <w:i/>
                <w:color w:val="000000"/>
                <w:lang w:eastAsia="pl-PL"/>
              </w:rPr>
              <w:t>OGÓŁEM</w:t>
            </w:r>
          </w:p>
        </w:tc>
        <w:tc>
          <w:tcPr>
            <w:tcW w:w="1443" w:type="dxa"/>
            <w:noWrap/>
            <w:hideMark/>
          </w:tcPr>
          <w:p w:rsidR="00EE0C8C" w:rsidRPr="00EE0C8C" w:rsidRDefault="00EE0C8C" w:rsidP="00EE0C8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i/>
                <w:color w:val="000000"/>
                <w:lang w:eastAsia="pl-PL"/>
              </w:rPr>
            </w:pPr>
            <w:r w:rsidRPr="00EE0C8C">
              <w:rPr>
                <w:rFonts w:ascii="Calibri" w:eastAsia="Times New Roman" w:hAnsi="Calibri" w:cs="Times New Roman"/>
                <w:b/>
                <w:i/>
                <w:color w:val="000000"/>
                <w:lang w:eastAsia="pl-PL"/>
              </w:rPr>
              <w:t>8616</w:t>
            </w:r>
          </w:p>
        </w:tc>
        <w:tc>
          <w:tcPr>
            <w:tcW w:w="1443" w:type="dxa"/>
            <w:noWrap/>
            <w:hideMark/>
          </w:tcPr>
          <w:p w:rsidR="00EE0C8C" w:rsidRPr="00EE0C8C" w:rsidRDefault="00EE0C8C" w:rsidP="00EE0C8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i/>
                <w:color w:val="000000"/>
                <w:lang w:eastAsia="pl-PL"/>
              </w:rPr>
            </w:pPr>
            <w:r w:rsidRPr="00EE0C8C">
              <w:rPr>
                <w:rFonts w:ascii="Calibri" w:eastAsia="Times New Roman" w:hAnsi="Calibri" w:cs="Times New Roman"/>
                <w:b/>
                <w:i/>
                <w:color w:val="000000"/>
                <w:lang w:eastAsia="pl-PL"/>
              </w:rPr>
              <w:t>8581</w:t>
            </w:r>
          </w:p>
        </w:tc>
        <w:tc>
          <w:tcPr>
            <w:tcW w:w="959" w:type="dxa"/>
            <w:noWrap/>
            <w:hideMark/>
          </w:tcPr>
          <w:p w:rsidR="00EE0C8C" w:rsidRPr="00EE0C8C" w:rsidRDefault="00EE0C8C" w:rsidP="00EE0C8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i/>
                <w:color w:val="000000"/>
                <w:lang w:eastAsia="pl-PL"/>
              </w:rPr>
            </w:pPr>
            <w:r w:rsidRPr="00EE0C8C">
              <w:rPr>
                <w:rFonts w:ascii="Calibri" w:eastAsia="Times New Roman" w:hAnsi="Calibri" w:cs="Times New Roman"/>
                <w:b/>
                <w:i/>
                <w:color w:val="000000"/>
                <w:lang w:eastAsia="pl-PL"/>
              </w:rPr>
              <w:t>8538</w:t>
            </w:r>
          </w:p>
        </w:tc>
        <w:tc>
          <w:tcPr>
            <w:tcW w:w="1447" w:type="dxa"/>
          </w:tcPr>
          <w:p w:rsidR="00EE0C8C" w:rsidRPr="00EE0C8C" w:rsidRDefault="00EE0C8C" w:rsidP="00EE0C8C">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rPr>
            </w:pPr>
            <w:r w:rsidRPr="00EE0C8C">
              <w:rPr>
                <w:rFonts w:ascii="Calibri" w:eastAsia="Calibri" w:hAnsi="Calibri" w:cs="Times New Roman"/>
                <w:b/>
              </w:rPr>
              <w:t>8422</w:t>
            </w:r>
          </w:p>
        </w:tc>
      </w:tr>
    </w:tbl>
    <w:p w:rsidR="00EE0C8C" w:rsidRPr="00EE0C8C" w:rsidRDefault="00EE0C8C" w:rsidP="00EE0C8C">
      <w:pPr>
        <w:jc w:val="center"/>
        <w:rPr>
          <w:rFonts w:ascii="Calibri" w:eastAsia="Times New Roman" w:hAnsi="Calibri" w:cs="Times New Roman"/>
          <w:i/>
          <w:lang w:eastAsia="pl-PL"/>
        </w:rPr>
      </w:pPr>
      <w:r w:rsidRPr="00EE0C8C">
        <w:rPr>
          <w:rFonts w:ascii="Calibri" w:eastAsia="Times New Roman" w:hAnsi="Calibri" w:cs="Times New Roman"/>
          <w:i/>
          <w:lang w:eastAsia="pl-PL"/>
        </w:rPr>
        <w:t>(Źródło: Opracowanie własne na podstawie danych z Urzędu Gminy w Mircu)</w:t>
      </w:r>
    </w:p>
    <w:p w:rsidR="00EE0C8C" w:rsidRPr="00EE0C8C" w:rsidRDefault="00EE0C8C" w:rsidP="00EE0C8C">
      <w:pPr>
        <w:jc w:val="both"/>
        <w:rPr>
          <w:rFonts w:ascii="Calibri" w:eastAsia="Times New Roman" w:hAnsi="Calibri" w:cs="Times New Roman"/>
          <w:lang w:eastAsia="pl-PL"/>
        </w:rPr>
      </w:pPr>
    </w:p>
    <w:p w:rsidR="00EE0C8C" w:rsidRPr="00EE0C8C" w:rsidRDefault="00EE0C8C" w:rsidP="00EE0C8C">
      <w:pPr>
        <w:jc w:val="both"/>
        <w:rPr>
          <w:rFonts w:ascii="Calibri" w:eastAsia="Times New Roman" w:hAnsi="Calibri" w:cs="Times New Roman"/>
          <w:lang w:eastAsia="pl-PL"/>
        </w:rPr>
      </w:pPr>
      <w:r w:rsidRPr="00EE0C8C">
        <w:rPr>
          <w:rFonts w:ascii="Calibri" w:eastAsia="Times New Roman" w:hAnsi="Calibri" w:cs="Times New Roman"/>
          <w:lang w:eastAsia="pl-PL"/>
        </w:rPr>
        <w:t>Statystyki mieszkańców według płci na przestrzeni lat 2012 – 2014 przedstawia się następująco:</w:t>
      </w:r>
    </w:p>
    <w:tbl>
      <w:tblPr>
        <w:tblStyle w:val="redniasiatka3akcent51"/>
        <w:tblW w:w="5276" w:type="dxa"/>
        <w:tblInd w:w="1463" w:type="dxa"/>
        <w:tblLook w:val="04A0" w:firstRow="1" w:lastRow="0" w:firstColumn="1" w:lastColumn="0" w:noHBand="0" w:noVBand="1"/>
      </w:tblPr>
      <w:tblGrid>
        <w:gridCol w:w="1556"/>
        <w:gridCol w:w="1240"/>
        <w:gridCol w:w="1240"/>
        <w:gridCol w:w="1240"/>
      </w:tblGrid>
      <w:tr w:rsidR="00EE0C8C" w:rsidRPr="00EE0C8C" w:rsidTr="00A76BDB">
        <w:trPr>
          <w:cnfStyle w:val="100000000000" w:firstRow="1" w:lastRow="0" w:firstColumn="0" w:lastColumn="0" w:oddVBand="0" w:evenVBand="0" w:oddHBand="0"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556" w:type="dxa"/>
            <w:noWrap/>
            <w:hideMark/>
          </w:tcPr>
          <w:p w:rsidR="00EE0C8C" w:rsidRPr="00EE0C8C" w:rsidRDefault="00EE0C8C" w:rsidP="00EE0C8C">
            <w:pPr>
              <w:rPr>
                <w:rFonts w:ascii="Calibri" w:eastAsia="Times New Roman" w:hAnsi="Calibri" w:cs="Times New Roman"/>
                <w:color w:val="000000"/>
                <w:lang w:eastAsia="pl-PL"/>
              </w:rPr>
            </w:pPr>
          </w:p>
        </w:tc>
        <w:tc>
          <w:tcPr>
            <w:tcW w:w="1240" w:type="dxa"/>
            <w:noWrap/>
            <w:hideMark/>
          </w:tcPr>
          <w:p w:rsidR="00EE0C8C" w:rsidRPr="00EE0C8C" w:rsidRDefault="00EE0C8C" w:rsidP="00EE0C8C">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EE0C8C">
              <w:rPr>
                <w:rFonts w:ascii="Calibri" w:eastAsia="Times New Roman" w:hAnsi="Calibri" w:cs="Times New Roman"/>
                <w:color w:val="000000"/>
                <w:lang w:eastAsia="pl-PL"/>
              </w:rPr>
              <w:t>2012 r.</w:t>
            </w:r>
          </w:p>
        </w:tc>
        <w:tc>
          <w:tcPr>
            <w:tcW w:w="1240" w:type="dxa"/>
            <w:noWrap/>
            <w:hideMark/>
          </w:tcPr>
          <w:p w:rsidR="00EE0C8C" w:rsidRPr="00EE0C8C" w:rsidRDefault="00EE0C8C" w:rsidP="00EE0C8C">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EE0C8C">
              <w:rPr>
                <w:rFonts w:ascii="Calibri" w:eastAsia="Times New Roman" w:hAnsi="Calibri" w:cs="Times New Roman"/>
                <w:color w:val="000000"/>
                <w:lang w:eastAsia="pl-PL"/>
              </w:rPr>
              <w:t>2013 r.</w:t>
            </w:r>
          </w:p>
        </w:tc>
        <w:tc>
          <w:tcPr>
            <w:tcW w:w="1240" w:type="dxa"/>
            <w:noWrap/>
            <w:hideMark/>
          </w:tcPr>
          <w:p w:rsidR="00EE0C8C" w:rsidRPr="00EE0C8C" w:rsidRDefault="00EE0C8C" w:rsidP="00EE0C8C">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EE0C8C">
              <w:rPr>
                <w:rFonts w:ascii="Calibri" w:eastAsia="Times New Roman" w:hAnsi="Calibri" w:cs="Times New Roman"/>
                <w:color w:val="000000"/>
                <w:lang w:eastAsia="pl-PL"/>
              </w:rPr>
              <w:t>2014 r.</w:t>
            </w:r>
          </w:p>
        </w:tc>
      </w:tr>
      <w:tr w:rsidR="00EE0C8C" w:rsidRPr="00EE0C8C" w:rsidTr="00A76BDB">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556" w:type="dxa"/>
            <w:noWrap/>
            <w:hideMark/>
          </w:tcPr>
          <w:p w:rsidR="00EE0C8C" w:rsidRPr="00EE0C8C" w:rsidRDefault="00EE0C8C" w:rsidP="00EE0C8C">
            <w:pPr>
              <w:rPr>
                <w:rFonts w:ascii="Calibri" w:eastAsia="Times New Roman" w:hAnsi="Calibri" w:cs="Times New Roman"/>
                <w:color w:val="000000"/>
                <w:lang w:eastAsia="pl-PL"/>
              </w:rPr>
            </w:pPr>
            <w:r w:rsidRPr="00EE0C8C">
              <w:rPr>
                <w:rFonts w:ascii="Calibri" w:eastAsia="Times New Roman" w:hAnsi="Calibri" w:cs="Times New Roman"/>
                <w:color w:val="000000"/>
                <w:lang w:eastAsia="pl-PL"/>
              </w:rPr>
              <w:t>Mężczyzna</w:t>
            </w:r>
          </w:p>
        </w:tc>
        <w:tc>
          <w:tcPr>
            <w:tcW w:w="1240" w:type="dxa"/>
            <w:noWrap/>
            <w:hideMark/>
          </w:tcPr>
          <w:p w:rsidR="00EE0C8C" w:rsidRPr="00EE0C8C" w:rsidRDefault="00EE0C8C" w:rsidP="00EE0C8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EE0C8C">
              <w:rPr>
                <w:rFonts w:ascii="Calibri" w:eastAsia="Times New Roman" w:hAnsi="Calibri" w:cs="Times New Roman"/>
                <w:color w:val="000000"/>
                <w:lang w:eastAsia="pl-PL"/>
              </w:rPr>
              <w:t>4300</w:t>
            </w:r>
          </w:p>
        </w:tc>
        <w:tc>
          <w:tcPr>
            <w:tcW w:w="1240" w:type="dxa"/>
            <w:noWrap/>
            <w:hideMark/>
          </w:tcPr>
          <w:p w:rsidR="00EE0C8C" w:rsidRPr="00EE0C8C" w:rsidRDefault="00EE0C8C" w:rsidP="00EE0C8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EE0C8C">
              <w:rPr>
                <w:rFonts w:ascii="Calibri" w:eastAsia="Times New Roman" w:hAnsi="Calibri" w:cs="Times New Roman"/>
                <w:color w:val="000000"/>
                <w:lang w:eastAsia="pl-PL"/>
              </w:rPr>
              <w:t>4298</w:t>
            </w:r>
          </w:p>
        </w:tc>
        <w:tc>
          <w:tcPr>
            <w:tcW w:w="1240" w:type="dxa"/>
            <w:noWrap/>
            <w:hideMark/>
          </w:tcPr>
          <w:p w:rsidR="00EE0C8C" w:rsidRPr="00EE0C8C" w:rsidRDefault="00EE0C8C" w:rsidP="00EE0C8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EE0C8C">
              <w:rPr>
                <w:rFonts w:ascii="Calibri" w:eastAsia="Times New Roman" w:hAnsi="Calibri" w:cs="Times New Roman"/>
                <w:color w:val="000000"/>
                <w:lang w:eastAsia="pl-PL"/>
              </w:rPr>
              <w:t>4267</w:t>
            </w:r>
          </w:p>
        </w:tc>
      </w:tr>
      <w:tr w:rsidR="00EE0C8C" w:rsidRPr="00EE0C8C" w:rsidTr="00A76BDB">
        <w:trPr>
          <w:trHeight w:val="437"/>
        </w:trPr>
        <w:tc>
          <w:tcPr>
            <w:cnfStyle w:val="001000000000" w:firstRow="0" w:lastRow="0" w:firstColumn="1" w:lastColumn="0" w:oddVBand="0" w:evenVBand="0" w:oddHBand="0" w:evenHBand="0" w:firstRowFirstColumn="0" w:firstRowLastColumn="0" w:lastRowFirstColumn="0" w:lastRowLastColumn="0"/>
            <w:tcW w:w="1556" w:type="dxa"/>
            <w:noWrap/>
            <w:hideMark/>
          </w:tcPr>
          <w:p w:rsidR="00EE0C8C" w:rsidRPr="00EE0C8C" w:rsidRDefault="00EE0C8C" w:rsidP="00EE0C8C">
            <w:pPr>
              <w:rPr>
                <w:rFonts w:ascii="Calibri" w:eastAsia="Times New Roman" w:hAnsi="Calibri" w:cs="Times New Roman"/>
                <w:color w:val="000000"/>
                <w:lang w:eastAsia="pl-PL"/>
              </w:rPr>
            </w:pPr>
            <w:r w:rsidRPr="00EE0C8C">
              <w:rPr>
                <w:rFonts w:ascii="Calibri" w:eastAsia="Times New Roman" w:hAnsi="Calibri" w:cs="Times New Roman"/>
                <w:color w:val="000000"/>
                <w:lang w:eastAsia="pl-PL"/>
              </w:rPr>
              <w:t>Kobieta</w:t>
            </w:r>
          </w:p>
        </w:tc>
        <w:tc>
          <w:tcPr>
            <w:tcW w:w="1240" w:type="dxa"/>
            <w:noWrap/>
            <w:hideMark/>
          </w:tcPr>
          <w:p w:rsidR="00EE0C8C" w:rsidRPr="00EE0C8C" w:rsidRDefault="00EE0C8C" w:rsidP="00EE0C8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EE0C8C">
              <w:rPr>
                <w:rFonts w:ascii="Calibri" w:eastAsia="Times New Roman" w:hAnsi="Calibri" w:cs="Times New Roman"/>
                <w:color w:val="000000"/>
                <w:lang w:eastAsia="pl-PL"/>
              </w:rPr>
              <w:t>4316</w:t>
            </w:r>
          </w:p>
        </w:tc>
        <w:tc>
          <w:tcPr>
            <w:tcW w:w="1240" w:type="dxa"/>
            <w:noWrap/>
            <w:hideMark/>
          </w:tcPr>
          <w:p w:rsidR="00EE0C8C" w:rsidRPr="00EE0C8C" w:rsidRDefault="00EE0C8C" w:rsidP="00EE0C8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EE0C8C">
              <w:rPr>
                <w:rFonts w:ascii="Calibri" w:eastAsia="Times New Roman" w:hAnsi="Calibri" w:cs="Times New Roman"/>
                <w:color w:val="000000"/>
                <w:lang w:eastAsia="pl-PL"/>
              </w:rPr>
              <w:t>4283</w:t>
            </w:r>
          </w:p>
        </w:tc>
        <w:tc>
          <w:tcPr>
            <w:tcW w:w="1240" w:type="dxa"/>
            <w:noWrap/>
            <w:hideMark/>
          </w:tcPr>
          <w:p w:rsidR="00EE0C8C" w:rsidRPr="00EE0C8C" w:rsidRDefault="00EE0C8C" w:rsidP="00EE0C8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EE0C8C">
              <w:rPr>
                <w:rFonts w:ascii="Calibri" w:eastAsia="Times New Roman" w:hAnsi="Calibri" w:cs="Times New Roman"/>
                <w:color w:val="000000"/>
                <w:lang w:eastAsia="pl-PL"/>
              </w:rPr>
              <w:t>4271</w:t>
            </w:r>
          </w:p>
        </w:tc>
      </w:tr>
      <w:tr w:rsidR="00EE0C8C" w:rsidRPr="00EE0C8C" w:rsidTr="00A76BDB">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556" w:type="dxa"/>
            <w:noWrap/>
            <w:hideMark/>
          </w:tcPr>
          <w:p w:rsidR="00EE0C8C" w:rsidRPr="00EE0C8C" w:rsidRDefault="00EE0C8C" w:rsidP="00EE0C8C">
            <w:pPr>
              <w:rPr>
                <w:rFonts w:ascii="Calibri" w:eastAsia="Times New Roman" w:hAnsi="Calibri" w:cs="Times New Roman"/>
                <w:color w:val="000000"/>
                <w:lang w:eastAsia="pl-PL"/>
              </w:rPr>
            </w:pPr>
            <w:r w:rsidRPr="00EE0C8C">
              <w:rPr>
                <w:rFonts w:ascii="Calibri" w:eastAsia="Times New Roman" w:hAnsi="Calibri" w:cs="Times New Roman"/>
                <w:color w:val="000000"/>
                <w:lang w:eastAsia="pl-PL"/>
              </w:rPr>
              <w:t>OGÓŁEM</w:t>
            </w:r>
          </w:p>
        </w:tc>
        <w:tc>
          <w:tcPr>
            <w:tcW w:w="1240" w:type="dxa"/>
            <w:noWrap/>
            <w:hideMark/>
          </w:tcPr>
          <w:p w:rsidR="00EE0C8C" w:rsidRPr="00EE0C8C" w:rsidRDefault="00EE0C8C" w:rsidP="00EE0C8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lang w:eastAsia="pl-PL"/>
              </w:rPr>
            </w:pPr>
            <w:r w:rsidRPr="00EE0C8C">
              <w:rPr>
                <w:rFonts w:ascii="Calibri" w:eastAsia="Times New Roman" w:hAnsi="Calibri" w:cs="Times New Roman"/>
                <w:b/>
                <w:color w:val="000000"/>
                <w:lang w:eastAsia="pl-PL"/>
              </w:rPr>
              <w:t>8616</w:t>
            </w:r>
          </w:p>
        </w:tc>
        <w:tc>
          <w:tcPr>
            <w:tcW w:w="1240" w:type="dxa"/>
            <w:noWrap/>
            <w:hideMark/>
          </w:tcPr>
          <w:p w:rsidR="00EE0C8C" w:rsidRPr="00EE0C8C" w:rsidRDefault="00EE0C8C" w:rsidP="00EE0C8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lang w:eastAsia="pl-PL"/>
              </w:rPr>
            </w:pPr>
            <w:r w:rsidRPr="00EE0C8C">
              <w:rPr>
                <w:rFonts w:ascii="Calibri" w:eastAsia="Times New Roman" w:hAnsi="Calibri" w:cs="Times New Roman"/>
                <w:b/>
                <w:color w:val="000000"/>
                <w:lang w:eastAsia="pl-PL"/>
              </w:rPr>
              <w:t>8581</w:t>
            </w:r>
          </w:p>
        </w:tc>
        <w:tc>
          <w:tcPr>
            <w:tcW w:w="1240" w:type="dxa"/>
            <w:noWrap/>
            <w:hideMark/>
          </w:tcPr>
          <w:p w:rsidR="00EE0C8C" w:rsidRPr="00EE0C8C" w:rsidRDefault="00EE0C8C" w:rsidP="00EE0C8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lang w:eastAsia="pl-PL"/>
              </w:rPr>
            </w:pPr>
            <w:r w:rsidRPr="00EE0C8C">
              <w:rPr>
                <w:rFonts w:ascii="Calibri" w:eastAsia="Times New Roman" w:hAnsi="Calibri" w:cs="Times New Roman"/>
                <w:b/>
                <w:color w:val="000000"/>
                <w:lang w:eastAsia="pl-PL"/>
              </w:rPr>
              <w:t>8538</w:t>
            </w:r>
          </w:p>
        </w:tc>
      </w:tr>
    </w:tbl>
    <w:p w:rsidR="00EE0C8C" w:rsidRPr="00EE0C8C" w:rsidRDefault="00EE0C8C" w:rsidP="00EE0C8C">
      <w:pPr>
        <w:jc w:val="center"/>
        <w:rPr>
          <w:rFonts w:ascii="Calibri" w:eastAsia="Times New Roman" w:hAnsi="Calibri" w:cs="Times New Roman"/>
          <w:i/>
          <w:lang w:eastAsia="pl-PL"/>
        </w:rPr>
      </w:pPr>
      <w:r w:rsidRPr="00EE0C8C">
        <w:rPr>
          <w:rFonts w:ascii="Calibri" w:eastAsia="Times New Roman" w:hAnsi="Calibri" w:cs="Times New Roman"/>
          <w:i/>
          <w:lang w:eastAsia="pl-PL"/>
        </w:rPr>
        <w:t>(Źródło: Opracowanie własne na podstawie danych z Urzędu Gminy w Mircu)</w:t>
      </w:r>
    </w:p>
    <w:p w:rsidR="00EE0C8C" w:rsidRPr="00EE0C8C" w:rsidRDefault="00EE0C8C" w:rsidP="00EE0C8C">
      <w:pPr>
        <w:jc w:val="both"/>
        <w:rPr>
          <w:rFonts w:ascii="Calibri" w:eastAsia="Times New Roman" w:hAnsi="Calibri" w:cs="Times New Roman"/>
          <w:lang w:eastAsia="pl-PL"/>
        </w:rPr>
      </w:pPr>
    </w:p>
    <w:p w:rsidR="00EE0C8C" w:rsidRPr="00EE0C8C" w:rsidRDefault="00EE0C8C" w:rsidP="00EE0C8C">
      <w:pPr>
        <w:jc w:val="both"/>
        <w:rPr>
          <w:rFonts w:ascii="Calibri" w:eastAsia="Times New Roman" w:hAnsi="Calibri" w:cs="Calibri"/>
          <w:bCs/>
          <w:lang w:eastAsia="pl-PL"/>
        </w:rPr>
      </w:pPr>
      <w:r w:rsidRPr="00EE0C8C">
        <w:rPr>
          <w:rFonts w:ascii="Calibri" w:eastAsia="Times New Roman" w:hAnsi="Calibri" w:cs="Times New Roman"/>
          <w:lang w:eastAsia="pl-PL"/>
        </w:rPr>
        <w:lastRenderedPageBreak/>
        <w:t xml:space="preserve">Po przeanalizowaniu powyższych danych obecnie w Gminie Mirzec </w:t>
      </w:r>
      <w:r w:rsidRPr="00EE0C8C">
        <w:rPr>
          <w:rFonts w:ascii="Calibri" w:eastAsia="Times New Roman" w:hAnsi="Calibri" w:cs="Calibri"/>
          <w:bCs/>
          <w:lang w:eastAsia="pl-PL"/>
        </w:rPr>
        <w:t>zaobserwować można prawie równomierny rozkład ludności pod względem płci, liczba kobiet przewyższa minimalnie liczbę mężczyzn (0,02%).</w:t>
      </w:r>
    </w:p>
    <w:p w:rsidR="00EE0C8C" w:rsidRPr="00EE0C8C" w:rsidRDefault="00EE0C8C" w:rsidP="00EE0C8C">
      <w:pPr>
        <w:jc w:val="center"/>
        <w:rPr>
          <w:rFonts w:ascii="Calibri" w:eastAsia="Times New Roman" w:hAnsi="Calibri" w:cs="Calibri"/>
          <w:bCs/>
          <w:lang w:eastAsia="pl-PL"/>
        </w:rPr>
      </w:pPr>
      <w:r w:rsidRPr="00EE0C8C">
        <w:rPr>
          <w:rFonts w:ascii="Calibri" w:eastAsia="Times New Roman" w:hAnsi="Calibri" w:cs="Calibri"/>
          <w:bCs/>
          <w:noProof/>
          <w:lang w:eastAsia="pl-PL"/>
        </w:rPr>
        <w:drawing>
          <wp:inline distT="0" distB="0" distL="0" distR="0" wp14:anchorId="0CCCEF07" wp14:editId="2CFA927F">
            <wp:extent cx="2533650" cy="4877277"/>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36184" cy="4882155"/>
                    </a:xfrm>
                    <a:prstGeom prst="rect">
                      <a:avLst/>
                    </a:prstGeom>
                    <a:noFill/>
                    <a:ln>
                      <a:noFill/>
                    </a:ln>
                  </pic:spPr>
                </pic:pic>
              </a:graphicData>
            </a:graphic>
          </wp:inline>
        </w:drawing>
      </w:r>
    </w:p>
    <w:p w:rsidR="00EE0C8C" w:rsidRPr="00EE0C8C" w:rsidRDefault="00EE0C8C" w:rsidP="00EE0C8C">
      <w:pPr>
        <w:jc w:val="center"/>
        <w:rPr>
          <w:rFonts w:ascii="Calibri" w:eastAsia="Times New Roman" w:hAnsi="Calibri" w:cs="Calibri"/>
          <w:bCs/>
          <w:i/>
          <w:lang w:eastAsia="pl-PL"/>
        </w:rPr>
      </w:pPr>
      <w:r w:rsidRPr="00EE0C8C">
        <w:rPr>
          <w:rFonts w:ascii="Calibri" w:eastAsia="Times New Roman" w:hAnsi="Calibri" w:cs="Calibri"/>
          <w:bCs/>
          <w:i/>
          <w:lang w:eastAsia="pl-PL"/>
        </w:rPr>
        <w:t xml:space="preserve">Struktura ludności według wieku i płci w 2014 roku (Źródło:  </w:t>
      </w:r>
      <w:hyperlink r:id="rId24" w:history="1">
        <w:r w:rsidRPr="00EE0C8C">
          <w:rPr>
            <w:rFonts w:ascii="Calibri" w:eastAsia="Times New Roman" w:hAnsi="Calibri" w:cs="Calibri"/>
            <w:bCs/>
            <w:i/>
            <w:color w:val="0000FF"/>
            <w:u w:val="single"/>
            <w:lang w:eastAsia="pl-PL"/>
          </w:rPr>
          <w:t>http://kielce.stat.gov.pl</w:t>
        </w:r>
      </w:hyperlink>
      <w:r w:rsidRPr="00EE0C8C">
        <w:rPr>
          <w:rFonts w:ascii="Calibri" w:eastAsia="Times New Roman" w:hAnsi="Calibri" w:cs="Calibri"/>
          <w:bCs/>
          <w:i/>
          <w:lang w:eastAsia="pl-PL"/>
        </w:rPr>
        <w:t>)</w:t>
      </w:r>
    </w:p>
    <w:p w:rsidR="00EE0C8C" w:rsidRPr="00EE0C8C" w:rsidRDefault="00EE0C8C" w:rsidP="00EE0C8C">
      <w:pPr>
        <w:jc w:val="center"/>
        <w:rPr>
          <w:rFonts w:ascii="Calibri" w:eastAsia="Times New Roman" w:hAnsi="Calibri" w:cs="Calibri"/>
          <w:bCs/>
          <w:i/>
          <w:lang w:eastAsia="pl-PL"/>
        </w:rPr>
      </w:pPr>
    </w:p>
    <w:p w:rsidR="00EE0C8C" w:rsidRPr="00EE0C8C" w:rsidRDefault="00EE0C8C" w:rsidP="00EE0C8C">
      <w:pPr>
        <w:jc w:val="both"/>
        <w:rPr>
          <w:rFonts w:ascii="Calibri" w:eastAsia="Times New Roman" w:hAnsi="Calibri" w:cs="Calibri"/>
          <w:bCs/>
          <w:lang w:eastAsia="pl-PL"/>
        </w:rPr>
      </w:pPr>
      <w:r w:rsidRPr="00EE0C8C">
        <w:rPr>
          <w:rFonts w:ascii="Calibri" w:eastAsia="Times New Roman" w:hAnsi="Calibri" w:cs="Calibri"/>
          <w:bCs/>
          <w:lang w:eastAsia="pl-PL"/>
        </w:rPr>
        <w:t>Gęstość zaludnienia według danych GUS za rok 2014 wynosi 75 osób na km</w:t>
      </w:r>
      <w:r w:rsidRPr="00EE0C8C">
        <w:rPr>
          <w:rFonts w:ascii="Calibri" w:eastAsia="Times New Roman" w:hAnsi="Calibri" w:cs="Calibri"/>
          <w:bCs/>
          <w:vertAlign w:val="superscript"/>
          <w:lang w:eastAsia="pl-PL"/>
        </w:rPr>
        <w:t>2</w:t>
      </w:r>
      <w:r w:rsidRPr="00EE0C8C">
        <w:rPr>
          <w:rFonts w:ascii="Calibri" w:eastAsia="Times New Roman" w:hAnsi="Calibri" w:cs="Calibri"/>
          <w:bCs/>
          <w:lang w:eastAsia="pl-PL"/>
        </w:rPr>
        <w:t>. Pod względem zaludnienia Gmina Mirzec zajmuje 4 miejsce (na 5 gmin) spośród gmin powiatu starachowickiego a 45 miejsce w województwie świętokrzyskim.</w:t>
      </w:r>
    </w:p>
    <w:p w:rsidR="00EE0C8C" w:rsidRPr="00EE0C8C" w:rsidRDefault="00EE0C8C" w:rsidP="00EE0C8C">
      <w:pPr>
        <w:jc w:val="center"/>
        <w:rPr>
          <w:rFonts w:ascii="Calibri" w:eastAsia="Times New Roman" w:hAnsi="Calibri" w:cs="Calibri"/>
          <w:bCs/>
          <w:i/>
          <w:lang w:eastAsia="pl-PL"/>
        </w:rPr>
      </w:pPr>
    </w:p>
    <w:p w:rsidR="00EE0C8C" w:rsidRPr="00EE0C8C" w:rsidRDefault="00EE0C8C" w:rsidP="00EE0C8C">
      <w:pPr>
        <w:jc w:val="center"/>
        <w:rPr>
          <w:rFonts w:ascii="Calibri" w:eastAsia="Times New Roman" w:hAnsi="Calibri" w:cs="Calibri"/>
          <w:bCs/>
          <w:i/>
          <w:lang w:eastAsia="pl-PL"/>
        </w:rPr>
      </w:pPr>
    </w:p>
    <w:tbl>
      <w:tblPr>
        <w:tblStyle w:val="Jasnalistaakcent31"/>
        <w:tblW w:w="926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2"/>
        <w:gridCol w:w="2446"/>
        <w:gridCol w:w="2582"/>
        <w:gridCol w:w="1827"/>
      </w:tblGrid>
      <w:tr w:rsidR="00EE0C8C" w:rsidRPr="00EE0C8C" w:rsidTr="00A76BDB">
        <w:trPr>
          <w:cnfStyle w:val="000000100000" w:firstRow="0" w:lastRow="0" w:firstColumn="0" w:lastColumn="0" w:oddVBand="0" w:evenVBand="0" w:oddHBand="1" w:evenHBand="0" w:firstRowFirstColumn="0" w:firstRowLastColumn="0" w:lastRowFirstColumn="0" w:lastRowLastColumn="0"/>
          <w:trHeight w:val="401"/>
        </w:trPr>
        <w:tc>
          <w:tcPr>
            <w:cnfStyle w:val="000010000000" w:firstRow="0" w:lastRow="0" w:firstColumn="0" w:lastColumn="0" w:oddVBand="1" w:evenVBand="0" w:oddHBand="0" w:evenHBand="0" w:firstRowFirstColumn="0" w:firstRowLastColumn="0" w:lastRowFirstColumn="0" w:lastRowLastColumn="0"/>
            <w:tcW w:w="9267" w:type="dxa"/>
            <w:gridSpan w:val="4"/>
            <w:shd w:val="clear" w:color="auto" w:fill="00B050"/>
          </w:tcPr>
          <w:p w:rsidR="00EE0C8C" w:rsidRPr="00EE0C8C" w:rsidRDefault="00EE0C8C" w:rsidP="00EE0C8C">
            <w:pPr>
              <w:jc w:val="center"/>
              <w:rPr>
                <w:rFonts w:ascii="Calibri" w:hAnsi="Calibri" w:cs="Calibri"/>
                <w:b/>
                <w:bCs/>
                <w:sz w:val="28"/>
                <w:szCs w:val="28"/>
              </w:rPr>
            </w:pPr>
            <w:r w:rsidRPr="00EE0C8C">
              <w:rPr>
                <w:rFonts w:ascii="Calibri" w:hAnsi="Calibri" w:cs="Calibri"/>
                <w:b/>
                <w:bCs/>
                <w:sz w:val="28"/>
                <w:szCs w:val="28"/>
              </w:rPr>
              <w:t>Statystyka mieszkańców wg wieku i płci w 2015 roku</w:t>
            </w:r>
          </w:p>
        </w:tc>
      </w:tr>
      <w:tr w:rsidR="00EE0C8C" w:rsidRPr="00EE0C8C" w:rsidTr="00A76BDB">
        <w:tblPrEx>
          <w:tblBorders>
            <w:top w:val="single" w:sz="8" w:space="0" w:color="9BBB59" w:themeColor="accent3"/>
            <w:left w:val="single" w:sz="8" w:space="0" w:color="9BBB59" w:themeColor="accent3"/>
            <w:bottom w:val="single" w:sz="8" w:space="0" w:color="9BBB59" w:themeColor="accent3"/>
            <w:right w:val="single" w:sz="8" w:space="0" w:color="9BBB59" w:themeColor="accent3"/>
            <w:insideH w:val="none" w:sz="0" w:space="0" w:color="auto"/>
            <w:insideV w:val="none" w:sz="0" w:space="0" w:color="auto"/>
          </w:tblBorders>
          <w:tblCellMar>
            <w:left w:w="108" w:type="dxa"/>
            <w:right w:w="108" w:type="dxa"/>
          </w:tblCellMar>
        </w:tblPrEx>
        <w:trPr>
          <w:trHeight w:val="337"/>
        </w:trPr>
        <w:tc>
          <w:tcPr>
            <w:cnfStyle w:val="000010000000" w:firstRow="0" w:lastRow="0" w:firstColumn="0" w:lastColumn="0" w:oddVBand="1" w:evenVBand="0" w:oddHBand="0" w:evenHBand="0" w:firstRowFirstColumn="0" w:firstRowLastColumn="0" w:lastRowFirstColumn="0" w:lastRowLastColumn="0"/>
            <w:tcW w:w="2412" w:type="dxa"/>
            <w:shd w:val="clear" w:color="auto" w:fill="92D050"/>
          </w:tcPr>
          <w:p w:rsidR="00EE0C8C" w:rsidRPr="00EE0C8C" w:rsidRDefault="00EE0C8C" w:rsidP="00EE0C8C">
            <w:pPr>
              <w:jc w:val="center"/>
              <w:rPr>
                <w:rFonts w:ascii="Calibri" w:hAnsi="Calibri" w:cs="Calibri"/>
                <w:b/>
                <w:bCs/>
              </w:rPr>
            </w:pPr>
            <w:r w:rsidRPr="00EE0C8C">
              <w:rPr>
                <w:rFonts w:ascii="Calibri" w:hAnsi="Calibri" w:cs="Calibri"/>
                <w:b/>
                <w:bCs/>
              </w:rPr>
              <w:t>WIEK</w:t>
            </w:r>
          </w:p>
        </w:tc>
        <w:tc>
          <w:tcPr>
            <w:tcW w:w="2446" w:type="dxa"/>
            <w:shd w:val="clear" w:color="auto" w:fill="92D050"/>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EE0C8C">
              <w:rPr>
                <w:rFonts w:ascii="Calibri" w:hAnsi="Calibri" w:cs="Calibri"/>
                <w:b/>
                <w:bCs/>
              </w:rPr>
              <w:t>MEZCZYZN</w:t>
            </w:r>
          </w:p>
        </w:tc>
        <w:tc>
          <w:tcPr>
            <w:cnfStyle w:val="000010000000" w:firstRow="0" w:lastRow="0" w:firstColumn="0" w:lastColumn="0" w:oddVBand="1" w:evenVBand="0" w:oddHBand="0" w:evenHBand="0" w:firstRowFirstColumn="0" w:firstRowLastColumn="0" w:lastRowFirstColumn="0" w:lastRowLastColumn="0"/>
            <w:tcW w:w="2582" w:type="dxa"/>
            <w:shd w:val="clear" w:color="auto" w:fill="92D050"/>
          </w:tcPr>
          <w:p w:rsidR="00EE0C8C" w:rsidRPr="00EE0C8C" w:rsidRDefault="00EE0C8C" w:rsidP="00EE0C8C">
            <w:pPr>
              <w:jc w:val="center"/>
              <w:rPr>
                <w:rFonts w:ascii="Calibri" w:hAnsi="Calibri" w:cs="Calibri"/>
                <w:b/>
                <w:bCs/>
              </w:rPr>
            </w:pPr>
            <w:r w:rsidRPr="00EE0C8C">
              <w:rPr>
                <w:rFonts w:ascii="Calibri" w:hAnsi="Calibri" w:cs="Calibri"/>
                <w:b/>
                <w:bCs/>
              </w:rPr>
              <w:t>KOBIET</w:t>
            </w:r>
          </w:p>
        </w:tc>
        <w:tc>
          <w:tcPr>
            <w:tcW w:w="1827" w:type="dxa"/>
            <w:shd w:val="clear" w:color="auto" w:fill="92D050"/>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EE0C8C">
              <w:rPr>
                <w:rFonts w:ascii="Calibri" w:hAnsi="Calibri" w:cs="Calibri"/>
                <w:b/>
                <w:bCs/>
              </w:rPr>
              <w:t>OGÓŁEM</w:t>
            </w:r>
          </w:p>
        </w:tc>
      </w:tr>
      <w:tr w:rsidR="00EE0C8C" w:rsidRPr="00EE0C8C" w:rsidTr="00A76BDB">
        <w:tblPrEx>
          <w:tblBorders>
            <w:top w:val="single" w:sz="8" w:space="0" w:color="9BBB59" w:themeColor="accent3"/>
            <w:left w:val="single" w:sz="8" w:space="0" w:color="9BBB59" w:themeColor="accent3"/>
            <w:bottom w:val="single" w:sz="8" w:space="0" w:color="9BBB59" w:themeColor="accent3"/>
            <w:right w:val="single" w:sz="8" w:space="0" w:color="9BBB59" w:themeColor="accent3"/>
            <w:insideH w:val="none" w:sz="0" w:space="0" w:color="auto"/>
            <w:insideV w:val="none" w:sz="0" w:space="0" w:color="auto"/>
          </w:tblBorders>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2412" w:type="dxa"/>
            <w:shd w:val="clear" w:color="auto" w:fill="00B050"/>
          </w:tcPr>
          <w:p w:rsidR="00EE0C8C" w:rsidRPr="00EE0C8C" w:rsidRDefault="00EE0C8C" w:rsidP="00EE0C8C">
            <w:pPr>
              <w:tabs>
                <w:tab w:val="left" w:pos="320"/>
              </w:tabs>
              <w:jc w:val="center"/>
              <w:rPr>
                <w:rFonts w:ascii="Calibri" w:hAnsi="Calibri" w:cs="Calibri"/>
                <w:bCs/>
                <w:i/>
              </w:rPr>
            </w:pPr>
            <w:r w:rsidRPr="00EE0C8C">
              <w:rPr>
                <w:rFonts w:ascii="Calibri" w:hAnsi="Calibri" w:cs="Calibri"/>
                <w:bCs/>
                <w:i/>
              </w:rPr>
              <w:t>0-2</w:t>
            </w:r>
          </w:p>
        </w:tc>
        <w:tc>
          <w:tcPr>
            <w:tcW w:w="2446" w:type="dxa"/>
            <w:shd w:val="clear" w:color="auto" w:fill="00B050"/>
          </w:tcPr>
          <w:p w:rsidR="00EE0C8C" w:rsidRPr="00EE0C8C" w:rsidRDefault="00EE0C8C" w:rsidP="00EE0C8C">
            <w:pPr>
              <w:tabs>
                <w:tab w:val="left" w:pos="320"/>
              </w:tabs>
              <w:jc w:val="center"/>
              <w:cnfStyle w:val="000000100000" w:firstRow="0" w:lastRow="0" w:firstColumn="0" w:lastColumn="0" w:oddVBand="0" w:evenVBand="0" w:oddHBand="1" w:evenHBand="0" w:firstRowFirstColumn="0" w:firstRowLastColumn="0" w:lastRowFirstColumn="0" w:lastRowLastColumn="0"/>
              <w:rPr>
                <w:rFonts w:ascii="Calibri" w:hAnsi="Calibri" w:cs="Calibri"/>
                <w:bCs/>
                <w:i/>
              </w:rPr>
            </w:pPr>
            <w:r w:rsidRPr="00EE0C8C">
              <w:rPr>
                <w:rFonts w:ascii="Calibri" w:hAnsi="Calibri" w:cs="Calibri"/>
                <w:bCs/>
                <w:i/>
              </w:rPr>
              <w:t>119</w:t>
            </w:r>
          </w:p>
        </w:tc>
        <w:tc>
          <w:tcPr>
            <w:cnfStyle w:val="000010000000" w:firstRow="0" w:lastRow="0" w:firstColumn="0" w:lastColumn="0" w:oddVBand="1" w:evenVBand="0" w:oddHBand="0" w:evenHBand="0" w:firstRowFirstColumn="0" w:firstRowLastColumn="0" w:lastRowFirstColumn="0" w:lastRowLastColumn="0"/>
            <w:tcW w:w="2582" w:type="dxa"/>
            <w:shd w:val="clear" w:color="auto" w:fill="00B050"/>
          </w:tcPr>
          <w:p w:rsidR="00EE0C8C" w:rsidRPr="00EE0C8C" w:rsidRDefault="00EE0C8C" w:rsidP="00EE0C8C">
            <w:pPr>
              <w:tabs>
                <w:tab w:val="left" w:pos="320"/>
              </w:tabs>
              <w:jc w:val="center"/>
              <w:rPr>
                <w:rFonts w:ascii="Calibri" w:hAnsi="Calibri" w:cs="Calibri"/>
                <w:bCs/>
                <w:i/>
              </w:rPr>
            </w:pPr>
            <w:r w:rsidRPr="00EE0C8C">
              <w:rPr>
                <w:rFonts w:ascii="Calibri" w:hAnsi="Calibri" w:cs="Calibri"/>
                <w:bCs/>
                <w:i/>
              </w:rPr>
              <w:t>116</w:t>
            </w:r>
          </w:p>
        </w:tc>
        <w:tc>
          <w:tcPr>
            <w:tcW w:w="1827" w:type="dxa"/>
            <w:shd w:val="clear" w:color="auto" w:fill="00B050"/>
          </w:tcPr>
          <w:p w:rsidR="00EE0C8C" w:rsidRPr="00EE0C8C" w:rsidRDefault="00EE0C8C" w:rsidP="00EE0C8C">
            <w:pPr>
              <w:tabs>
                <w:tab w:val="left" w:pos="320"/>
              </w:tabs>
              <w:jc w:val="center"/>
              <w:cnfStyle w:val="000000100000" w:firstRow="0" w:lastRow="0" w:firstColumn="0" w:lastColumn="0" w:oddVBand="0" w:evenVBand="0" w:oddHBand="1" w:evenHBand="0" w:firstRowFirstColumn="0" w:firstRowLastColumn="0" w:lastRowFirstColumn="0" w:lastRowLastColumn="0"/>
              <w:rPr>
                <w:rFonts w:ascii="Calibri" w:hAnsi="Calibri" w:cs="Calibri"/>
                <w:bCs/>
                <w:i/>
              </w:rPr>
            </w:pPr>
            <w:r w:rsidRPr="00EE0C8C">
              <w:rPr>
                <w:rFonts w:ascii="Calibri" w:hAnsi="Calibri" w:cs="Calibri"/>
                <w:bCs/>
                <w:i/>
              </w:rPr>
              <w:t>235</w:t>
            </w:r>
          </w:p>
        </w:tc>
      </w:tr>
      <w:tr w:rsidR="00EE0C8C" w:rsidRPr="00EE0C8C" w:rsidTr="00A76BDB">
        <w:tblPrEx>
          <w:tblBorders>
            <w:top w:val="single" w:sz="8" w:space="0" w:color="9BBB59" w:themeColor="accent3"/>
            <w:left w:val="single" w:sz="8" w:space="0" w:color="9BBB59" w:themeColor="accent3"/>
            <w:bottom w:val="single" w:sz="8" w:space="0" w:color="9BBB59" w:themeColor="accent3"/>
            <w:right w:val="single" w:sz="8" w:space="0" w:color="9BBB59" w:themeColor="accent3"/>
            <w:insideH w:val="none" w:sz="0" w:space="0" w:color="auto"/>
            <w:insideV w:val="none" w:sz="0" w:space="0" w:color="auto"/>
          </w:tblBorders>
          <w:tblCellMar>
            <w:left w:w="108" w:type="dxa"/>
            <w:right w:w="108" w:type="dxa"/>
          </w:tblCellMar>
        </w:tblPrEx>
        <w:trPr>
          <w:trHeight w:val="201"/>
        </w:trPr>
        <w:tc>
          <w:tcPr>
            <w:cnfStyle w:val="000010000000" w:firstRow="0" w:lastRow="0" w:firstColumn="0" w:lastColumn="0" w:oddVBand="1" w:evenVBand="0" w:oddHBand="0" w:evenHBand="0" w:firstRowFirstColumn="0" w:firstRowLastColumn="0" w:lastRowFirstColumn="0" w:lastRowLastColumn="0"/>
            <w:tcW w:w="2412" w:type="dxa"/>
            <w:shd w:val="clear" w:color="auto" w:fill="92D050"/>
          </w:tcPr>
          <w:p w:rsidR="00EE0C8C" w:rsidRPr="00EE0C8C" w:rsidRDefault="00EE0C8C" w:rsidP="00EE0C8C">
            <w:pPr>
              <w:tabs>
                <w:tab w:val="left" w:pos="320"/>
              </w:tabs>
              <w:jc w:val="center"/>
              <w:rPr>
                <w:rFonts w:ascii="Calibri" w:hAnsi="Calibri" w:cs="Calibri"/>
                <w:bCs/>
                <w:i/>
              </w:rPr>
            </w:pPr>
            <w:r w:rsidRPr="00EE0C8C">
              <w:rPr>
                <w:rFonts w:ascii="Calibri" w:hAnsi="Calibri" w:cs="Calibri"/>
                <w:bCs/>
                <w:i/>
              </w:rPr>
              <w:t>3</w:t>
            </w:r>
          </w:p>
        </w:tc>
        <w:tc>
          <w:tcPr>
            <w:tcW w:w="2446" w:type="dxa"/>
            <w:shd w:val="clear" w:color="auto" w:fill="92D050"/>
          </w:tcPr>
          <w:p w:rsidR="00EE0C8C" w:rsidRPr="00EE0C8C" w:rsidRDefault="00EE0C8C" w:rsidP="00EE0C8C">
            <w:pPr>
              <w:tabs>
                <w:tab w:val="left" w:pos="320"/>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bCs/>
                <w:i/>
              </w:rPr>
            </w:pPr>
            <w:r w:rsidRPr="00EE0C8C">
              <w:rPr>
                <w:rFonts w:ascii="Calibri" w:hAnsi="Calibri" w:cs="Calibri"/>
                <w:bCs/>
                <w:i/>
              </w:rPr>
              <w:t>39</w:t>
            </w:r>
          </w:p>
        </w:tc>
        <w:tc>
          <w:tcPr>
            <w:cnfStyle w:val="000010000000" w:firstRow="0" w:lastRow="0" w:firstColumn="0" w:lastColumn="0" w:oddVBand="1" w:evenVBand="0" w:oddHBand="0" w:evenHBand="0" w:firstRowFirstColumn="0" w:firstRowLastColumn="0" w:lastRowFirstColumn="0" w:lastRowLastColumn="0"/>
            <w:tcW w:w="2582" w:type="dxa"/>
            <w:shd w:val="clear" w:color="auto" w:fill="92D050"/>
          </w:tcPr>
          <w:p w:rsidR="00EE0C8C" w:rsidRPr="00EE0C8C" w:rsidRDefault="00EE0C8C" w:rsidP="00EE0C8C">
            <w:pPr>
              <w:tabs>
                <w:tab w:val="left" w:pos="320"/>
              </w:tabs>
              <w:jc w:val="center"/>
              <w:rPr>
                <w:rFonts w:ascii="Calibri" w:hAnsi="Calibri" w:cs="Calibri"/>
                <w:bCs/>
                <w:i/>
              </w:rPr>
            </w:pPr>
            <w:r w:rsidRPr="00EE0C8C">
              <w:rPr>
                <w:rFonts w:ascii="Calibri" w:hAnsi="Calibri" w:cs="Calibri"/>
                <w:bCs/>
                <w:i/>
              </w:rPr>
              <w:t>38</w:t>
            </w:r>
          </w:p>
        </w:tc>
        <w:tc>
          <w:tcPr>
            <w:tcW w:w="1827" w:type="dxa"/>
            <w:shd w:val="clear" w:color="auto" w:fill="92D050"/>
          </w:tcPr>
          <w:p w:rsidR="00EE0C8C" w:rsidRPr="00EE0C8C" w:rsidRDefault="00EE0C8C" w:rsidP="00EE0C8C">
            <w:pPr>
              <w:tabs>
                <w:tab w:val="left" w:pos="320"/>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bCs/>
                <w:i/>
              </w:rPr>
            </w:pPr>
            <w:r w:rsidRPr="00EE0C8C">
              <w:rPr>
                <w:rFonts w:ascii="Calibri" w:hAnsi="Calibri" w:cs="Calibri"/>
                <w:bCs/>
                <w:i/>
              </w:rPr>
              <w:t>77</w:t>
            </w:r>
          </w:p>
        </w:tc>
      </w:tr>
      <w:tr w:rsidR="00EE0C8C" w:rsidRPr="00EE0C8C" w:rsidTr="00A76BDB">
        <w:tblPrEx>
          <w:tblBorders>
            <w:top w:val="single" w:sz="8" w:space="0" w:color="9BBB59" w:themeColor="accent3"/>
            <w:left w:val="single" w:sz="8" w:space="0" w:color="9BBB59" w:themeColor="accent3"/>
            <w:bottom w:val="single" w:sz="8" w:space="0" w:color="9BBB59" w:themeColor="accent3"/>
            <w:right w:val="single" w:sz="8" w:space="0" w:color="9BBB59" w:themeColor="accent3"/>
            <w:insideH w:val="none" w:sz="0" w:space="0" w:color="auto"/>
            <w:insideV w:val="none" w:sz="0" w:space="0" w:color="auto"/>
          </w:tblBorders>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301"/>
        </w:trPr>
        <w:tc>
          <w:tcPr>
            <w:cnfStyle w:val="000010000000" w:firstRow="0" w:lastRow="0" w:firstColumn="0" w:lastColumn="0" w:oddVBand="1" w:evenVBand="0" w:oddHBand="0" w:evenHBand="0" w:firstRowFirstColumn="0" w:firstRowLastColumn="0" w:lastRowFirstColumn="0" w:lastRowLastColumn="0"/>
            <w:tcW w:w="2412" w:type="dxa"/>
            <w:shd w:val="clear" w:color="auto" w:fill="00B050"/>
          </w:tcPr>
          <w:p w:rsidR="00EE0C8C" w:rsidRPr="00EE0C8C" w:rsidRDefault="00EE0C8C" w:rsidP="00EE0C8C">
            <w:pPr>
              <w:tabs>
                <w:tab w:val="left" w:pos="320"/>
              </w:tabs>
              <w:jc w:val="center"/>
              <w:rPr>
                <w:rFonts w:ascii="Calibri" w:hAnsi="Calibri" w:cs="Calibri"/>
                <w:bCs/>
                <w:i/>
              </w:rPr>
            </w:pPr>
            <w:r w:rsidRPr="00EE0C8C">
              <w:rPr>
                <w:rFonts w:ascii="Calibri" w:hAnsi="Calibri" w:cs="Calibri"/>
                <w:bCs/>
                <w:i/>
              </w:rPr>
              <w:lastRenderedPageBreak/>
              <w:t>4-5</w:t>
            </w:r>
          </w:p>
        </w:tc>
        <w:tc>
          <w:tcPr>
            <w:tcW w:w="2446" w:type="dxa"/>
            <w:shd w:val="clear" w:color="auto" w:fill="00B050"/>
          </w:tcPr>
          <w:p w:rsidR="00EE0C8C" w:rsidRPr="00EE0C8C" w:rsidRDefault="00EE0C8C" w:rsidP="00EE0C8C">
            <w:pPr>
              <w:tabs>
                <w:tab w:val="left" w:pos="320"/>
              </w:tabs>
              <w:jc w:val="center"/>
              <w:cnfStyle w:val="000000100000" w:firstRow="0" w:lastRow="0" w:firstColumn="0" w:lastColumn="0" w:oddVBand="0" w:evenVBand="0" w:oddHBand="1" w:evenHBand="0" w:firstRowFirstColumn="0" w:firstRowLastColumn="0" w:lastRowFirstColumn="0" w:lastRowLastColumn="0"/>
              <w:rPr>
                <w:rFonts w:ascii="Calibri" w:hAnsi="Calibri" w:cs="Calibri"/>
                <w:bCs/>
                <w:i/>
              </w:rPr>
            </w:pPr>
            <w:r w:rsidRPr="00EE0C8C">
              <w:rPr>
                <w:rFonts w:ascii="Calibri" w:hAnsi="Calibri" w:cs="Calibri"/>
                <w:bCs/>
                <w:i/>
              </w:rPr>
              <w:t>95</w:t>
            </w:r>
          </w:p>
        </w:tc>
        <w:tc>
          <w:tcPr>
            <w:cnfStyle w:val="000010000000" w:firstRow="0" w:lastRow="0" w:firstColumn="0" w:lastColumn="0" w:oddVBand="1" w:evenVBand="0" w:oddHBand="0" w:evenHBand="0" w:firstRowFirstColumn="0" w:firstRowLastColumn="0" w:lastRowFirstColumn="0" w:lastRowLastColumn="0"/>
            <w:tcW w:w="2582" w:type="dxa"/>
            <w:shd w:val="clear" w:color="auto" w:fill="00B050"/>
          </w:tcPr>
          <w:p w:rsidR="00EE0C8C" w:rsidRPr="00EE0C8C" w:rsidRDefault="00EE0C8C" w:rsidP="00EE0C8C">
            <w:pPr>
              <w:tabs>
                <w:tab w:val="left" w:pos="320"/>
              </w:tabs>
              <w:jc w:val="center"/>
              <w:rPr>
                <w:rFonts w:ascii="Calibri" w:hAnsi="Calibri" w:cs="Calibri"/>
                <w:bCs/>
                <w:i/>
              </w:rPr>
            </w:pPr>
            <w:r w:rsidRPr="00EE0C8C">
              <w:rPr>
                <w:rFonts w:ascii="Calibri" w:hAnsi="Calibri" w:cs="Calibri"/>
                <w:bCs/>
                <w:i/>
              </w:rPr>
              <w:t>80</w:t>
            </w:r>
          </w:p>
        </w:tc>
        <w:tc>
          <w:tcPr>
            <w:tcW w:w="1827" w:type="dxa"/>
            <w:shd w:val="clear" w:color="auto" w:fill="00B050"/>
          </w:tcPr>
          <w:p w:rsidR="00EE0C8C" w:rsidRPr="00EE0C8C" w:rsidRDefault="00EE0C8C" w:rsidP="00EE0C8C">
            <w:pPr>
              <w:tabs>
                <w:tab w:val="left" w:pos="320"/>
              </w:tabs>
              <w:jc w:val="center"/>
              <w:cnfStyle w:val="000000100000" w:firstRow="0" w:lastRow="0" w:firstColumn="0" w:lastColumn="0" w:oddVBand="0" w:evenVBand="0" w:oddHBand="1" w:evenHBand="0" w:firstRowFirstColumn="0" w:firstRowLastColumn="0" w:lastRowFirstColumn="0" w:lastRowLastColumn="0"/>
              <w:rPr>
                <w:rFonts w:ascii="Calibri" w:hAnsi="Calibri" w:cs="Calibri"/>
                <w:bCs/>
                <w:i/>
              </w:rPr>
            </w:pPr>
            <w:r w:rsidRPr="00EE0C8C">
              <w:rPr>
                <w:rFonts w:ascii="Calibri" w:hAnsi="Calibri" w:cs="Calibri"/>
                <w:bCs/>
                <w:i/>
              </w:rPr>
              <w:t>175</w:t>
            </w:r>
          </w:p>
        </w:tc>
      </w:tr>
      <w:tr w:rsidR="00EE0C8C" w:rsidRPr="00EE0C8C" w:rsidTr="00A76BDB">
        <w:tblPrEx>
          <w:tblBorders>
            <w:top w:val="single" w:sz="8" w:space="0" w:color="9BBB59" w:themeColor="accent3"/>
            <w:left w:val="single" w:sz="8" w:space="0" w:color="9BBB59" w:themeColor="accent3"/>
            <w:bottom w:val="single" w:sz="8" w:space="0" w:color="9BBB59" w:themeColor="accent3"/>
            <w:right w:val="single" w:sz="8" w:space="0" w:color="9BBB59" w:themeColor="accent3"/>
            <w:insideH w:val="none" w:sz="0" w:space="0" w:color="auto"/>
            <w:insideV w:val="none" w:sz="0" w:space="0" w:color="auto"/>
          </w:tblBorders>
          <w:tblCellMar>
            <w:left w:w="108" w:type="dxa"/>
            <w:right w:w="108" w:type="dxa"/>
          </w:tblCellMar>
        </w:tblPrEx>
        <w:trPr>
          <w:trHeight w:val="121"/>
        </w:trPr>
        <w:tc>
          <w:tcPr>
            <w:cnfStyle w:val="000010000000" w:firstRow="0" w:lastRow="0" w:firstColumn="0" w:lastColumn="0" w:oddVBand="1" w:evenVBand="0" w:oddHBand="0" w:evenHBand="0" w:firstRowFirstColumn="0" w:firstRowLastColumn="0" w:lastRowFirstColumn="0" w:lastRowLastColumn="0"/>
            <w:tcW w:w="2412" w:type="dxa"/>
            <w:shd w:val="clear" w:color="auto" w:fill="92D050"/>
          </w:tcPr>
          <w:p w:rsidR="00EE0C8C" w:rsidRPr="00EE0C8C" w:rsidRDefault="00EE0C8C" w:rsidP="00EE0C8C">
            <w:pPr>
              <w:tabs>
                <w:tab w:val="left" w:pos="320"/>
              </w:tabs>
              <w:jc w:val="center"/>
              <w:rPr>
                <w:rFonts w:ascii="Calibri" w:hAnsi="Calibri" w:cs="Calibri"/>
                <w:bCs/>
                <w:i/>
              </w:rPr>
            </w:pPr>
            <w:r w:rsidRPr="00EE0C8C">
              <w:rPr>
                <w:rFonts w:ascii="Calibri" w:hAnsi="Calibri" w:cs="Calibri"/>
                <w:bCs/>
                <w:i/>
              </w:rPr>
              <w:t>6</w:t>
            </w:r>
          </w:p>
        </w:tc>
        <w:tc>
          <w:tcPr>
            <w:tcW w:w="2446" w:type="dxa"/>
            <w:shd w:val="clear" w:color="auto" w:fill="92D050"/>
          </w:tcPr>
          <w:p w:rsidR="00EE0C8C" w:rsidRPr="00EE0C8C" w:rsidRDefault="00EE0C8C" w:rsidP="00EE0C8C">
            <w:pPr>
              <w:tabs>
                <w:tab w:val="left" w:pos="320"/>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bCs/>
                <w:i/>
              </w:rPr>
            </w:pPr>
            <w:r w:rsidRPr="00EE0C8C">
              <w:rPr>
                <w:rFonts w:ascii="Calibri" w:hAnsi="Calibri" w:cs="Calibri"/>
                <w:bCs/>
                <w:i/>
              </w:rPr>
              <w:t>54</w:t>
            </w:r>
          </w:p>
        </w:tc>
        <w:tc>
          <w:tcPr>
            <w:cnfStyle w:val="000010000000" w:firstRow="0" w:lastRow="0" w:firstColumn="0" w:lastColumn="0" w:oddVBand="1" w:evenVBand="0" w:oddHBand="0" w:evenHBand="0" w:firstRowFirstColumn="0" w:firstRowLastColumn="0" w:lastRowFirstColumn="0" w:lastRowLastColumn="0"/>
            <w:tcW w:w="2582" w:type="dxa"/>
            <w:shd w:val="clear" w:color="auto" w:fill="92D050"/>
          </w:tcPr>
          <w:p w:rsidR="00EE0C8C" w:rsidRPr="00EE0C8C" w:rsidRDefault="00EE0C8C" w:rsidP="00EE0C8C">
            <w:pPr>
              <w:tabs>
                <w:tab w:val="left" w:pos="320"/>
              </w:tabs>
              <w:jc w:val="center"/>
              <w:rPr>
                <w:rFonts w:ascii="Calibri" w:hAnsi="Calibri" w:cs="Calibri"/>
                <w:bCs/>
                <w:i/>
              </w:rPr>
            </w:pPr>
            <w:r w:rsidRPr="00EE0C8C">
              <w:rPr>
                <w:rFonts w:ascii="Calibri" w:hAnsi="Calibri" w:cs="Calibri"/>
                <w:bCs/>
                <w:i/>
              </w:rPr>
              <w:t>52</w:t>
            </w:r>
          </w:p>
        </w:tc>
        <w:tc>
          <w:tcPr>
            <w:tcW w:w="1827" w:type="dxa"/>
            <w:shd w:val="clear" w:color="auto" w:fill="92D050"/>
          </w:tcPr>
          <w:p w:rsidR="00EE0C8C" w:rsidRPr="00EE0C8C" w:rsidRDefault="00EE0C8C" w:rsidP="00EE0C8C">
            <w:pPr>
              <w:tabs>
                <w:tab w:val="left" w:pos="320"/>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bCs/>
                <w:i/>
              </w:rPr>
            </w:pPr>
            <w:r w:rsidRPr="00EE0C8C">
              <w:rPr>
                <w:rFonts w:ascii="Calibri" w:hAnsi="Calibri" w:cs="Calibri"/>
                <w:bCs/>
                <w:i/>
              </w:rPr>
              <w:t>106</w:t>
            </w:r>
          </w:p>
        </w:tc>
      </w:tr>
      <w:tr w:rsidR="00EE0C8C" w:rsidRPr="00EE0C8C" w:rsidTr="00A76BDB">
        <w:tblPrEx>
          <w:tblBorders>
            <w:top w:val="single" w:sz="8" w:space="0" w:color="9BBB59" w:themeColor="accent3"/>
            <w:left w:val="single" w:sz="8" w:space="0" w:color="9BBB59" w:themeColor="accent3"/>
            <w:bottom w:val="single" w:sz="8" w:space="0" w:color="9BBB59" w:themeColor="accent3"/>
            <w:right w:val="single" w:sz="8" w:space="0" w:color="9BBB59" w:themeColor="accent3"/>
            <w:insideH w:val="none" w:sz="0" w:space="0" w:color="auto"/>
            <w:insideV w:val="none" w:sz="0" w:space="0" w:color="auto"/>
          </w:tblBorders>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66"/>
        </w:trPr>
        <w:tc>
          <w:tcPr>
            <w:cnfStyle w:val="000010000000" w:firstRow="0" w:lastRow="0" w:firstColumn="0" w:lastColumn="0" w:oddVBand="1" w:evenVBand="0" w:oddHBand="0" w:evenHBand="0" w:firstRowFirstColumn="0" w:firstRowLastColumn="0" w:lastRowFirstColumn="0" w:lastRowLastColumn="0"/>
            <w:tcW w:w="2412" w:type="dxa"/>
            <w:shd w:val="clear" w:color="auto" w:fill="00B050"/>
          </w:tcPr>
          <w:p w:rsidR="00EE0C8C" w:rsidRPr="00EE0C8C" w:rsidRDefault="00EE0C8C" w:rsidP="00EE0C8C">
            <w:pPr>
              <w:tabs>
                <w:tab w:val="left" w:pos="320"/>
              </w:tabs>
              <w:jc w:val="center"/>
              <w:rPr>
                <w:rFonts w:ascii="Calibri" w:hAnsi="Calibri" w:cs="Calibri"/>
                <w:bCs/>
                <w:i/>
              </w:rPr>
            </w:pPr>
            <w:r w:rsidRPr="00EE0C8C">
              <w:rPr>
                <w:rFonts w:ascii="Calibri" w:hAnsi="Calibri" w:cs="Calibri"/>
                <w:bCs/>
                <w:i/>
              </w:rPr>
              <w:t>7</w:t>
            </w:r>
          </w:p>
        </w:tc>
        <w:tc>
          <w:tcPr>
            <w:tcW w:w="2446" w:type="dxa"/>
            <w:shd w:val="clear" w:color="auto" w:fill="00B050"/>
          </w:tcPr>
          <w:p w:rsidR="00EE0C8C" w:rsidRPr="00EE0C8C" w:rsidRDefault="00EE0C8C" w:rsidP="00EE0C8C">
            <w:pPr>
              <w:tabs>
                <w:tab w:val="left" w:pos="320"/>
              </w:tabs>
              <w:jc w:val="center"/>
              <w:cnfStyle w:val="000000100000" w:firstRow="0" w:lastRow="0" w:firstColumn="0" w:lastColumn="0" w:oddVBand="0" w:evenVBand="0" w:oddHBand="1" w:evenHBand="0" w:firstRowFirstColumn="0" w:firstRowLastColumn="0" w:lastRowFirstColumn="0" w:lastRowLastColumn="0"/>
              <w:rPr>
                <w:rFonts w:ascii="Calibri" w:hAnsi="Calibri" w:cs="Calibri"/>
                <w:bCs/>
                <w:i/>
              </w:rPr>
            </w:pPr>
            <w:r w:rsidRPr="00EE0C8C">
              <w:rPr>
                <w:rFonts w:ascii="Calibri" w:hAnsi="Calibri" w:cs="Calibri"/>
                <w:bCs/>
                <w:i/>
              </w:rPr>
              <w:t>60</w:t>
            </w:r>
          </w:p>
        </w:tc>
        <w:tc>
          <w:tcPr>
            <w:cnfStyle w:val="000010000000" w:firstRow="0" w:lastRow="0" w:firstColumn="0" w:lastColumn="0" w:oddVBand="1" w:evenVBand="0" w:oddHBand="0" w:evenHBand="0" w:firstRowFirstColumn="0" w:firstRowLastColumn="0" w:lastRowFirstColumn="0" w:lastRowLastColumn="0"/>
            <w:tcW w:w="2582" w:type="dxa"/>
            <w:shd w:val="clear" w:color="auto" w:fill="00B050"/>
          </w:tcPr>
          <w:p w:rsidR="00EE0C8C" w:rsidRPr="00EE0C8C" w:rsidRDefault="00EE0C8C" w:rsidP="00EE0C8C">
            <w:pPr>
              <w:tabs>
                <w:tab w:val="left" w:pos="320"/>
              </w:tabs>
              <w:jc w:val="center"/>
              <w:rPr>
                <w:rFonts w:ascii="Calibri" w:hAnsi="Calibri" w:cs="Calibri"/>
                <w:bCs/>
                <w:i/>
              </w:rPr>
            </w:pPr>
            <w:r w:rsidRPr="00EE0C8C">
              <w:rPr>
                <w:rFonts w:ascii="Calibri" w:hAnsi="Calibri" w:cs="Calibri"/>
                <w:bCs/>
                <w:i/>
              </w:rPr>
              <w:t>33</w:t>
            </w:r>
          </w:p>
        </w:tc>
        <w:tc>
          <w:tcPr>
            <w:tcW w:w="1827" w:type="dxa"/>
            <w:shd w:val="clear" w:color="auto" w:fill="00B050"/>
          </w:tcPr>
          <w:p w:rsidR="00EE0C8C" w:rsidRPr="00EE0C8C" w:rsidRDefault="00EE0C8C" w:rsidP="00EE0C8C">
            <w:pPr>
              <w:tabs>
                <w:tab w:val="left" w:pos="320"/>
              </w:tabs>
              <w:jc w:val="center"/>
              <w:cnfStyle w:val="000000100000" w:firstRow="0" w:lastRow="0" w:firstColumn="0" w:lastColumn="0" w:oddVBand="0" w:evenVBand="0" w:oddHBand="1" w:evenHBand="0" w:firstRowFirstColumn="0" w:firstRowLastColumn="0" w:lastRowFirstColumn="0" w:lastRowLastColumn="0"/>
              <w:rPr>
                <w:rFonts w:ascii="Calibri" w:hAnsi="Calibri" w:cs="Calibri"/>
                <w:bCs/>
                <w:i/>
              </w:rPr>
            </w:pPr>
            <w:r w:rsidRPr="00EE0C8C">
              <w:rPr>
                <w:rFonts w:ascii="Calibri" w:hAnsi="Calibri" w:cs="Calibri"/>
                <w:bCs/>
                <w:i/>
              </w:rPr>
              <w:t>93</w:t>
            </w:r>
          </w:p>
        </w:tc>
      </w:tr>
      <w:tr w:rsidR="00EE0C8C" w:rsidRPr="00EE0C8C" w:rsidTr="00A76BDB">
        <w:tblPrEx>
          <w:tblBorders>
            <w:top w:val="single" w:sz="8" w:space="0" w:color="9BBB59" w:themeColor="accent3"/>
            <w:left w:val="single" w:sz="8" w:space="0" w:color="9BBB59" w:themeColor="accent3"/>
            <w:bottom w:val="single" w:sz="8" w:space="0" w:color="9BBB59" w:themeColor="accent3"/>
            <w:right w:val="single" w:sz="8" w:space="0" w:color="9BBB59" w:themeColor="accent3"/>
            <w:insideH w:val="none" w:sz="0" w:space="0" w:color="auto"/>
            <w:insideV w:val="none" w:sz="0" w:space="0" w:color="auto"/>
          </w:tblBorders>
          <w:tblCellMar>
            <w:left w:w="108" w:type="dxa"/>
            <w:right w:w="108" w:type="dxa"/>
          </w:tblCellMar>
        </w:tblPrEx>
        <w:trPr>
          <w:trHeight w:val="244"/>
        </w:trPr>
        <w:tc>
          <w:tcPr>
            <w:cnfStyle w:val="000010000000" w:firstRow="0" w:lastRow="0" w:firstColumn="0" w:lastColumn="0" w:oddVBand="1" w:evenVBand="0" w:oddHBand="0" w:evenHBand="0" w:firstRowFirstColumn="0" w:firstRowLastColumn="0" w:lastRowFirstColumn="0" w:lastRowLastColumn="0"/>
            <w:tcW w:w="2412" w:type="dxa"/>
            <w:shd w:val="clear" w:color="auto" w:fill="92D050"/>
          </w:tcPr>
          <w:p w:rsidR="00EE0C8C" w:rsidRPr="00EE0C8C" w:rsidRDefault="00EE0C8C" w:rsidP="00EE0C8C">
            <w:pPr>
              <w:tabs>
                <w:tab w:val="left" w:pos="320"/>
              </w:tabs>
              <w:jc w:val="center"/>
              <w:rPr>
                <w:rFonts w:ascii="Calibri" w:hAnsi="Calibri" w:cs="Calibri"/>
                <w:bCs/>
                <w:i/>
              </w:rPr>
            </w:pPr>
            <w:r w:rsidRPr="00EE0C8C">
              <w:rPr>
                <w:rFonts w:ascii="Calibri" w:hAnsi="Calibri" w:cs="Calibri"/>
                <w:bCs/>
                <w:i/>
              </w:rPr>
              <w:t>8-12</w:t>
            </w:r>
          </w:p>
        </w:tc>
        <w:tc>
          <w:tcPr>
            <w:tcW w:w="2446" w:type="dxa"/>
            <w:shd w:val="clear" w:color="auto" w:fill="92D050"/>
          </w:tcPr>
          <w:p w:rsidR="00EE0C8C" w:rsidRPr="00EE0C8C" w:rsidRDefault="00EE0C8C" w:rsidP="00EE0C8C">
            <w:pPr>
              <w:tabs>
                <w:tab w:val="left" w:pos="320"/>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bCs/>
                <w:i/>
              </w:rPr>
            </w:pPr>
            <w:r w:rsidRPr="00EE0C8C">
              <w:rPr>
                <w:rFonts w:ascii="Calibri" w:hAnsi="Calibri" w:cs="Calibri"/>
                <w:bCs/>
                <w:i/>
              </w:rPr>
              <w:t>212</w:t>
            </w:r>
          </w:p>
        </w:tc>
        <w:tc>
          <w:tcPr>
            <w:cnfStyle w:val="000010000000" w:firstRow="0" w:lastRow="0" w:firstColumn="0" w:lastColumn="0" w:oddVBand="1" w:evenVBand="0" w:oddHBand="0" w:evenHBand="0" w:firstRowFirstColumn="0" w:firstRowLastColumn="0" w:lastRowFirstColumn="0" w:lastRowLastColumn="0"/>
            <w:tcW w:w="2582" w:type="dxa"/>
            <w:shd w:val="clear" w:color="auto" w:fill="92D050"/>
          </w:tcPr>
          <w:p w:rsidR="00EE0C8C" w:rsidRPr="00EE0C8C" w:rsidRDefault="00EE0C8C" w:rsidP="00EE0C8C">
            <w:pPr>
              <w:tabs>
                <w:tab w:val="left" w:pos="320"/>
              </w:tabs>
              <w:jc w:val="center"/>
              <w:rPr>
                <w:rFonts w:ascii="Calibri" w:hAnsi="Calibri" w:cs="Calibri"/>
                <w:bCs/>
                <w:i/>
              </w:rPr>
            </w:pPr>
            <w:r w:rsidRPr="00EE0C8C">
              <w:rPr>
                <w:rFonts w:ascii="Calibri" w:hAnsi="Calibri" w:cs="Calibri"/>
                <w:bCs/>
                <w:i/>
              </w:rPr>
              <w:t>207</w:t>
            </w:r>
          </w:p>
        </w:tc>
        <w:tc>
          <w:tcPr>
            <w:tcW w:w="1827" w:type="dxa"/>
            <w:shd w:val="clear" w:color="auto" w:fill="92D050"/>
          </w:tcPr>
          <w:p w:rsidR="00EE0C8C" w:rsidRPr="00EE0C8C" w:rsidRDefault="00EE0C8C" w:rsidP="00EE0C8C">
            <w:pPr>
              <w:tabs>
                <w:tab w:val="left" w:pos="320"/>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bCs/>
                <w:i/>
              </w:rPr>
            </w:pPr>
            <w:r w:rsidRPr="00EE0C8C">
              <w:rPr>
                <w:rFonts w:ascii="Calibri" w:hAnsi="Calibri" w:cs="Calibri"/>
                <w:bCs/>
                <w:i/>
              </w:rPr>
              <w:t>419</w:t>
            </w:r>
          </w:p>
        </w:tc>
      </w:tr>
      <w:tr w:rsidR="00EE0C8C" w:rsidRPr="00EE0C8C" w:rsidTr="00A76BDB">
        <w:tblPrEx>
          <w:tblBorders>
            <w:top w:val="single" w:sz="8" w:space="0" w:color="9BBB59" w:themeColor="accent3"/>
            <w:left w:val="single" w:sz="8" w:space="0" w:color="9BBB59" w:themeColor="accent3"/>
            <w:bottom w:val="single" w:sz="8" w:space="0" w:color="9BBB59" w:themeColor="accent3"/>
            <w:right w:val="single" w:sz="8" w:space="0" w:color="9BBB59" w:themeColor="accent3"/>
            <w:insideH w:val="none" w:sz="0" w:space="0" w:color="auto"/>
            <w:insideV w:val="none" w:sz="0" w:space="0" w:color="auto"/>
          </w:tblBorders>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48"/>
        </w:trPr>
        <w:tc>
          <w:tcPr>
            <w:cnfStyle w:val="000010000000" w:firstRow="0" w:lastRow="0" w:firstColumn="0" w:lastColumn="0" w:oddVBand="1" w:evenVBand="0" w:oddHBand="0" w:evenHBand="0" w:firstRowFirstColumn="0" w:firstRowLastColumn="0" w:lastRowFirstColumn="0" w:lastRowLastColumn="0"/>
            <w:tcW w:w="2412" w:type="dxa"/>
            <w:shd w:val="clear" w:color="auto" w:fill="00B050"/>
          </w:tcPr>
          <w:p w:rsidR="00EE0C8C" w:rsidRPr="00EE0C8C" w:rsidRDefault="00EE0C8C" w:rsidP="00EE0C8C">
            <w:pPr>
              <w:tabs>
                <w:tab w:val="left" w:pos="320"/>
              </w:tabs>
              <w:jc w:val="center"/>
              <w:rPr>
                <w:rFonts w:ascii="Calibri" w:hAnsi="Calibri" w:cs="Calibri"/>
                <w:bCs/>
                <w:i/>
              </w:rPr>
            </w:pPr>
            <w:r w:rsidRPr="00EE0C8C">
              <w:rPr>
                <w:rFonts w:ascii="Calibri" w:hAnsi="Calibri" w:cs="Calibri"/>
                <w:bCs/>
                <w:i/>
              </w:rPr>
              <w:t>13-15</w:t>
            </w:r>
          </w:p>
        </w:tc>
        <w:tc>
          <w:tcPr>
            <w:tcW w:w="2446" w:type="dxa"/>
            <w:shd w:val="clear" w:color="auto" w:fill="00B050"/>
          </w:tcPr>
          <w:p w:rsidR="00EE0C8C" w:rsidRPr="00EE0C8C" w:rsidRDefault="00EE0C8C" w:rsidP="00EE0C8C">
            <w:pPr>
              <w:tabs>
                <w:tab w:val="left" w:pos="320"/>
              </w:tabs>
              <w:jc w:val="center"/>
              <w:cnfStyle w:val="000000100000" w:firstRow="0" w:lastRow="0" w:firstColumn="0" w:lastColumn="0" w:oddVBand="0" w:evenVBand="0" w:oddHBand="1" w:evenHBand="0" w:firstRowFirstColumn="0" w:firstRowLastColumn="0" w:lastRowFirstColumn="0" w:lastRowLastColumn="0"/>
              <w:rPr>
                <w:rFonts w:ascii="Calibri" w:hAnsi="Calibri" w:cs="Calibri"/>
                <w:bCs/>
                <w:i/>
              </w:rPr>
            </w:pPr>
            <w:r w:rsidRPr="00EE0C8C">
              <w:rPr>
                <w:rFonts w:ascii="Calibri" w:hAnsi="Calibri" w:cs="Calibri"/>
                <w:bCs/>
                <w:i/>
              </w:rPr>
              <w:t>138</w:t>
            </w:r>
          </w:p>
        </w:tc>
        <w:tc>
          <w:tcPr>
            <w:cnfStyle w:val="000010000000" w:firstRow="0" w:lastRow="0" w:firstColumn="0" w:lastColumn="0" w:oddVBand="1" w:evenVBand="0" w:oddHBand="0" w:evenHBand="0" w:firstRowFirstColumn="0" w:firstRowLastColumn="0" w:lastRowFirstColumn="0" w:lastRowLastColumn="0"/>
            <w:tcW w:w="2582" w:type="dxa"/>
            <w:shd w:val="clear" w:color="auto" w:fill="00B050"/>
          </w:tcPr>
          <w:p w:rsidR="00EE0C8C" w:rsidRPr="00EE0C8C" w:rsidRDefault="00EE0C8C" w:rsidP="00EE0C8C">
            <w:pPr>
              <w:tabs>
                <w:tab w:val="left" w:pos="320"/>
              </w:tabs>
              <w:jc w:val="center"/>
              <w:rPr>
                <w:rFonts w:ascii="Calibri" w:hAnsi="Calibri" w:cs="Calibri"/>
                <w:bCs/>
                <w:i/>
              </w:rPr>
            </w:pPr>
            <w:r w:rsidRPr="00EE0C8C">
              <w:rPr>
                <w:rFonts w:ascii="Calibri" w:hAnsi="Calibri" w:cs="Calibri"/>
                <w:bCs/>
                <w:i/>
              </w:rPr>
              <w:t>130</w:t>
            </w:r>
          </w:p>
        </w:tc>
        <w:tc>
          <w:tcPr>
            <w:tcW w:w="1827" w:type="dxa"/>
            <w:shd w:val="clear" w:color="auto" w:fill="00B050"/>
          </w:tcPr>
          <w:p w:rsidR="00EE0C8C" w:rsidRPr="00EE0C8C" w:rsidRDefault="00EE0C8C" w:rsidP="00EE0C8C">
            <w:pPr>
              <w:tabs>
                <w:tab w:val="left" w:pos="320"/>
              </w:tabs>
              <w:jc w:val="center"/>
              <w:cnfStyle w:val="000000100000" w:firstRow="0" w:lastRow="0" w:firstColumn="0" w:lastColumn="0" w:oddVBand="0" w:evenVBand="0" w:oddHBand="1" w:evenHBand="0" w:firstRowFirstColumn="0" w:firstRowLastColumn="0" w:lastRowFirstColumn="0" w:lastRowLastColumn="0"/>
              <w:rPr>
                <w:rFonts w:ascii="Calibri" w:hAnsi="Calibri" w:cs="Calibri"/>
                <w:bCs/>
                <w:i/>
              </w:rPr>
            </w:pPr>
            <w:r w:rsidRPr="00EE0C8C">
              <w:rPr>
                <w:rFonts w:ascii="Calibri" w:hAnsi="Calibri" w:cs="Calibri"/>
                <w:bCs/>
                <w:i/>
              </w:rPr>
              <w:t>268</w:t>
            </w:r>
          </w:p>
        </w:tc>
      </w:tr>
      <w:tr w:rsidR="00EE0C8C" w:rsidRPr="00EE0C8C" w:rsidTr="00A76BDB">
        <w:tblPrEx>
          <w:tblBorders>
            <w:top w:val="single" w:sz="8" w:space="0" w:color="9BBB59" w:themeColor="accent3"/>
            <w:left w:val="single" w:sz="8" w:space="0" w:color="9BBB59" w:themeColor="accent3"/>
            <w:bottom w:val="single" w:sz="8" w:space="0" w:color="9BBB59" w:themeColor="accent3"/>
            <w:right w:val="single" w:sz="8" w:space="0" w:color="9BBB59" w:themeColor="accent3"/>
            <w:insideH w:val="none" w:sz="0" w:space="0" w:color="auto"/>
            <w:insideV w:val="none" w:sz="0" w:space="0" w:color="auto"/>
          </w:tblBorders>
          <w:tblCellMar>
            <w:left w:w="108" w:type="dxa"/>
            <w:right w:w="108" w:type="dxa"/>
          </w:tblCellMar>
        </w:tblPrEx>
        <w:trPr>
          <w:trHeight w:val="238"/>
        </w:trPr>
        <w:tc>
          <w:tcPr>
            <w:cnfStyle w:val="000010000000" w:firstRow="0" w:lastRow="0" w:firstColumn="0" w:lastColumn="0" w:oddVBand="1" w:evenVBand="0" w:oddHBand="0" w:evenHBand="0" w:firstRowFirstColumn="0" w:firstRowLastColumn="0" w:lastRowFirstColumn="0" w:lastRowLastColumn="0"/>
            <w:tcW w:w="2412" w:type="dxa"/>
            <w:shd w:val="clear" w:color="auto" w:fill="92D050"/>
          </w:tcPr>
          <w:p w:rsidR="00EE0C8C" w:rsidRPr="00EE0C8C" w:rsidRDefault="00EE0C8C" w:rsidP="00EE0C8C">
            <w:pPr>
              <w:tabs>
                <w:tab w:val="left" w:pos="320"/>
              </w:tabs>
              <w:jc w:val="center"/>
              <w:rPr>
                <w:rFonts w:ascii="Calibri" w:hAnsi="Calibri" w:cs="Calibri"/>
                <w:bCs/>
                <w:i/>
              </w:rPr>
            </w:pPr>
            <w:r w:rsidRPr="00EE0C8C">
              <w:rPr>
                <w:rFonts w:ascii="Calibri" w:hAnsi="Calibri" w:cs="Calibri"/>
                <w:bCs/>
                <w:i/>
              </w:rPr>
              <w:t>16-17</w:t>
            </w:r>
          </w:p>
        </w:tc>
        <w:tc>
          <w:tcPr>
            <w:tcW w:w="2446" w:type="dxa"/>
            <w:shd w:val="clear" w:color="auto" w:fill="92D050"/>
          </w:tcPr>
          <w:p w:rsidR="00EE0C8C" w:rsidRPr="00EE0C8C" w:rsidRDefault="00EE0C8C" w:rsidP="00EE0C8C">
            <w:pPr>
              <w:tabs>
                <w:tab w:val="left" w:pos="320"/>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bCs/>
                <w:i/>
              </w:rPr>
            </w:pPr>
            <w:r w:rsidRPr="00EE0C8C">
              <w:rPr>
                <w:rFonts w:ascii="Calibri" w:hAnsi="Calibri" w:cs="Calibri"/>
                <w:bCs/>
                <w:i/>
              </w:rPr>
              <w:t>84</w:t>
            </w:r>
          </w:p>
        </w:tc>
        <w:tc>
          <w:tcPr>
            <w:cnfStyle w:val="000010000000" w:firstRow="0" w:lastRow="0" w:firstColumn="0" w:lastColumn="0" w:oddVBand="1" w:evenVBand="0" w:oddHBand="0" w:evenHBand="0" w:firstRowFirstColumn="0" w:firstRowLastColumn="0" w:lastRowFirstColumn="0" w:lastRowLastColumn="0"/>
            <w:tcW w:w="2582" w:type="dxa"/>
            <w:shd w:val="clear" w:color="auto" w:fill="92D050"/>
          </w:tcPr>
          <w:p w:rsidR="00EE0C8C" w:rsidRPr="00EE0C8C" w:rsidRDefault="00EE0C8C" w:rsidP="00EE0C8C">
            <w:pPr>
              <w:tabs>
                <w:tab w:val="left" w:pos="320"/>
              </w:tabs>
              <w:jc w:val="center"/>
              <w:rPr>
                <w:rFonts w:ascii="Calibri" w:hAnsi="Calibri" w:cs="Calibri"/>
                <w:bCs/>
                <w:i/>
              </w:rPr>
            </w:pPr>
            <w:r w:rsidRPr="00EE0C8C">
              <w:rPr>
                <w:rFonts w:ascii="Calibri" w:hAnsi="Calibri" w:cs="Calibri"/>
                <w:bCs/>
                <w:i/>
              </w:rPr>
              <w:t>70</w:t>
            </w:r>
          </w:p>
        </w:tc>
        <w:tc>
          <w:tcPr>
            <w:tcW w:w="1827" w:type="dxa"/>
            <w:shd w:val="clear" w:color="auto" w:fill="92D050"/>
          </w:tcPr>
          <w:p w:rsidR="00EE0C8C" w:rsidRPr="00EE0C8C" w:rsidRDefault="00EE0C8C" w:rsidP="00EE0C8C">
            <w:pPr>
              <w:tabs>
                <w:tab w:val="left" w:pos="320"/>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bCs/>
                <w:i/>
              </w:rPr>
            </w:pPr>
            <w:r w:rsidRPr="00EE0C8C">
              <w:rPr>
                <w:rFonts w:ascii="Calibri" w:hAnsi="Calibri" w:cs="Calibri"/>
                <w:bCs/>
                <w:i/>
              </w:rPr>
              <w:t>154</w:t>
            </w:r>
          </w:p>
        </w:tc>
      </w:tr>
      <w:tr w:rsidR="00EE0C8C" w:rsidRPr="00EE0C8C" w:rsidTr="00A76BDB">
        <w:tblPrEx>
          <w:tblBorders>
            <w:top w:val="single" w:sz="8" w:space="0" w:color="9BBB59" w:themeColor="accent3"/>
            <w:left w:val="single" w:sz="8" w:space="0" w:color="9BBB59" w:themeColor="accent3"/>
            <w:bottom w:val="single" w:sz="8" w:space="0" w:color="9BBB59" w:themeColor="accent3"/>
            <w:right w:val="single" w:sz="8" w:space="0" w:color="9BBB59" w:themeColor="accent3"/>
            <w:insideH w:val="none" w:sz="0" w:space="0" w:color="auto"/>
            <w:insideV w:val="none" w:sz="0" w:space="0" w:color="auto"/>
          </w:tblBorders>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28"/>
        </w:trPr>
        <w:tc>
          <w:tcPr>
            <w:cnfStyle w:val="000010000000" w:firstRow="0" w:lastRow="0" w:firstColumn="0" w:lastColumn="0" w:oddVBand="1" w:evenVBand="0" w:oddHBand="0" w:evenHBand="0" w:firstRowFirstColumn="0" w:firstRowLastColumn="0" w:lastRowFirstColumn="0" w:lastRowLastColumn="0"/>
            <w:tcW w:w="2412" w:type="dxa"/>
            <w:shd w:val="clear" w:color="auto" w:fill="00B050"/>
          </w:tcPr>
          <w:p w:rsidR="00EE0C8C" w:rsidRPr="00EE0C8C" w:rsidRDefault="00EE0C8C" w:rsidP="00EE0C8C">
            <w:pPr>
              <w:tabs>
                <w:tab w:val="left" w:pos="320"/>
              </w:tabs>
              <w:jc w:val="center"/>
              <w:rPr>
                <w:rFonts w:ascii="Calibri" w:hAnsi="Calibri" w:cs="Calibri"/>
                <w:bCs/>
                <w:i/>
              </w:rPr>
            </w:pPr>
            <w:r w:rsidRPr="00EE0C8C">
              <w:rPr>
                <w:rFonts w:ascii="Calibri" w:hAnsi="Calibri" w:cs="Calibri"/>
                <w:bCs/>
                <w:i/>
              </w:rPr>
              <w:t>18</w:t>
            </w:r>
          </w:p>
        </w:tc>
        <w:tc>
          <w:tcPr>
            <w:tcW w:w="2446" w:type="dxa"/>
            <w:shd w:val="clear" w:color="auto" w:fill="00B050"/>
          </w:tcPr>
          <w:p w:rsidR="00EE0C8C" w:rsidRPr="00EE0C8C" w:rsidRDefault="00EE0C8C" w:rsidP="00EE0C8C">
            <w:pPr>
              <w:tabs>
                <w:tab w:val="left" w:pos="320"/>
              </w:tabs>
              <w:jc w:val="center"/>
              <w:cnfStyle w:val="000000100000" w:firstRow="0" w:lastRow="0" w:firstColumn="0" w:lastColumn="0" w:oddVBand="0" w:evenVBand="0" w:oddHBand="1" w:evenHBand="0" w:firstRowFirstColumn="0" w:firstRowLastColumn="0" w:lastRowFirstColumn="0" w:lastRowLastColumn="0"/>
              <w:rPr>
                <w:rFonts w:ascii="Calibri" w:hAnsi="Calibri" w:cs="Calibri"/>
                <w:bCs/>
                <w:i/>
              </w:rPr>
            </w:pPr>
            <w:r w:rsidRPr="00EE0C8C">
              <w:rPr>
                <w:rFonts w:ascii="Calibri" w:hAnsi="Calibri" w:cs="Calibri"/>
                <w:bCs/>
                <w:i/>
              </w:rPr>
              <w:t>39</w:t>
            </w:r>
          </w:p>
        </w:tc>
        <w:tc>
          <w:tcPr>
            <w:cnfStyle w:val="000010000000" w:firstRow="0" w:lastRow="0" w:firstColumn="0" w:lastColumn="0" w:oddVBand="1" w:evenVBand="0" w:oddHBand="0" w:evenHBand="0" w:firstRowFirstColumn="0" w:firstRowLastColumn="0" w:lastRowFirstColumn="0" w:lastRowLastColumn="0"/>
            <w:tcW w:w="2582" w:type="dxa"/>
            <w:shd w:val="clear" w:color="auto" w:fill="00B050"/>
          </w:tcPr>
          <w:p w:rsidR="00EE0C8C" w:rsidRPr="00EE0C8C" w:rsidRDefault="00EE0C8C" w:rsidP="00EE0C8C">
            <w:pPr>
              <w:tabs>
                <w:tab w:val="left" w:pos="320"/>
              </w:tabs>
              <w:jc w:val="center"/>
              <w:rPr>
                <w:rFonts w:ascii="Calibri" w:hAnsi="Calibri" w:cs="Calibri"/>
                <w:bCs/>
                <w:i/>
              </w:rPr>
            </w:pPr>
            <w:r w:rsidRPr="00EE0C8C">
              <w:rPr>
                <w:rFonts w:ascii="Calibri" w:hAnsi="Calibri" w:cs="Calibri"/>
                <w:bCs/>
                <w:i/>
              </w:rPr>
              <w:t>52</w:t>
            </w:r>
          </w:p>
        </w:tc>
        <w:tc>
          <w:tcPr>
            <w:tcW w:w="1827" w:type="dxa"/>
            <w:shd w:val="clear" w:color="auto" w:fill="00B050"/>
          </w:tcPr>
          <w:p w:rsidR="00EE0C8C" w:rsidRPr="00EE0C8C" w:rsidRDefault="00EE0C8C" w:rsidP="00EE0C8C">
            <w:pPr>
              <w:tabs>
                <w:tab w:val="left" w:pos="320"/>
              </w:tabs>
              <w:jc w:val="center"/>
              <w:cnfStyle w:val="000000100000" w:firstRow="0" w:lastRow="0" w:firstColumn="0" w:lastColumn="0" w:oddVBand="0" w:evenVBand="0" w:oddHBand="1" w:evenHBand="0" w:firstRowFirstColumn="0" w:firstRowLastColumn="0" w:lastRowFirstColumn="0" w:lastRowLastColumn="0"/>
              <w:rPr>
                <w:rFonts w:ascii="Calibri" w:hAnsi="Calibri" w:cs="Calibri"/>
                <w:bCs/>
                <w:i/>
              </w:rPr>
            </w:pPr>
            <w:r w:rsidRPr="00EE0C8C">
              <w:rPr>
                <w:rFonts w:ascii="Calibri" w:hAnsi="Calibri" w:cs="Calibri"/>
                <w:bCs/>
                <w:i/>
              </w:rPr>
              <w:t>91</w:t>
            </w:r>
          </w:p>
        </w:tc>
      </w:tr>
      <w:tr w:rsidR="00EE0C8C" w:rsidRPr="00EE0C8C" w:rsidTr="00A76BDB">
        <w:tblPrEx>
          <w:tblBorders>
            <w:top w:val="single" w:sz="8" w:space="0" w:color="9BBB59" w:themeColor="accent3"/>
            <w:left w:val="single" w:sz="8" w:space="0" w:color="9BBB59" w:themeColor="accent3"/>
            <w:bottom w:val="single" w:sz="8" w:space="0" w:color="9BBB59" w:themeColor="accent3"/>
            <w:right w:val="single" w:sz="8" w:space="0" w:color="9BBB59" w:themeColor="accent3"/>
            <w:insideH w:val="none" w:sz="0" w:space="0" w:color="auto"/>
            <w:insideV w:val="none" w:sz="0" w:space="0" w:color="auto"/>
          </w:tblBorders>
          <w:tblCellMar>
            <w:left w:w="108" w:type="dxa"/>
            <w:right w:w="108" w:type="dxa"/>
          </w:tblCellMar>
        </w:tblPrEx>
        <w:trPr>
          <w:trHeight w:val="272"/>
        </w:trPr>
        <w:tc>
          <w:tcPr>
            <w:cnfStyle w:val="000010000000" w:firstRow="0" w:lastRow="0" w:firstColumn="0" w:lastColumn="0" w:oddVBand="1" w:evenVBand="0" w:oddHBand="0" w:evenHBand="0" w:firstRowFirstColumn="0" w:firstRowLastColumn="0" w:lastRowFirstColumn="0" w:lastRowLastColumn="0"/>
            <w:tcW w:w="2412" w:type="dxa"/>
            <w:shd w:val="clear" w:color="auto" w:fill="92D050"/>
          </w:tcPr>
          <w:p w:rsidR="00EE0C8C" w:rsidRPr="00EE0C8C" w:rsidRDefault="00EE0C8C" w:rsidP="00EE0C8C">
            <w:pPr>
              <w:tabs>
                <w:tab w:val="left" w:pos="320"/>
              </w:tabs>
              <w:jc w:val="center"/>
              <w:rPr>
                <w:rFonts w:ascii="Calibri" w:hAnsi="Calibri" w:cs="Calibri"/>
                <w:bCs/>
                <w:i/>
              </w:rPr>
            </w:pPr>
            <w:r w:rsidRPr="00EE0C8C">
              <w:rPr>
                <w:rFonts w:ascii="Calibri" w:hAnsi="Calibri" w:cs="Calibri"/>
                <w:bCs/>
                <w:i/>
              </w:rPr>
              <w:t>19-65</w:t>
            </w:r>
          </w:p>
        </w:tc>
        <w:tc>
          <w:tcPr>
            <w:tcW w:w="2446" w:type="dxa"/>
            <w:shd w:val="clear" w:color="auto" w:fill="92D050"/>
          </w:tcPr>
          <w:p w:rsidR="00EE0C8C" w:rsidRPr="00EE0C8C" w:rsidRDefault="00EE0C8C" w:rsidP="00EE0C8C">
            <w:pPr>
              <w:tabs>
                <w:tab w:val="left" w:pos="320"/>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bCs/>
                <w:i/>
              </w:rPr>
            </w:pPr>
            <w:r w:rsidRPr="00EE0C8C">
              <w:rPr>
                <w:rFonts w:ascii="Calibri" w:hAnsi="Calibri" w:cs="Calibri"/>
                <w:bCs/>
                <w:i/>
              </w:rPr>
              <w:t>2864</w:t>
            </w:r>
          </w:p>
        </w:tc>
        <w:tc>
          <w:tcPr>
            <w:cnfStyle w:val="000010000000" w:firstRow="0" w:lastRow="0" w:firstColumn="0" w:lastColumn="0" w:oddVBand="1" w:evenVBand="0" w:oddHBand="0" w:evenHBand="0" w:firstRowFirstColumn="0" w:firstRowLastColumn="0" w:lastRowFirstColumn="0" w:lastRowLastColumn="0"/>
            <w:tcW w:w="2582" w:type="dxa"/>
            <w:shd w:val="clear" w:color="auto" w:fill="92D050"/>
          </w:tcPr>
          <w:p w:rsidR="00EE0C8C" w:rsidRPr="00EE0C8C" w:rsidRDefault="00EE0C8C" w:rsidP="00EE0C8C">
            <w:pPr>
              <w:tabs>
                <w:tab w:val="left" w:pos="320"/>
              </w:tabs>
              <w:jc w:val="center"/>
              <w:rPr>
                <w:rFonts w:ascii="Calibri" w:hAnsi="Calibri" w:cs="Calibri"/>
                <w:bCs/>
                <w:i/>
              </w:rPr>
            </w:pPr>
            <w:r w:rsidRPr="00EE0C8C">
              <w:rPr>
                <w:rFonts w:ascii="Calibri" w:hAnsi="Calibri" w:cs="Calibri"/>
                <w:bCs/>
                <w:i/>
              </w:rPr>
              <w:t>0</w:t>
            </w:r>
          </w:p>
        </w:tc>
        <w:tc>
          <w:tcPr>
            <w:tcW w:w="1827" w:type="dxa"/>
            <w:shd w:val="clear" w:color="auto" w:fill="92D050"/>
          </w:tcPr>
          <w:p w:rsidR="00EE0C8C" w:rsidRPr="00EE0C8C" w:rsidRDefault="00EE0C8C" w:rsidP="00EE0C8C">
            <w:pPr>
              <w:tabs>
                <w:tab w:val="left" w:pos="320"/>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bCs/>
                <w:i/>
              </w:rPr>
            </w:pPr>
            <w:r w:rsidRPr="00EE0C8C">
              <w:rPr>
                <w:rFonts w:ascii="Calibri" w:hAnsi="Calibri" w:cs="Calibri"/>
                <w:bCs/>
                <w:i/>
              </w:rPr>
              <w:t>2864</w:t>
            </w:r>
          </w:p>
        </w:tc>
      </w:tr>
      <w:tr w:rsidR="00EE0C8C" w:rsidRPr="00EE0C8C" w:rsidTr="00A76BDB">
        <w:tblPrEx>
          <w:tblBorders>
            <w:top w:val="single" w:sz="8" w:space="0" w:color="9BBB59" w:themeColor="accent3"/>
            <w:left w:val="single" w:sz="8" w:space="0" w:color="9BBB59" w:themeColor="accent3"/>
            <w:bottom w:val="single" w:sz="8" w:space="0" w:color="9BBB59" w:themeColor="accent3"/>
            <w:right w:val="single" w:sz="8" w:space="0" w:color="9BBB59" w:themeColor="accent3"/>
            <w:insideH w:val="none" w:sz="0" w:space="0" w:color="auto"/>
            <w:insideV w:val="none" w:sz="0" w:space="0" w:color="auto"/>
          </w:tblBorders>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34"/>
        </w:trPr>
        <w:tc>
          <w:tcPr>
            <w:cnfStyle w:val="000010000000" w:firstRow="0" w:lastRow="0" w:firstColumn="0" w:lastColumn="0" w:oddVBand="1" w:evenVBand="0" w:oddHBand="0" w:evenHBand="0" w:firstRowFirstColumn="0" w:firstRowLastColumn="0" w:lastRowFirstColumn="0" w:lastRowLastColumn="0"/>
            <w:tcW w:w="2412" w:type="dxa"/>
            <w:shd w:val="clear" w:color="auto" w:fill="00B050"/>
          </w:tcPr>
          <w:p w:rsidR="00EE0C8C" w:rsidRPr="00EE0C8C" w:rsidRDefault="00EE0C8C" w:rsidP="00EE0C8C">
            <w:pPr>
              <w:tabs>
                <w:tab w:val="left" w:pos="320"/>
              </w:tabs>
              <w:jc w:val="center"/>
              <w:rPr>
                <w:rFonts w:ascii="Calibri" w:hAnsi="Calibri" w:cs="Calibri"/>
                <w:bCs/>
                <w:i/>
              </w:rPr>
            </w:pPr>
            <w:r w:rsidRPr="00EE0C8C">
              <w:rPr>
                <w:rFonts w:ascii="Calibri" w:hAnsi="Calibri" w:cs="Calibri"/>
                <w:bCs/>
                <w:i/>
              </w:rPr>
              <w:t>19-60</w:t>
            </w:r>
          </w:p>
        </w:tc>
        <w:tc>
          <w:tcPr>
            <w:tcW w:w="2446" w:type="dxa"/>
            <w:shd w:val="clear" w:color="auto" w:fill="00B050"/>
          </w:tcPr>
          <w:p w:rsidR="00EE0C8C" w:rsidRPr="00EE0C8C" w:rsidRDefault="00EE0C8C" w:rsidP="00EE0C8C">
            <w:pPr>
              <w:tabs>
                <w:tab w:val="left" w:pos="320"/>
              </w:tabs>
              <w:jc w:val="center"/>
              <w:cnfStyle w:val="000000100000" w:firstRow="0" w:lastRow="0" w:firstColumn="0" w:lastColumn="0" w:oddVBand="0" w:evenVBand="0" w:oddHBand="1" w:evenHBand="0" w:firstRowFirstColumn="0" w:firstRowLastColumn="0" w:lastRowFirstColumn="0" w:lastRowLastColumn="0"/>
              <w:rPr>
                <w:rFonts w:ascii="Calibri" w:hAnsi="Calibri" w:cs="Calibri"/>
                <w:bCs/>
                <w:i/>
              </w:rPr>
            </w:pPr>
            <w:r w:rsidRPr="00EE0C8C">
              <w:rPr>
                <w:rFonts w:ascii="Calibri" w:hAnsi="Calibri" w:cs="Calibri"/>
                <w:bCs/>
                <w:i/>
              </w:rPr>
              <w:t>0</w:t>
            </w:r>
          </w:p>
        </w:tc>
        <w:tc>
          <w:tcPr>
            <w:cnfStyle w:val="000010000000" w:firstRow="0" w:lastRow="0" w:firstColumn="0" w:lastColumn="0" w:oddVBand="1" w:evenVBand="0" w:oddHBand="0" w:evenHBand="0" w:firstRowFirstColumn="0" w:firstRowLastColumn="0" w:lastRowFirstColumn="0" w:lastRowLastColumn="0"/>
            <w:tcW w:w="2582" w:type="dxa"/>
            <w:shd w:val="clear" w:color="auto" w:fill="00B050"/>
          </w:tcPr>
          <w:p w:rsidR="00EE0C8C" w:rsidRPr="00EE0C8C" w:rsidRDefault="00EE0C8C" w:rsidP="00EE0C8C">
            <w:pPr>
              <w:tabs>
                <w:tab w:val="left" w:pos="320"/>
              </w:tabs>
              <w:jc w:val="center"/>
              <w:rPr>
                <w:rFonts w:ascii="Calibri" w:hAnsi="Calibri" w:cs="Calibri"/>
                <w:bCs/>
                <w:i/>
              </w:rPr>
            </w:pPr>
            <w:r w:rsidRPr="00EE0C8C">
              <w:rPr>
                <w:rFonts w:ascii="Calibri" w:hAnsi="Calibri" w:cs="Calibri"/>
                <w:bCs/>
                <w:i/>
              </w:rPr>
              <w:t>2344</w:t>
            </w:r>
          </w:p>
        </w:tc>
        <w:tc>
          <w:tcPr>
            <w:tcW w:w="1827" w:type="dxa"/>
            <w:shd w:val="clear" w:color="auto" w:fill="00B050"/>
          </w:tcPr>
          <w:p w:rsidR="00EE0C8C" w:rsidRPr="00EE0C8C" w:rsidRDefault="00EE0C8C" w:rsidP="00EE0C8C">
            <w:pPr>
              <w:tabs>
                <w:tab w:val="left" w:pos="320"/>
              </w:tabs>
              <w:jc w:val="center"/>
              <w:cnfStyle w:val="000000100000" w:firstRow="0" w:lastRow="0" w:firstColumn="0" w:lastColumn="0" w:oddVBand="0" w:evenVBand="0" w:oddHBand="1" w:evenHBand="0" w:firstRowFirstColumn="0" w:firstRowLastColumn="0" w:lastRowFirstColumn="0" w:lastRowLastColumn="0"/>
              <w:rPr>
                <w:rFonts w:ascii="Calibri" w:hAnsi="Calibri" w:cs="Calibri"/>
                <w:bCs/>
                <w:i/>
              </w:rPr>
            </w:pPr>
            <w:r w:rsidRPr="00EE0C8C">
              <w:rPr>
                <w:rFonts w:ascii="Calibri" w:hAnsi="Calibri" w:cs="Calibri"/>
                <w:bCs/>
                <w:i/>
              </w:rPr>
              <w:t>2344</w:t>
            </w:r>
          </w:p>
        </w:tc>
      </w:tr>
      <w:tr w:rsidR="00EE0C8C" w:rsidRPr="00EE0C8C" w:rsidTr="00A76BDB">
        <w:tblPrEx>
          <w:tblBorders>
            <w:top w:val="single" w:sz="8" w:space="0" w:color="9BBB59" w:themeColor="accent3"/>
            <w:left w:val="single" w:sz="8" w:space="0" w:color="9BBB59" w:themeColor="accent3"/>
            <w:bottom w:val="single" w:sz="8" w:space="0" w:color="9BBB59" w:themeColor="accent3"/>
            <w:right w:val="single" w:sz="8" w:space="0" w:color="9BBB59" w:themeColor="accent3"/>
            <w:insideH w:val="none" w:sz="0" w:space="0" w:color="auto"/>
            <w:insideV w:val="none" w:sz="0" w:space="0" w:color="auto"/>
          </w:tblBorders>
          <w:tblCellMar>
            <w:left w:w="108" w:type="dxa"/>
            <w:right w:w="108" w:type="dxa"/>
          </w:tblCellMar>
        </w:tblPrEx>
        <w:trPr>
          <w:trHeight w:val="224"/>
        </w:trPr>
        <w:tc>
          <w:tcPr>
            <w:cnfStyle w:val="000010000000" w:firstRow="0" w:lastRow="0" w:firstColumn="0" w:lastColumn="0" w:oddVBand="1" w:evenVBand="0" w:oddHBand="0" w:evenHBand="0" w:firstRowFirstColumn="0" w:firstRowLastColumn="0" w:lastRowFirstColumn="0" w:lastRowLastColumn="0"/>
            <w:tcW w:w="2412" w:type="dxa"/>
            <w:shd w:val="clear" w:color="auto" w:fill="92D050"/>
          </w:tcPr>
          <w:p w:rsidR="00EE0C8C" w:rsidRPr="00EE0C8C" w:rsidRDefault="00EE0C8C" w:rsidP="00EE0C8C">
            <w:pPr>
              <w:tabs>
                <w:tab w:val="left" w:pos="320"/>
              </w:tabs>
              <w:jc w:val="center"/>
              <w:rPr>
                <w:rFonts w:ascii="Calibri" w:hAnsi="Calibri" w:cs="Calibri"/>
                <w:bCs/>
                <w:i/>
              </w:rPr>
            </w:pPr>
            <w:r w:rsidRPr="00EE0C8C">
              <w:rPr>
                <w:rFonts w:ascii="Calibri" w:hAnsi="Calibri" w:cs="Calibri"/>
                <w:bCs/>
                <w:i/>
              </w:rPr>
              <w:t>&gt;65</w:t>
            </w:r>
          </w:p>
        </w:tc>
        <w:tc>
          <w:tcPr>
            <w:tcW w:w="2446" w:type="dxa"/>
            <w:shd w:val="clear" w:color="auto" w:fill="92D050"/>
          </w:tcPr>
          <w:p w:rsidR="00EE0C8C" w:rsidRPr="00EE0C8C" w:rsidRDefault="00EE0C8C" w:rsidP="00EE0C8C">
            <w:pPr>
              <w:tabs>
                <w:tab w:val="left" w:pos="320"/>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bCs/>
                <w:i/>
              </w:rPr>
            </w:pPr>
            <w:r w:rsidRPr="00EE0C8C">
              <w:rPr>
                <w:rFonts w:ascii="Calibri" w:hAnsi="Calibri" w:cs="Calibri"/>
                <w:bCs/>
                <w:i/>
              </w:rPr>
              <w:t>506</w:t>
            </w:r>
          </w:p>
        </w:tc>
        <w:tc>
          <w:tcPr>
            <w:cnfStyle w:val="000010000000" w:firstRow="0" w:lastRow="0" w:firstColumn="0" w:lastColumn="0" w:oddVBand="1" w:evenVBand="0" w:oddHBand="0" w:evenHBand="0" w:firstRowFirstColumn="0" w:firstRowLastColumn="0" w:lastRowFirstColumn="0" w:lastRowLastColumn="0"/>
            <w:tcW w:w="2582" w:type="dxa"/>
            <w:shd w:val="clear" w:color="auto" w:fill="92D050"/>
          </w:tcPr>
          <w:p w:rsidR="00EE0C8C" w:rsidRPr="00EE0C8C" w:rsidRDefault="00EE0C8C" w:rsidP="00EE0C8C">
            <w:pPr>
              <w:tabs>
                <w:tab w:val="left" w:pos="320"/>
              </w:tabs>
              <w:jc w:val="center"/>
              <w:rPr>
                <w:rFonts w:ascii="Calibri" w:hAnsi="Calibri" w:cs="Calibri"/>
                <w:bCs/>
                <w:i/>
              </w:rPr>
            </w:pPr>
            <w:r w:rsidRPr="00EE0C8C">
              <w:rPr>
                <w:rFonts w:ascii="Calibri" w:hAnsi="Calibri" w:cs="Calibri"/>
                <w:bCs/>
                <w:i/>
              </w:rPr>
              <w:t>0</w:t>
            </w:r>
          </w:p>
        </w:tc>
        <w:tc>
          <w:tcPr>
            <w:tcW w:w="1827" w:type="dxa"/>
            <w:shd w:val="clear" w:color="auto" w:fill="92D050"/>
          </w:tcPr>
          <w:p w:rsidR="00EE0C8C" w:rsidRPr="00EE0C8C" w:rsidRDefault="00EE0C8C" w:rsidP="00EE0C8C">
            <w:pPr>
              <w:tabs>
                <w:tab w:val="left" w:pos="320"/>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bCs/>
                <w:i/>
              </w:rPr>
            </w:pPr>
            <w:r w:rsidRPr="00EE0C8C">
              <w:rPr>
                <w:rFonts w:ascii="Calibri" w:hAnsi="Calibri" w:cs="Calibri"/>
                <w:bCs/>
                <w:i/>
              </w:rPr>
              <w:t>506</w:t>
            </w:r>
          </w:p>
        </w:tc>
      </w:tr>
      <w:tr w:rsidR="00EE0C8C" w:rsidRPr="00EE0C8C" w:rsidTr="00A76BDB">
        <w:tblPrEx>
          <w:tblBorders>
            <w:top w:val="single" w:sz="8" w:space="0" w:color="9BBB59" w:themeColor="accent3"/>
            <w:left w:val="single" w:sz="8" w:space="0" w:color="9BBB59" w:themeColor="accent3"/>
            <w:bottom w:val="single" w:sz="8" w:space="0" w:color="9BBB59" w:themeColor="accent3"/>
            <w:right w:val="single" w:sz="8" w:space="0" w:color="9BBB59" w:themeColor="accent3"/>
            <w:insideH w:val="none" w:sz="0" w:space="0" w:color="auto"/>
            <w:insideV w:val="none" w:sz="0" w:space="0" w:color="auto"/>
          </w:tblBorders>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28"/>
        </w:trPr>
        <w:tc>
          <w:tcPr>
            <w:cnfStyle w:val="000010000000" w:firstRow="0" w:lastRow="0" w:firstColumn="0" w:lastColumn="0" w:oddVBand="1" w:evenVBand="0" w:oddHBand="0" w:evenHBand="0" w:firstRowFirstColumn="0" w:firstRowLastColumn="0" w:lastRowFirstColumn="0" w:lastRowLastColumn="0"/>
            <w:tcW w:w="2412" w:type="dxa"/>
            <w:shd w:val="clear" w:color="auto" w:fill="00B050"/>
          </w:tcPr>
          <w:p w:rsidR="00EE0C8C" w:rsidRPr="00EE0C8C" w:rsidRDefault="00EE0C8C" w:rsidP="00EE0C8C">
            <w:pPr>
              <w:tabs>
                <w:tab w:val="left" w:pos="320"/>
              </w:tabs>
              <w:jc w:val="center"/>
              <w:rPr>
                <w:rFonts w:ascii="Calibri" w:hAnsi="Calibri" w:cs="Calibri"/>
                <w:bCs/>
                <w:i/>
              </w:rPr>
            </w:pPr>
            <w:r w:rsidRPr="00EE0C8C">
              <w:rPr>
                <w:rFonts w:ascii="Calibri" w:hAnsi="Calibri" w:cs="Calibri"/>
                <w:bCs/>
                <w:i/>
              </w:rPr>
              <w:t>&gt;60</w:t>
            </w:r>
          </w:p>
        </w:tc>
        <w:tc>
          <w:tcPr>
            <w:tcW w:w="2446" w:type="dxa"/>
            <w:shd w:val="clear" w:color="auto" w:fill="00B050"/>
          </w:tcPr>
          <w:p w:rsidR="00EE0C8C" w:rsidRPr="00EE0C8C" w:rsidRDefault="00EE0C8C" w:rsidP="00EE0C8C">
            <w:pPr>
              <w:tabs>
                <w:tab w:val="left" w:pos="320"/>
              </w:tabs>
              <w:jc w:val="center"/>
              <w:cnfStyle w:val="000000100000" w:firstRow="0" w:lastRow="0" w:firstColumn="0" w:lastColumn="0" w:oddVBand="0" w:evenVBand="0" w:oddHBand="1" w:evenHBand="0" w:firstRowFirstColumn="0" w:firstRowLastColumn="0" w:lastRowFirstColumn="0" w:lastRowLastColumn="0"/>
              <w:rPr>
                <w:rFonts w:ascii="Calibri" w:hAnsi="Calibri" w:cs="Calibri"/>
                <w:bCs/>
                <w:i/>
              </w:rPr>
            </w:pPr>
            <w:r w:rsidRPr="00EE0C8C">
              <w:rPr>
                <w:rFonts w:ascii="Calibri" w:hAnsi="Calibri" w:cs="Calibri"/>
                <w:bCs/>
                <w:i/>
              </w:rPr>
              <w:t>0</w:t>
            </w:r>
          </w:p>
        </w:tc>
        <w:tc>
          <w:tcPr>
            <w:cnfStyle w:val="000010000000" w:firstRow="0" w:lastRow="0" w:firstColumn="0" w:lastColumn="0" w:oddVBand="1" w:evenVBand="0" w:oddHBand="0" w:evenHBand="0" w:firstRowFirstColumn="0" w:firstRowLastColumn="0" w:lastRowFirstColumn="0" w:lastRowLastColumn="0"/>
            <w:tcW w:w="2582" w:type="dxa"/>
            <w:shd w:val="clear" w:color="auto" w:fill="00B050"/>
          </w:tcPr>
          <w:p w:rsidR="00EE0C8C" w:rsidRPr="00EE0C8C" w:rsidRDefault="00EE0C8C" w:rsidP="00EE0C8C">
            <w:pPr>
              <w:tabs>
                <w:tab w:val="left" w:pos="320"/>
              </w:tabs>
              <w:jc w:val="center"/>
              <w:rPr>
                <w:rFonts w:ascii="Calibri" w:hAnsi="Calibri" w:cs="Calibri"/>
                <w:bCs/>
                <w:i/>
              </w:rPr>
            </w:pPr>
            <w:r w:rsidRPr="00EE0C8C">
              <w:rPr>
                <w:rFonts w:ascii="Calibri" w:hAnsi="Calibri" w:cs="Calibri"/>
                <w:bCs/>
                <w:i/>
              </w:rPr>
              <w:t>1090</w:t>
            </w:r>
          </w:p>
        </w:tc>
        <w:tc>
          <w:tcPr>
            <w:tcW w:w="1827" w:type="dxa"/>
            <w:shd w:val="clear" w:color="auto" w:fill="00B050"/>
          </w:tcPr>
          <w:p w:rsidR="00EE0C8C" w:rsidRPr="00EE0C8C" w:rsidRDefault="00EE0C8C" w:rsidP="00EE0C8C">
            <w:pPr>
              <w:tabs>
                <w:tab w:val="left" w:pos="320"/>
              </w:tabs>
              <w:jc w:val="center"/>
              <w:cnfStyle w:val="000000100000" w:firstRow="0" w:lastRow="0" w:firstColumn="0" w:lastColumn="0" w:oddVBand="0" w:evenVBand="0" w:oddHBand="1" w:evenHBand="0" w:firstRowFirstColumn="0" w:firstRowLastColumn="0" w:lastRowFirstColumn="0" w:lastRowLastColumn="0"/>
              <w:rPr>
                <w:rFonts w:ascii="Calibri" w:hAnsi="Calibri" w:cs="Calibri"/>
                <w:bCs/>
                <w:i/>
              </w:rPr>
            </w:pPr>
            <w:r w:rsidRPr="00EE0C8C">
              <w:rPr>
                <w:rFonts w:ascii="Calibri" w:hAnsi="Calibri" w:cs="Calibri"/>
                <w:bCs/>
                <w:i/>
              </w:rPr>
              <w:t>1090</w:t>
            </w:r>
          </w:p>
        </w:tc>
      </w:tr>
      <w:tr w:rsidR="00EE0C8C" w:rsidRPr="00EE0C8C" w:rsidTr="00A76BDB">
        <w:tblPrEx>
          <w:tblBorders>
            <w:top w:val="single" w:sz="8" w:space="0" w:color="9BBB59" w:themeColor="accent3"/>
            <w:left w:val="single" w:sz="8" w:space="0" w:color="9BBB59" w:themeColor="accent3"/>
            <w:bottom w:val="single" w:sz="8" w:space="0" w:color="9BBB59" w:themeColor="accent3"/>
            <w:right w:val="single" w:sz="8" w:space="0" w:color="9BBB59" w:themeColor="accent3"/>
            <w:insideH w:val="none" w:sz="0" w:space="0" w:color="auto"/>
            <w:insideV w:val="none" w:sz="0" w:space="0" w:color="auto"/>
          </w:tblBorders>
          <w:tblCellMar>
            <w:left w:w="108" w:type="dxa"/>
            <w:right w:w="108" w:type="dxa"/>
          </w:tblCellMar>
        </w:tblPrEx>
        <w:trPr>
          <w:trHeight w:val="218"/>
        </w:trPr>
        <w:tc>
          <w:tcPr>
            <w:cnfStyle w:val="000010000000" w:firstRow="0" w:lastRow="0" w:firstColumn="0" w:lastColumn="0" w:oddVBand="1" w:evenVBand="0" w:oddHBand="0" w:evenHBand="0" w:firstRowFirstColumn="0" w:firstRowLastColumn="0" w:lastRowFirstColumn="0" w:lastRowLastColumn="0"/>
            <w:tcW w:w="2412" w:type="dxa"/>
            <w:shd w:val="clear" w:color="auto" w:fill="92D050"/>
          </w:tcPr>
          <w:p w:rsidR="00EE0C8C" w:rsidRPr="00EE0C8C" w:rsidRDefault="00EE0C8C" w:rsidP="00EE0C8C">
            <w:pPr>
              <w:jc w:val="center"/>
              <w:rPr>
                <w:rFonts w:ascii="Calibri" w:hAnsi="Calibri" w:cs="Calibri"/>
                <w:bCs/>
                <w:i/>
              </w:rPr>
            </w:pPr>
            <w:r w:rsidRPr="00EE0C8C">
              <w:rPr>
                <w:rFonts w:ascii="Calibri" w:hAnsi="Calibri" w:cs="Calibri"/>
                <w:bCs/>
                <w:i/>
              </w:rPr>
              <w:t>OGÓŁEM</w:t>
            </w:r>
          </w:p>
        </w:tc>
        <w:tc>
          <w:tcPr>
            <w:tcW w:w="2446" w:type="dxa"/>
            <w:shd w:val="clear" w:color="auto" w:fill="92D050"/>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i/>
              </w:rPr>
            </w:pPr>
            <w:r w:rsidRPr="00EE0C8C">
              <w:rPr>
                <w:rFonts w:ascii="Calibri" w:hAnsi="Calibri" w:cs="Calibri"/>
                <w:bCs/>
                <w:i/>
              </w:rPr>
              <w:t>4210</w:t>
            </w:r>
          </w:p>
        </w:tc>
        <w:tc>
          <w:tcPr>
            <w:cnfStyle w:val="000010000000" w:firstRow="0" w:lastRow="0" w:firstColumn="0" w:lastColumn="0" w:oddVBand="1" w:evenVBand="0" w:oddHBand="0" w:evenHBand="0" w:firstRowFirstColumn="0" w:firstRowLastColumn="0" w:lastRowFirstColumn="0" w:lastRowLastColumn="0"/>
            <w:tcW w:w="2582" w:type="dxa"/>
            <w:shd w:val="clear" w:color="auto" w:fill="92D050"/>
          </w:tcPr>
          <w:p w:rsidR="00EE0C8C" w:rsidRPr="00EE0C8C" w:rsidRDefault="00EE0C8C" w:rsidP="00EE0C8C">
            <w:pPr>
              <w:jc w:val="center"/>
              <w:rPr>
                <w:rFonts w:ascii="Calibri" w:hAnsi="Calibri" w:cs="Calibri"/>
                <w:bCs/>
                <w:i/>
              </w:rPr>
            </w:pPr>
            <w:r w:rsidRPr="00EE0C8C">
              <w:rPr>
                <w:rFonts w:ascii="Calibri" w:hAnsi="Calibri" w:cs="Calibri"/>
                <w:bCs/>
                <w:i/>
              </w:rPr>
              <w:t>4212</w:t>
            </w:r>
          </w:p>
        </w:tc>
        <w:tc>
          <w:tcPr>
            <w:tcW w:w="1827" w:type="dxa"/>
            <w:shd w:val="clear" w:color="auto" w:fill="92D050"/>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i/>
              </w:rPr>
            </w:pPr>
            <w:r w:rsidRPr="00EE0C8C">
              <w:rPr>
                <w:rFonts w:ascii="Calibri" w:hAnsi="Calibri" w:cs="Calibri"/>
                <w:bCs/>
                <w:i/>
              </w:rPr>
              <w:t>8422</w:t>
            </w:r>
          </w:p>
        </w:tc>
      </w:tr>
    </w:tbl>
    <w:p w:rsidR="00EE0C8C" w:rsidRPr="00EE0C8C" w:rsidRDefault="00EE0C8C" w:rsidP="00EE0C8C">
      <w:pPr>
        <w:jc w:val="center"/>
        <w:rPr>
          <w:rFonts w:ascii="Calibri" w:eastAsia="Times New Roman" w:hAnsi="Calibri" w:cs="Times New Roman"/>
          <w:i/>
          <w:lang w:eastAsia="pl-PL"/>
        </w:rPr>
      </w:pPr>
      <w:r w:rsidRPr="00EE0C8C">
        <w:rPr>
          <w:rFonts w:ascii="Calibri" w:eastAsia="Times New Roman" w:hAnsi="Calibri" w:cs="Times New Roman"/>
          <w:i/>
          <w:lang w:eastAsia="pl-PL"/>
        </w:rPr>
        <w:t>(Źródło: Dane  z Urzędu Gminy w Mircu)</w:t>
      </w:r>
    </w:p>
    <w:p w:rsidR="00EE0C8C" w:rsidRPr="00EE0C8C" w:rsidRDefault="00EE0C8C" w:rsidP="00EE0C8C">
      <w:pPr>
        <w:jc w:val="both"/>
        <w:rPr>
          <w:rFonts w:ascii="Calibri" w:eastAsia="Times New Roman" w:hAnsi="Calibri" w:cs="Calibri"/>
          <w:bCs/>
          <w:lang w:eastAsia="pl-PL"/>
        </w:rPr>
      </w:pPr>
    </w:p>
    <w:p w:rsidR="00EE0C8C" w:rsidRPr="00EE0C8C" w:rsidRDefault="00EE0C8C" w:rsidP="00EE0C8C">
      <w:pPr>
        <w:jc w:val="both"/>
        <w:rPr>
          <w:rFonts w:ascii="Calibri" w:eastAsia="Times New Roman" w:hAnsi="Calibri" w:cs="Calibri"/>
          <w:bCs/>
          <w:lang w:eastAsia="pl-PL"/>
        </w:rPr>
      </w:pPr>
      <w:r w:rsidRPr="00EE0C8C">
        <w:rPr>
          <w:rFonts w:ascii="Calibri" w:eastAsia="Times New Roman" w:hAnsi="Calibri" w:cs="Calibri"/>
          <w:bCs/>
          <w:lang w:eastAsia="pl-PL"/>
        </w:rPr>
        <w:t xml:space="preserve">Na dzień 31.12.2015 roku najwięcej osób zamieszkuje sołectwa: Mirzec I ( 1325 osób) i Gadka (1221 osób), natomiast najmniej w sołectwie Ostrożanka (433 osoby). W 2015 roku Gminę Mirzec zamieszkiwało 8422 osoby . </w:t>
      </w:r>
    </w:p>
    <w:p w:rsidR="00EE0C8C" w:rsidRPr="00EE0C8C" w:rsidRDefault="00EE0C8C" w:rsidP="00EE0C8C">
      <w:pPr>
        <w:jc w:val="both"/>
        <w:rPr>
          <w:rFonts w:ascii="Calibri" w:eastAsia="Times New Roman" w:hAnsi="Calibri" w:cs="Calibri"/>
          <w:bCs/>
          <w:lang w:eastAsia="pl-PL"/>
        </w:rPr>
      </w:pPr>
    </w:p>
    <w:p w:rsidR="00EE0C8C" w:rsidRPr="00EE0C8C" w:rsidRDefault="00EE0C8C" w:rsidP="00EE0C8C">
      <w:pPr>
        <w:jc w:val="center"/>
        <w:rPr>
          <w:rFonts w:ascii="Calibri" w:eastAsia="Times New Roman" w:hAnsi="Calibri" w:cs="Times New Roman"/>
          <w:i/>
          <w:lang w:eastAsia="pl-PL"/>
        </w:rPr>
      </w:pPr>
      <w:r w:rsidRPr="00EE0C8C">
        <w:rPr>
          <w:rFonts w:ascii="Calibri" w:eastAsia="Times New Roman" w:hAnsi="Calibri" w:cs="Times New Roman"/>
          <w:noProof/>
          <w:lang w:eastAsia="pl-PL"/>
        </w:rPr>
        <w:drawing>
          <wp:inline distT="0" distB="0" distL="0" distR="0" wp14:anchorId="23D2D965" wp14:editId="6AEAC790">
            <wp:extent cx="2705100" cy="2133486"/>
            <wp:effectExtent l="0" t="0" r="0" b="63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8565" cy="2136219"/>
                    </a:xfrm>
                    <a:prstGeom prst="rect">
                      <a:avLst/>
                    </a:prstGeom>
                    <a:noFill/>
                    <a:ln>
                      <a:noFill/>
                    </a:ln>
                  </pic:spPr>
                </pic:pic>
              </a:graphicData>
            </a:graphic>
          </wp:inline>
        </w:drawing>
      </w:r>
      <w:r w:rsidRPr="00EE0C8C">
        <w:rPr>
          <w:rFonts w:ascii="Calibri" w:eastAsia="Times New Roman" w:hAnsi="Calibri" w:cs="Times New Roman"/>
          <w:lang w:eastAsia="pl-PL"/>
        </w:rPr>
        <w:br/>
      </w:r>
      <w:r w:rsidRPr="00EE0C8C">
        <w:rPr>
          <w:rFonts w:ascii="Calibri" w:eastAsia="Times New Roman" w:hAnsi="Calibri" w:cs="Times New Roman"/>
          <w:i/>
          <w:lang w:eastAsia="pl-PL"/>
        </w:rPr>
        <w:t>(Źródło: http://kielce.stat.gov.pl)</w:t>
      </w:r>
    </w:p>
    <w:p w:rsidR="00EE0C8C" w:rsidRPr="00EE0C8C" w:rsidRDefault="00EE0C8C" w:rsidP="00EE0C8C">
      <w:pPr>
        <w:jc w:val="both"/>
        <w:rPr>
          <w:rFonts w:ascii="Calibri" w:eastAsia="Times New Roman" w:hAnsi="Calibri" w:cs="Times New Roman"/>
          <w:lang w:eastAsia="pl-PL"/>
        </w:rPr>
      </w:pPr>
      <w:r w:rsidRPr="00EE0C8C">
        <w:rPr>
          <w:rFonts w:ascii="Calibri" w:eastAsia="Times New Roman" w:hAnsi="Calibri" w:cs="Times New Roman"/>
          <w:lang w:eastAsia="pl-PL"/>
        </w:rPr>
        <w:t>Statystyki obrazujące strukturę wiekową społeczeństwa Gminy Mirzec przedstawiają dane, które można uznać za korzystne, jednak obserwacja zachodzących w tym obszarze zmian pozwala zauważyć negatywne procesy, wpisujące się w ogólnopolską tendencję starzenia się społeczeństwa.</w:t>
      </w:r>
    </w:p>
    <w:tbl>
      <w:tblPr>
        <w:tblW w:w="6415" w:type="dxa"/>
        <w:jc w:val="center"/>
        <w:tblInd w:w="55" w:type="dxa"/>
        <w:tblCellMar>
          <w:left w:w="70" w:type="dxa"/>
          <w:right w:w="70" w:type="dxa"/>
        </w:tblCellMar>
        <w:tblLook w:val="04A0" w:firstRow="1" w:lastRow="0" w:firstColumn="1" w:lastColumn="0" w:noHBand="0" w:noVBand="1"/>
      </w:tblPr>
      <w:tblGrid>
        <w:gridCol w:w="3729"/>
        <w:gridCol w:w="895"/>
        <w:gridCol w:w="895"/>
        <w:gridCol w:w="896"/>
      </w:tblGrid>
      <w:tr w:rsidR="00EE0C8C" w:rsidRPr="00EE0C8C" w:rsidTr="00A76BDB">
        <w:trPr>
          <w:trHeight w:val="186"/>
          <w:jc w:val="center"/>
        </w:trPr>
        <w:tc>
          <w:tcPr>
            <w:tcW w:w="3729" w:type="dxa"/>
            <w:vMerge w:val="restart"/>
            <w:tcBorders>
              <w:top w:val="single" w:sz="4" w:space="0" w:color="000000"/>
              <w:left w:val="single" w:sz="4" w:space="0" w:color="000000"/>
              <w:bottom w:val="single" w:sz="4" w:space="0" w:color="000000"/>
              <w:right w:val="single" w:sz="4" w:space="0" w:color="000000"/>
            </w:tcBorders>
            <w:shd w:val="clear" w:color="000000" w:fill="008080"/>
            <w:noWrap/>
            <w:vAlign w:val="center"/>
            <w:hideMark/>
          </w:tcPr>
          <w:p w:rsidR="00EE0C8C" w:rsidRPr="00EE0C8C" w:rsidRDefault="00EE0C8C" w:rsidP="00EE0C8C">
            <w:pPr>
              <w:spacing w:after="0" w:line="240" w:lineRule="auto"/>
              <w:jc w:val="center"/>
              <w:rPr>
                <w:rFonts w:ascii="Arial" w:eastAsia="Times New Roman" w:hAnsi="Arial" w:cs="Arial"/>
                <w:b/>
                <w:bCs/>
                <w:color w:val="FFFFFF"/>
                <w:sz w:val="20"/>
                <w:szCs w:val="20"/>
                <w:lang w:eastAsia="pl-PL"/>
              </w:rPr>
            </w:pPr>
            <w:r w:rsidRPr="00EE0C8C">
              <w:rPr>
                <w:rFonts w:ascii="Arial" w:eastAsia="Times New Roman" w:hAnsi="Arial" w:cs="Arial"/>
                <w:b/>
                <w:bCs/>
                <w:color w:val="FFFFFF"/>
                <w:sz w:val="20"/>
                <w:szCs w:val="20"/>
                <w:lang w:eastAsia="pl-PL"/>
              </w:rPr>
              <w:t>Jednostka terytorialna</w:t>
            </w:r>
          </w:p>
        </w:tc>
        <w:tc>
          <w:tcPr>
            <w:tcW w:w="2685" w:type="dxa"/>
            <w:gridSpan w:val="3"/>
            <w:tcBorders>
              <w:top w:val="single" w:sz="4" w:space="0" w:color="000000"/>
              <w:left w:val="nil"/>
              <w:bottom w:val="single" w:sz="4" w:space="0" w:color="000000"/>
              <w:right w:val="single" w:sz="4" w:space="0" w:color="000000"/>
            </w:tcBorders>
            <w:shd w:val="clear" w:color="000000" w:fill="008080"/>
            <w:noWrap/>
            <w:vAlign w:val="center"/>
            <w:hideMark/>
          </w:tcPr>
          <w:p w:rsidR="00EE0C8C" w:rsidRPr="00EE0C8C" w:rsidRDefault="00EE0C8C" w:rsidP="00EE0C8C">
            <w:pPr>
              <w:spacing w:after="0" w:line="240" w:lineRule="auto"/>
              <w:jc w:val="center"/>
              <w:rPr>
                <w:rFonts w:ascii="Arial" w:eastAsia="Times New Roman" w:hAnsi="Arial" w:cs="Arial"/>
                <w:b/>
                <w:bCs/>
                <w:color w:val="FFFFFF"/>
                <w:sz w:val="20"/>
                <w:szCs w:val="20"/>
                <w:lang w:eastAsia="pl-PL"/>
              </w:rPr>
            </w:pPr>
            <w:r w:rsidRPr="00EE0C8C">
              <w:rPr>
                <w:rFonts w:ascii="Arial" w:eastAsia="Times New Roman" w:hAnsi="Arial" w:cs="Arial"/>
                <w:b/>
                <w:bCs/>
                <w:color w:val="FFFFFF"/>
                <w:sz w:val="20"/>
                <w:szCs w:val="20"/>
                <w:lang w:eastAsia="pl-PL"/>
              </w:rPr>
              <w:t>przyrost naturalny na 1000 ludności</w:t>
            </w:r>
          </w:p>
        </w:tc>
      </w:tr>
      <w:tr w:rsidR="00EE0C8C" w:rsidRPr="00EE0C8C" w:rsidTr="00A76BDB">
        <w:trPr>
          <w:trHeight w:val="186"/>
          <w:jc w:val="center"/>
        </w:trPr>
        <w:tc>
          <w:tcPr>
            <w:tcW w:w="3729" w:type="dxa"/>
            <w:vMerge/>
            <w:tcBorders>
              <w:top w:val="single" w:sz="4" w:space="0" w:color="000000"/>
              <w:left w:val="single" w:sz="4" w:space="0" w:color="000000"/>
              <w:bottom w:val="single" w:sz="4" w:space="0" w:color="000000"/>
              <w:right w:val="single" w:sz="4" w:space="0" w:color="000000"/>
            </w:tcBorders>
            <w:vAlign w:val="center"/>
            <w:hideMark/>
          </w:tcPr>
          <w:p w:rsidR="00EE0C8C" w:rsidRPr="00EE0C8C" w:rsidRDefault="00EE0C8C" w:rsidP="00EE0C8C">
            <w:pPr>
              <w:spacing w:after="0" w:line="240" w:lineRule="auto"/>
              <w:rPr>
                <w:rFonts w:ascii="Arial" w:eastAsia="Times New Roman" w:hAnsi="Arial" w:cs="Arial"/>
                <w:b/>
                <w:bCs/>
                <w:color w:val="FFFFFF"/>
                <w:sz w:val="20"/>
                <w:szCs w:val="20"/>
                <w:lang w:eastAsia="pl-PL"/>
              </w:rPr>
            </w:pPr>
          </w:p>
        </w:tc>
        <w:tc>
          <w:tcPr>
            <w:tcW w:w="895" w:type="dxa"/>
            <w:tcBorders>
              <w:top w:val="nil"/>
              <w:left w:val="nil"/>
              <w:bottom w:val="single" w:sz="4" w:space="0" w:color="000000"/>
              <w:right w:val="single" w:sz="4" w:space="0" w:color="000000"/>
            </w:tcBorders>
            <w:shd w:val="clear" w:color="000000" w:fill="008080"/>
            <w:noWrap/>
            <w:vAlign w:val="center"/>
            <w:hideMark/>
          </w:tcPr>
          <w:p w:rsidR="00EE0C8C" w:rsidRPr="00EE0C8C" w:rsidRDefault="00EE0C8C" w:rsidP="00EE0C8C">
            <w:pPr>
              <w:spacing w:after="0" w:line="240" w:lineRule="auto"/>
              <w:jc w:val="center"/>
              <w:rPr>
                <w:rFonts w:ascii="Arial" w:eastAsia="Times New Roman" w:hAnsi="Arial" w:cs="Arial"/>
                <w:b/>
                <w:bCs/>
                <w:color w:val="FFFFFF"/>
                <w:sz w:val="20"/>
                <w:szCs w:val="20"/>
                <w:lang w:eastAsia="pl-PL"/>
              </w:rPr>
            </w:pPr>
            <w:r w:rsidRPr="00EE0C8C">
              <w:rPr>
                <w:rFonts w:ascii="Arial" w:eastAsia="Times New Roman" w:hAnsi="Arial" w:cs="Arial"/>
                <w:b/>
                <w:bCs/>
                <w:color w:val="FFFFFF"/>
                <w:sz w:val="20"/>
                <w:szCs w:val="20"/>
                <w:lang w:eastAsia="pl-PL"/>
              </w:rPr>
              <w:t>2012</w:t>
            </w:r>
          </w:p>
        </w:tc>
        <w:tc>
          <w:tcPr>
            <w:tcW w:w="895" w:type="dxa"/>
            <w:tcBorders>
              <w:top w:val="nil"/>
              <w:left w:val="nil"/>
              <w:bottom w:val="single" w:sz="4" w:space="0" w:color="000000"/>
              <w:right w:val="single" w:sz="4" w:space="0" w:color="000000"/>
            </w:tcBorders>
            <w:shd w:val="clear" w:color="000000" w:fill="008080"/>
            <w:noWrap/>
            <w:vAlign w:val="center"/>
            <w:hideMark/>
          </w:tcPr>
          <w:p w:rsidR="00EE0C8C" w:rsidRPr="00EE0C8C" w:rsidRDefault="00EE0C8C" w:rsidP="00EE0C8C">
            <w:pPr>
              <w:spacing w:after="0" w:line="240" w:lineRule="auto"/>
              <w:jc w:val="center"/>
              <w:rPr>
                <w:rFonts w:ascii="Arial" w:eastAsia="Times New Roman" w:hAnsi="Arial" w:cs="Arial"/>
                <w:b/>
                <w:bCs/>
                <w:color w:val="FFFFFF"/>
                <w:sz w:val="20"/>
                <w:szCs w:val="20"/>
                <w:lang w:eastAsia="pl-PL"/>
              </w:rPr>
            </w:pPr>
            <w:r w:rsidRPr="00EE0C8C">
              <w:rPr>
                <w:rFonts w:ascii="Arial" w:eastAsia="Times New Roman" w:hAnsi="Arial" w:cs="Arial"/>
                <w:b/>
                <w:bCs/>
                <w:color w:val="FFFFFF"/>
                <w:sz w:val="20"/>
                <w:szCs w:val="20"/>
                <w:lang w:eastAsia="pl-PL"/>
              </w:rPr>
              <w:t>2013</w:t>
            </w:r>
          </w:p>
        </w:tc>
        <w:tc>
          <w:tcPr>
            <w:tcW w:w="896" w:type="dxa"/>
            <w:tcBorders>
              <w:top w:val="nil"/>
              <w:left w:val="nil"/>
              <w:bottom w:val="single" w:sz="4" w:space="0" w:color="000000"/>
              <w:right w:val="single" w:sz="4" w:space="0" w:color="000000"/>
            </w:tcBorders>
            <w:shd w:val="clear" w:color="000000" w:fill="008080"/>
            <w:noWrap/>
            <w:vAlign w:val="center"/>
            <w:hideMark/>
          </w:tcPr>
          <w:p w:rsidR="00EE0C8C" w:rsidRPr="00EE0C8C" w:rsidRDefault="00EE0C8C" w:rsidP="00EE0C8C">
            <w:pPr>
              <w:spacing w:after="0" w:line="240" w:lineRule="auto"/>
              <w:jc w:val="center"/>
              <w:rPr>
                <w:rFonts w:ascii="Arial" w:eastAsia="Times New Roman" w:hAnsi="Arial" w:cs="Arial"/>
                <w:b/>
                <w:bCs/>
                <w:color w:val="FFFFFF"/>
                <w:sz w:val="20"/>
                <w:szCs w:val="20"/>
                <w:lang w:eastAsia="pl-PL"/>
              </w:rPr>
            </w:pPr>
            <w:r w:rsidRPr="00EE0C8C">
              <w:rPr>
                <w:rFonts w:ascii="Arial" w:eastAsia="Times New Roman" w:hAnsi="Arial" w:cs="Arial"/>
                <w:b/>
                <w:bCs/>
                <w:color w:val="FFFFFF"/>
                <w:sz w:val="20"/>
                <w:szCs w:val="20"/>
                <w:lang w:eastAsia="pl-PL"/>
              </w:rPr>
              <w:t>2014</w:t>
            </w:r>
          </w:p>
        </w:tc>
      </w:tr>
      <w:tr w:rsidR="00EE0C8C" w:rsidRPr="00EE0C8C" w:rsidTr="00A76BDB">
        <w:trPr>
          <w:trHeight w:val="186"/>
          <w:jc w:val="center"/>
        </w:trPr>
        <w:tc>
          <w:tcPr>
            <w:tcW w:w="3729" w:type="dxa"/>
            <w:vMerge/>
            <w:tcBorders>
              <w:top w:val="single" w:sz="4" w:space="0" w:color="000000"/>
              <w:left w:val="single" w:sz="4" w:space="0" w:color="000000"/>
              <w:bottom w:val="single" w:sz="4" w:space="0" w:color="000000"/>
              <w:right w:val="single" w:sz="4" w:space="0" w:color="000000"/>
            </w:tcBorders>
            <w:vAlign w:val="center"/>
            <w:hideMark/>
          </w:tcPr>
          <w:p w:rsidR="00EE0C8C" w:rsidRPr="00EE0C8C" w:rsidRDefault="00EE0C8C" w:rsidP="00EE0C8C">
            <w:pPr>
              <w:spacing w:after="0" w:line="240" w:lineRule="auto"/>
              <w:rPr>
                <w:rFonts w:ascii="Arial" w:eastAsia="Times New Roman" w:hAnsi="Arial" w:cs="Arial"/>
                <w:b/>
                <w:bCs/>
                <w:color w:val="FFFFFF"/>
                <w:sz w:val="20"/>
                <w:szCs w:val="20"/>
                <w:lang w:eastAsia="pl-PL"/>
              </w:rPr>
            </w:pPr>
          </w:p>
        </w:tc>
        <w:tc>
          <w:tcPr>
            <w:tcW w:w="895" w:type="dxa"/>
            <w:tcBorders>
              <w:top w:val="nil"/>
              <w:left w:val="nil"/>
              <w:bottom w:val="single" w:sz="4" w:space="0" w:color="000000"/>
              <w:right w:val="single" w:sz="4" w:space="0" w:color="000000"/>
            </w:tcBorders>
            <w:shd w:val="clear" w:color="000000" w:fill="CCFFFF"/>
            <w:noWrap/>
            <w:vAlign w:val="center"/>
            <w:hideMark/>
          </w:tcPr>
          <w:p w:rsidR="00EE0C8C" w:rsidRPr="00EE0C8C" w:rsidRDefault="00EE0C8C" w:rsidP="00EE0C8C">
            <w:pPr>
              <w:spacing w:after="0" w:line="240" w:lineRule="auto"/>
              <w:jc w:val="center"/>
              <w:rPr>
                <w:rFonts w:ascii="Arial" w:eastAsia="Times New Roman" w:hAnsi="Arial" w:cs="Arial"/>
                <w:b/>
                <w:bCs/>
                <w:color w:val="008080"/>
                <w:sz w:val="20"/>
                <w:szCs w:val="20"/>
                <w:lang w:eastAsia="pl-PL"/>
              </w:rPr>
            </w:pPr>
            <w:r w:rsidRPr="00EE0C8C">
              <w:rPr>
                <w:rFonts w:ascii="Arial" w:eastAsia="Times New Roman" w:hAnsi="Arial" w:cs="Arial"/>
                <w:b/>
                <w:bCs/>
                <w:color w:val="008080"/>
                <w:sz w:val="20"/>
                <w:szCs w:val="20"/>
                <w:lang w:eastAsia="pl-PL"/>
              </w:rPr>
              <w:t>-</w:t>
            </w:r>
          </w:p>
        </w:tc>
        <w:tc>
          <w:tcPr>
            <w:tcW w:w="895" w:type="dxa"/>
            <w:tcBorders>
              <w:top w:val="nil"/>
              <w:left w:val="nil"/>
              <w:bottom w:val="single" w:sz="4" w:space="0" w:color="000000"/>
              <w:right w:val="single" w:sz="4" w:space="0" w:color="000000"/>
            </w:tcBorders>
            <w:shd w:val="clear" w:color="000000" w:fill="CCFFFF"/>
            <w:noWrap/>
            <w:vAlign w:val="center"/>
            <w:hideMark/>
          </w:tcPr>
          <w:p w:rsidR="00EE0C8C" w:rsidRPr="00EE0C8C" w:rsidRDefault="00EE0C8C" w:rsidP="00EE0C8C">
            <w:pPr>
              <w:spacing w:after="0" w:line="240" w:lineRule="auto"/>
              <w:jc w:val="center"/>
              <w:rPr>
                <w:rFonts w:ascii="Arial" w:eastAsia="Times New Roman" w:hAnsi="Arial" w:cs="Arial"/>
                <w:b/>
                <w:bCs/>
                <w:color w:val="008080"/>
                <w:sz w:val="20"/>
                <w:szCs w:val="20"/>
                <w:lang w:eastAsia="pl-PL"/>
              </w:rPr>
            </w:pPr>
            <w:r w:rsidRPr="00EE0C8C">
              <w:rPr>
                <w:rFonts w:ascii="Arial" w:eastAsia="Times New Roman" w:hAnsi="Arial" w:cs="Arial"/>
                <w:b/>
                <w:bCs/>
                <w:color w:val="008080"/>
                <w:sz w:val="20"/>
                <w:szCs w:val="20"/>
                <w:lang w:eastAsia="pl-PL"/>
              </w:rPr>
              <w:t>-</w:t>
            </w:r>
          </w:p>
        </w:tc>
        <w:tc>
          <w:tcPr>
            <w:tcW w:w="896" w:type="dxa"/>
            <w:tcBorders>
              <w:top w:val="nil"/>
              <w:left w:val="nil"/>
              <w:bottom w:val="single" w:sz="4" w:space="0" w:color="000000"/>
              <w:right w:val="single" w:sz="4" w:space="0" w:color="000000"/>
            </w:tcBorders>
            <w:shd w:val="clear" w:color="000000" w:fill="CCFFFF"/>
            <w:noWrap/>
            <w:vAlign w:val="center"/>
            <w:hideMark/>
          </w:tcPr>
          <w:p w:rsidR="00EE0C8C" w:rsidRPr="00EE0C8C" w:rsidRDefault="00EE0C8C" w:rsidP="00EE0C8C">
            <w:pPr>
              <w:spacing w:after="0" w:line="240" w:lineRule="auto"/>
              <w:jc w:val="center"/>
              <w:rPr>
                <w:rFonts w:ascii="Arial" w:eastAsia="Times New Roman" w:hAnsi="Arial" w:cs="Arial"/>
                <w:b/>
                <w:bCs/>
                <w:color w:val="008080"/>
                <w:sz w:val="20"/>
                <w:szCs w:val="20"/>
                <w:lang w:eastAsia="pl-PL"/>
              </w:rPr>
            </w:pPr>
            <w:r w:rsidRPr="00EE0C8C">
              <w:rPr>
                <w:rFonts w:ascii="Arial" w:eastAsia="Times New Roman" w:hAnsi="Arial" w:cs="Arial"/>
                <w:b/>
                <w:bCs/>
                <w:color w:val="008080"/>
                <w:sz w:val="20"/>
                <w:szCs w:val="20"/>
                <w:lang w:eastAsia="pl-PL"/>
              </w:rPr>
              <w:t>-</w:t>
            </w:r>
          </w:p>
        </w:tc>
      </w:tr>
      <w:tr w:rsidR="00EE0C8C" w:rsidRPr="00EE0C8C" w:rsidTr="00A76BDB">
        <w:trPr>
          <w:trHeight w:val="186"/>
          <w:jc w:val="center"/>
        </w:trPr>
        <w:tc>
          <w:tcPr>
            <w:tcW w:w="3729"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rPr>
                <w:rFonts w:ascii="Arial" w:eastAsia="Times New Roman" w:hAnsi="Arial" w:cs="Arial"/>
                <w:sz w:val="20"/>
                <w:szCs w:val="20"/>
                <w:lang w:eastAsia="pl-PL"/>
              </w:rPr>
            </w:pPr>
            <w:r w:rsidRPr="00EE0C8C">
              <w:rPr>
                <w:rFonts w:ascii="Arial" w:eastAsia="Times New Roman" w:hAnsi="Arial" w:cs="Arial"/>
                <w:sz w:val="20"/>
                <w:szCs w:val="20"/>
                <w:lang w:eastAsia="pl-PL"/>
              </w:rPr>
              <w:t>Gmina Mirzec</w:t>
            </w:r>
          </w:p>
          <w:p w:rsidR="00EE0C8C" w:rsidRPr="00EE0C8C" w:rsidRDefault="00EE0C8C" w:rsidP="00EE0C8C">
            <w:pPr>
              <w:spacing w:after="0" w:line="240" w:lineRule="auto"/>
              <w:rPr>
                <w:rFonts w:ascii="Arial" w:eastAsia="Times New Roman" w:hAnsi="Arial" w:cs="Arial"/>
                <w:sz w:val="20"/>
                <w:szCs w:val="20"/>
                <w:lang w:eastAsia="pl-PL"/>
              </w:rPr>
            </w:pPr>
          </w:p>
        </w:tc>
        <w:tc>
          <w:tcPr>
            <w:tcW w:w="895"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-2,4</w:t>
            </w:r>
          </w:p>
        </w:tc>
        <w:tc>
          <w:tcPr>
            <w:tcW w:w="895"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-2,7</w:t>
            </w:r>
          </w:p>
        </w:tc>
        <w:tc>
          <w:tcPr>
            <w:tcW w:w="896"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-3,3</w:t>
            </w:r>
          </w:p>
        </w:tc>
      </w:tr>
    </w:tbl>
    <w:p w:rsidR="00EE0C8C" w:rsidRPr="00EE0C8C" w:rsidRDefault="00EE0C8C" w:rsidP="00EE0C8C">
      <w:pPr>
        <w:jc w:val="center"/>
        <w:rPr>
          <w:rFonts w:ascii="Calibri" w:eastAsia="Times New Roman" w:hAnsi="Calibri" w:cs="Times New Roman"/>
          <w:i/>
          <w:lang w:eastAsia="pl-PL"/>
        </w:rPr>
      </w:pPr>
      <w:r w:rsidRPr="00EE0C8C">
        <w:rPr>
          <w:rFonts w:ascii="Calibri" w:eastAsia="Times New Roman" w:hAnsi="Calibri" w:cs="Times New Roman"/>
          <w:i/>
          <w:lang w:eastAsia="pl-PL"/>
        </w:rPr>
        <w:t>(Źródło: Bank Danych Lokalnych)</w:t>
      </w:r>
    </w:p>
    <w:p w:rsidR="00EE0C8C" w:rsidRPr="00EE0C8C" w:rsidRDefault="00EE0C8C" w:rsidP="00EE0C8C">
      <w:pPr>
        <w:jc w:val="both"/>
        <w:rPr>
          <w:rFonts w:ascii="Calibri" w:eastAsia="Times New Roman" w:hAnsi="Calibri" w:cs="Times New Roman"/>
          <w:lang w:eastAsia="pl-PL"/>
        </w:rPr>
      </w:pPr>
      <w:r w:rsidRPr="00EE0C8C">
        <w:rPr>
          <w:rFonts w:ascii="Calibri" w:eastAsia="Times New Roman" w:hAnsi="Calibri" w:cs="Times New Roman"/>
          <w:lang w:eastAsia="pl-PL"/>
        </w:rPr>
        <w:t>Przyrost naturalny w 2014 r. w Gminie Mirzec był ujemny (- 3,3)  i jak widać na przestrzeni 2 lat (2012-2014) niestety nadal spada .</w:t>
      </w:r>
    </w:p>
    <w:p w:rsidR="00EE0C8C" w:rsidRPr="00EE0C8C" w:rsidRDefault="00EE0C8C" w:rsidP="00EE0C8C">
      <w:pPr>
        <w:jc w:val="both"/>
        <w:rPr>
          <w:rFonts w:ascii="Calibri" w:eastAsia="Times New Roman" w:hAnsi="Calibri" w:cs="Times New Roman"/>
          <w:lang w:eastAsia="pl-PL"/>
        </w:rPr>
      </w:pPr>
    </w:p>
    <w:p w:rsidR="00EE0C8C" w:rsidRPr="00EE0C8C" w:rsidRDefault="00EE0C8C" w:rsidP="00A76BDB">
      <w:pPr>
        <w:pStyle w:val="Nagwek2"/>
        <w:rPr>
          <w:lang w:eastAsia="pl-PL"/>
        </w:rPr>
      </w:pPr>
      <w:bookmarkStart w:id="80" w:name="_Toc439077766"/>
      <w:bookmarkStart w:id="81" w:name="_Toc450562494"/>
      <w:r w:rsidRPr="00EE0C8C">
        <w:rPr>
          <w:lang w:eastAsia="pl-PL"/>
        </w:rPr>
        <w:t>2.3.2. POZIOM I STRUKTURA BEZROBOCIA REJESTROWEGO</w:t>
      </w:r>
      <w:bookmarkEnd w:id="80"/>
      <w:bookmarkEnd w:id="81"/>
      <w:r w:rsidRPr="00EE0C8C">
        <w:rPr>
          <w:lang w:eastAsia="pl-PL"/>
        </w:rPr>
        <w:br/>
      </w:r>
    </w:p>
    <w:p w:rsidR="00EE0C8C" w:rsidRPr="00EE0C8C" w:rsidRDefault="00EE0C8C" w:rsidP="00EE0C8C">
      <w:pPr>
        <w:jc w:val="both"/>
        <w:rPr>
          <w:rFonts w:ascii="Calibri" w:eastAsia="Times New Roman" w:hAnsi="Calibri" w:cs="Times New Roman"/>
          <w:lang w:eastAsia="pl-PL"/>
        </w:rPr>
      </w:pPr>
      <w:r w:rsidRPr="00EE0C8C">
        <w:rPr>
          <w:rFonts w:ascii="Calibri" w:eastAsia="Times New Roman" w:hAnsi="Calibri" w:cs="Times New Roman"/>
          <w:lang w:eastAsia="pl-PL"/>
        </w:rPr>
        <w:t>Według danych GUS oraz PUP w Starachowicach bezrobocie na terenie Gminy Mirzec w ostatnich latach zmniejsza się i na koniec roku 2014 wynosiło 9,1 %.</w:t>
      </w:r>
    </w:p>
    <w:tbl>
      <w:tblPr>
        <w:tblW w:w="9405" w:type="dxa"/>
        <w:tblInd w:w="55" w:type="dxa"/>
        <w:tblCellMar>
          <w:left w:w="70" w:type="dxa"/>
          <w:right w:w="70" w:type="dxa"/>
        </w:tblCellMar>
        <w:tblLook w:val="04A0" w:firstRow="1" w:lastRow="0" w:firstColumn="1" w:lastColumn="0" w:noHBand="0" w:noVBand="1"/>
      </w:tblPr>
      <w:tblGrid>
        <w:gridCol w:w="4960"/>
        <w:gridCol w:w="1587"/>
        <w:gridCol w:w="952"/>
        <w:gridCol w:w="952"/>
        <w:gridCol w:w="954"/>
      </w:tblGrid>
      <w:tr w:rsidR="00EE0C8C" w:rsidRPr="00EE0C8C" w:rsidTr="00A76BDB">
        <w:trPr>
          <w:trHeight w:val="240"/>
        </w:trPr>
        <w:tc>
          <w:tcPr>
            <w:tcW w:w="4960" w:type="dxa"/>
            <w:tcBorders>
              <w:top w:val="single" w:sz="4" w:space="0" w:color="000000"/>
              <w:left w:val="single" w:sz="4" w:space="0" w:color="000000"/>
              <w:bottom w:val="single" w:sz="4" w:space="0" w:color="000000"/>
              <w:right w:val="single" w:sz="4" w:space="0" w:color="000000"/>
            </w:tcBorders>
            <w:shd w:val="clear" w:color="000000" w:fill="008080"/>
            <w:noWrap/>
            <w:vAlign w:val="center"/>
            <w:hideMark/>
          </w:tcPr>
          <w:p w:rsidR="00EE0C8C" w:rsidRPr="00EE0C8C" w:rsidRDefault="00EE0C8C" w:rsidP="00EE0C8C">
            <w:pPr>
              <w:spacing w:after="0" w:line="240" w:lineRule="auto"/>
              <w:jc w:val="center"/>
              <w:rPr>
                <w:rFonts w:ascii="Arial" w:eastAsia="Times New Roman" w:hAnsi="Arial" w:cs="Arial"/>
                <w:b/>
                <w:bCs/>
                <w:color w:val="FFFFFF"/>
                <w:sz w:val="20"/>
                <w:szCs w:val="20"/>
                <w:lang w:eastAsia="pl-PL"/>
              </w:rPr>
            </w:pPr>
            <w:r w:rsidRPr="00EE0C8C">
              <w:rPr>
                <w:rFonts w:ascii="Arial" w:eastAsia="Times New Roman" w:hAnsi="Arial" w:cs="Arial"/>
                <w:b/>
                <w:bCs/>
                <w:color w:val="FFFFFF"/>
                <w:sz w:val="20"/>
                <w:szCs w:val="20"/>
                <w:lang w:eastAsia="pl-PL"/>
              </w:rPr>
              <w:t> </w:t>
            </w:r>
          </w:p>
        </w:tc>
        <w:tc>
          <w:tcPr>
            <w:tcW w:w="1587" w:type="dxa"/>
            <w:tcBorders>
              <w:top w:val="single" w:sz="4" w:space="0" w:color="000000"/>
              <w:left w:val="nil"/>
              <w:bottom w:val="single" w:sz="4" w:space="0" w:color="000000"/>
              <w:right w:val="single" w:sz="4" w:space="0" w:color="000000"/>
            </w:tcBorders>
            <w:shd w:val="clear" w:color="000000" w:fill="008080"/>
            <w:noWrap/>
            <w:vAlign w:val="center"/>
            <w:hideMark/>
          </w:tcPr>
          <w:p w:rsidR="00EE0C8C" w:rsidRPr="00EE0C8C" w:rsidRDefault="00EE0C8C" w:rsidP="00EE0C8C">
            <w:pPr>
              <w:spacing w:after="0" w:line="240" w:lineRule="auto"/>
              <w:jc w:val="center"/>
              <w:rPr>
                <w:rFonts w:ascii="Arial" w:eastAsia="Times New Roman" w:hAnsi="Arial" w:cs="Arial"/>
                <w:b/>
                <w:bCs/>
                <w:color w:val="FFFFFF"/>
                <w:sz w:val="20"/>
                <w:szCs w:val="20"/>
                <w:lang w:eastAsia="pl-PL"/>
              </w:rPr>
            </w:pPr>
            <w:r w:rsidRPr="00EE0C8C">
              <w:rPr>
                <w:rFonts w:ascii="Arial" w:eastAsia="Times New Roman" w:hAnsi="Arial" w:cs="Arial"/>
                <w:b/>
                <w:bCs/>
                <w:color w:val="FFFFFF"/>
                <w:sz w:val="20"/>
                <w:szCs w:val="20"/>
                <w:lang w:eastAsia="pl-PL"/>
              </w:rPr>
              <w:t>Jednostka miary</w:t>
            </w:r>
          </w:p>
        </w:tc>
        <w:tc>
          <w:tcPr>
            <w:tcW w:w="952" w:type="dxa"/>
            <w:tcBorders>
              <w:top w:val="single" w:sz="4" w:space="0" w:color="000000"/>
              <w:left w:val="nil"/>
              <w:bottom w:val="single" w:sz="4" w:space="0" w:color="000000"/>
              <w:right w:val="single" w:sz="4" w:space="0" w:color="000000"/>
            </w:tcBorders>
            <w:shd w:val="clear" w:color="000000" w:fill="008080"/>
            <w:noWrap/>
            <w:vAlign w:val="center"/>
            <w:hideMark/>
          </w:tcPr>
          <w:p w:rsidR="00EE0C8C" w:rsidRPr="00EE0C8C" w:rsidRDefault="00EE0C8C" w:rsidP="00EE0C8C">
            <w:pPr>
              <w:spacing w:after="0" w:line="240" w:lineRule="auto"/>
              <w:jc w:val="center"/>
              <w:rPr>
                <w:rFonts w:ascii="Arial" w:eastAsia="Times New Roman" w:hAnsi="Arial" w:cs="Arial"/>
                <w:b/>
                <w:bCs/>
                <w:color w:val="FFFFFF"/>
                <w:sz w:val="20"/>
                <w:szCs w:val="20"/>
                <w:lang w:eastAsia="pl-PL"/>
              </w:rPr>
            </w:pPr>
            <w:r w:rsidRPr="00EE0C8C">
              <w:rPr>
                <w:rFonts w:ascii="Arial" w:eastAsia="Times New Roman" w:hAnsi="Arial" w:cs="Arial"/>
                <w:b/>
                <w:bCs/>
                <w:color w:val="FFFFFF"/>
                <w:sz w:val="20"/>
                <w:szCs w:val="20"/>
                <w:lang w:eastAsia="pl-PL"/>
              </w:rPr>
              <w:t>2012</w:t>
            </w:r>
          </w:p>
        </w:tc>
        <w:tc>
          <w:tcPr>
            <w:tcW w:w="952" w:type="dxa"/>
            <w:tcBorders>
              <w:top w:val="single" w:sz="4" w:space="0" w:color="000000"/>
              <w:left w:val="nil"/>
              <w:bottom w:val="single" w:sz="4" w:space="0" w:color="000000"/>
              <w:right w:val="single" w:sz="4" w:space="0" w:color="000000"/>
            </w:tcBorders>
            <w:shd w:val="clear" w:color="000000" w:fill="008080"/>
            <w:noWrap/>
            <w:vAlign w:val="center"/>
            <w:hideMark/>
          </w:tcPr>
          <w:p w:rsidR="00EE0C8C" w:rsidRPr="00EE0C8C" w:rsidRDefault="00EE0C8C" w:rsidP="00EE0C8C">
            <w:pPr>
              <w:spacing w:after="0" w:line="240" w:lineRule="auto"/>
              <w:jc w:val="center"/>
              <w:rPr>
                <w:rFonts w:ascii="Arial" w:eastAsia="Times New Roman" w:hAnsi="Arial" w:cs="Arial"/>
                <w:b/>
                <w:bCs/>
                <w:color w:val="FFFFFF"/>
                <w:sz w:val="20"/>
                <w:szCs w:val="20"/>
                <w:lang w:eastAsia="pl-PL"/>
              </w:rPr>
            </w:pPr>
            <w:r w:rsidRPr="00EE0C8C">
              <w:rPr>
                <w:rFonts w:ascii="Arial" w:eastAsia="Times New Roman" w:hAnsi="Arial" w:cs="Arial"/>
                <w:b/>
                <w:bCs/>
                <w:color w:val="FFFFFF"/>
                <w:sz w:val="20"/>
                <w:szCs w:val="20"/>
                <w:lang w:eastAsia="pl-PL"/>
              </w:rPr>
              <w:t>2013</w:t>
            </w:r>
          </w:p>
        </w:tc>
        <w:tc>
          <w:tcPr>
            <w:tcW w:w="952" w:type="dxa"/>
            <w:tcBorders>
              <w:top w:val="single" w:sz="4" w:space="0" w:color="000000"/>
              <w:left w:val="nil"/>
              <w:bottom w:val="single" w:sz="4" w:space="0" w:color="000000"/>
              <w:right w:val="single" w:sz="4" w:space="0" w:color="000000"/>
            </w:tcBorders>
            <w:shd w:val="clear" w:color="000000" w:fill="008080"/>
            <w:noWrap/>
            <w:vAlign w:val="center"/>
            <w:hideMark/>
          </w:tcPr>
          <w:p w:rsidR="00EE0C8C" w:rsidRPr="00EE0C8C" w:rsidRDefault="00EE0C8C" w:rsidP="00EE0C8C">
            <w:pPr>
              <w:spacing w:after="0" w:line="240" w:lineRule="auto"/>
              <w:jc w:val="center"/>
              <w:rPr>
                <w:rFonts w:ascii="Arial" w:eastAsia="Times New Roman" w:hAnsi="Arial" w:cs="Arial"/>
                <w:b/>
                <w:bCs/>
                <w:color w:val="FFFFFF"/>
                <w:sz w:val="20"/>
                <w:szCs w:val="20"/>
                <w:lang w:eastAsia="pl-PL"/>
              </w:rPr>
            </w:pPr>
            <w:r w:rsidRPr="00EE0C8C">
              <w:rPr>
                <w:rFonts w:ascii="Arial" w:eastAsia="Times New Roman" w:hAnsi="Arial" w:cs="Arial"/>
                <w:b/>
                <w:bCs/>
                <w:color w:val="FFFFFF"/>
                <w:sz w:val="20"/>
                <w:szCs w:val="20"/>
                <w:lang w:eastAsia="pl-PL"/>
              </w:rPr>
              <w:t>2014</w:t>
            </w:r>
          </w:p>
        </w:tc>
      </w:tr>
      <w:tr w:rsidR="00EE0C8C" w:rsidRPr="00EE0C8C" w:rsidTr="00A76BDB">
        <w:trPr>
          <w:trHeight w:val="240"/>
        </w:trPr>
        <w:tc>
          <w:tcPr>
            <w:tcW w:w="9405" w:type="dxa"/>
            <w:gridSpan w:val="5"/>
            <w:tcBorders>
              <w:top w:val="single" w:sz="4" w:space="0" w:color="000000"/>
              <w:left w:val="single" w:sz="4" w:space="0" w:color="000000"/>
              <w:bottom w:val="single" w:sz="4" w:space="0" w:color="000000"/>
              <w:right w:val="single" w:sz="4" w:space="0" w:color="000000"/>
            </w:tcBorders>
            <w:shd w:val="clear" w:color="000000" w:fill="008080"/>
            <w:noWrap/>
            <w:vAlign w:val="center"/>
            <w:hideMark/>
          </w:tcPr>
          <w:p w:rsidR="00EE0C8C" w:rsidRPr="00EE0C8C" w:rsidRDefault="00EE0C8C" w:rsidP="00EE0C8C">
            <w:pPr>
              <w:spacing w:after="0" w:line="240" w:lineRule="auto"/>
              <w:rPr>
                <w:rFonts w:ascii="Arial" w:eastAsia="Times New Roman" w:hAnsi="Arial" w:cs="Arial"/>
                <w:b/>
                <w:bCs/>
                <w:color w:val="FFFFFF"/>
                <w:sz w:val="20"/>
                <w:szCs w:val="20"/>
                <w:lang w:eastAsia="pl-PL"/>
              </w:rPr>
            </w:pPr>
            <w:r w:rsidRPr="00EE0C8C">
              <w:rPr>
                <w:rFonts w:ascii="Arial" w:eastAsia="Times New Roman" w:hAnsi="Arial" w:cs="Arial"/>
                <w:b/>
                <w:bCs/>
                <w:color w:val="FFFFFF"/>
                <w:sz w:val="20"/>
                <w:szCs w:val="20"/>
                <w:lang w:eastAsia="pl-PL"/>
              </w:rPr>
              <w:t>BEZROBOCIE REJESTROWANE</w:t>
            </w:r>
          </w:p>
        </w:tc>
      </w:tr>
      <w:tr w:rsidR="00EE0C8C" w:rsidRPr="00EE0C8C" w:rsidTr="00A76BDB">
        <w:trPr>
          <w:trHeight w:val="240"/>
        </w:trPr>
        <w:tc>
          <w:tcPr>
            <w:tcW w:w="9405" w:type="dxa"/>
            <w:gridSpan w:val="5"/>
            <w:tcBorders>
              <w:top w:val="single" w:sz="4" w:space="0" w:color="000000"/>
              <w:left w:val="single" w:sz="4" w:space="0" w:color="000000"/>
              <w:bottom w:val="single" w:sz="4" w:space="0" w:color="000000"/>
              <w:right w:val="single" w:sz="4" w:space="0" w:color="000000"/>
            </w:tcBorders>
            <w:shd w:val="clear" w:color="000000" w:fill="33CCCC"/>
            <w:noWrap/>
            <w:vAlign w:val="center"/>
            <w:hideMark/>
          </w:tcPr>
          <w:p w:rsidR="00EE0C8C" w:rsidRPr="00EE0C8C" w:rsidRDefault="00EE0C8C" w:rsidP="00EE0C8C">
            <w:pPr>
              <w:spacing w:after="0" w:line="240" w:lineRule="auto"/>
              <w:rPr>
                <w:rFonts w:ascii="Arial" w:eastAsia="Times New Roman" w:hAnsi="Arial" w:cs="Arial"/>
                <w:b/>
                <w:bCs/>
                <w:color w:val="008080"/>
                <w:sz w:val="20"/>
                <w:szCs w:val="20"/>
                <w:lang w:eastAsia="pl-PL"/>
              </w:rPr>
            </w:pPr>
            <w:r w:rsidRPr="00EE0C8C">
              <w:rPr>
                <w:rFonts w:ascii="Arial" w:eastAsia="Times New Roman" w:hAnsi="Arial" w:cs="Arial"/>
                <w:b/>
                <w:bCs/>
                <w:color w:val="008080"/>
                <w:sz w:val="20"/>
                <w:szCs w:val="20"/>
                <w:lang w:eastAsia="pl-PL"/>
              </w:rPr>
              <w:t>Bezrobotni zarejestrowani wg płci</w:t>
            </w:r>
          </w:p>
        </w:tc>
      </w:tr>
      <w:tr w:rsidR="00EE0C8C" w:rsidRPr="00EE0C8C" w:rsidTr="00A76BDB">
        <w:trPr>
          <w:trHeight w:val="240"/>
        </w:trPr>
        <w:tc>
          <w:tcPr>
            <w:tcW w:w="496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rPr>
                <w:rFonts w:ascii="Arial" w:eastAsia="Times New Roman" w:hAnsi="Arial" w:cs="Arial"/>
                <w:sz w:val="20"/>
                <w:szCs w:val="20"/>
                <w:lang w:eastAsia="pl-PL"/>
              </w:rPr>
            </w:pPr>
            <w:r w:rsidRPr="00EE0C8C">
              <w:rPr>
                <w:rFonts w:ascii="Arial" w:eastAsia="Times New Roman" w:hAnsi="Arial" w:cs="Arial"/>
                <w:sz w:val="20"/>
                <w:szCs w:val="20"/>
                <w:lang w:eastAsia="pl-PL"/>
              </w:rPr>
              <w:t>ogółem</w:t>
            </w:r>
          </w:p>
        </w:tc>
        <w:tc>
          <w:tcPr>
            <w:tcW w:w="1587"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osoba</w:t>
            </w:r>
          </w:p>
        </w:tc>
        <w:tc>
          <w:tcPr>
            <w:tcW w:w="952"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613</w:t>
            </w:r>
          </w:p>
        </w:tc>
        <w:tc>
          <w:tcPr>
            <w:tcW w:w="952"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597</w:t>
            </w:r>
          </w:p>
        </w:tc>
        <w:tc>
          <w:tcPr>
            <w:tcW w:w="952"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470</w:t>
            </w:r>
          </w:p>
        </w:tc>
      </w:tr>
      <w:tr w:rsidR="00EE0C8C" w:rsidRPr="00EE0C8C" w:rsidTr="00A76BDB">
        <w:trPr>
          <w:trHeight w:val="240"/>
        </w:trPr>
        <w:tc>
          <w:tcPr>
            <w:tcW w:w="496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rPr>
                <w:rFonts w:ascii="Arial" w:eastAsia="Times New Roman" w:hAnsi="Arial" w:cs="Arial"/>
                <w:sz w:val="20"/>
                <w:szCs w:val="20"/>
                <w:lang w:eastAsia="pl-PL"/>
              </w:rPr>
            </w:pPr>
            <w:r w:rsidRPr="00EE0C8C">
              <w:rPr>
                <w:rFonts w:ascii="Arial" w:eastAsia="Times New Roman" w:hAnsi="Arial" w:cs="Arial"/>
                <w:sz w:val="20"/>
                <w:szCs w:val="20"/>
                <w:lang w:eastAsia="pl-PL"/>
              </w:rPr>
              <w:t>mężczyźni</w:t>
            </w:r>
          </w:p>
        </w:tc>
        <w:tc>
          <w:tcPr>
            <w:tcW w:w="1587"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osoba</w:t>
            </w:r>
          </w:p>
        </w:tc>
        <w:tc>
          <w:tcPr>
            <w:tcW w:w="952"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339</w:t>
            </w:r>
          </w:p>
        </w:tc>
        <w:tc>
          <w:tcPr>
            <w:tcW w:w="952"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333</w:t>
            </w:r>
          </w:p>
        </w:tc>
        <w:tc>
          <w:tcPr>
            <w:tcW w:w="952"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251</w:t>
            </w:r>
          </w:p>
        </w:tc>
      </w:tr>
      <w:tr w:rsidR="00EE0C8C" w:rsidRPr="00EE0C8C" w:rsidTr="00A76BDB">
        <w:trPr>
          <w:trHeight w:val="240"/>
        </w:trPr>
        <w:tc>
          <w:tcPr>
            <w:tcW w:w="496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rPr>
                <w:rFonts w:ascii="Arial" w:eastAsia="Times New Roman" w:hAnsi="Arial" w:cs="Arial"/>
                <w:sz w:val="20"/>
                <w:szCs w:val="20"/>
                <w:lang w:eastAsia="pl-PL"/>
              </w:rPr>
            </w:pPr>
            <w:r w:rsidRPr="00EE0C8C">
              <w:rPr>
                <w:rFonts w:ascii="Arial" w:eastAsia="Times New Roman" w:hAnsi="Arial" w:cs="Arial"/>
                <w:sz w:val="20"/>
                <w:szCs w:val="20"/>
                <w:lang w:eastAsia="pl-PL"/>
              </w:rPr>
              <w:t>kobiety</w:t>
            </w:r>
          </w:p>
        </w:tc>
        <w:tc>
          <w:tcPr>
            <w:tcW w:w="1587"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osoba</w:t>
            </w:r>
          </w:p>
        </w:tc>
        <w:tc>
          <w:tcPr>
            <w:tcW w:w="952"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274</w:t>
            </w:r>
          </w:p>
        </w:tc>
        <w:tc>
          <w:tcPr>
            <w:tcW w:w="952"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264</w:t>
            </w:r>
          </w:p>
        </w:tc>
        <w:tc>
          <w:tcPr>
            <w:tcW w:w="952"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219</w:t>
            </w:r>
          </w:p>
        </w:tc>
      </w:tr>
      <w:tr w:rsidR="00EE0C8C" w:rsidRPr="00EE0C8C" w:rsidTr="00A76BDB">
        <w:trPr>
          <w:trHeight w:val="240"/>
        </w:trPr>
        <w:tc>
          <w:tcPr>
            <w:tcW w:w="9405" w:type="dxa"/>
            <w:gridSpan w:val="5"/>
            <w:tcBorders>
              <w:top w:val="single" w:sz="4" w:space="0" w:color="000000"/>
              <w:left w:val="single" w:sz="4" w:space="0" w:color="000000"/>
              <w:bottom w:val="single" w:sz="4" w:space="0" w:color="000000"/>
              <w:right w:val="single" w:sz="4" w:space="0" w:color="000000"/>
            </w:tcBorders>
            <w:shd w:val="clear" w:color="000000" w:fill="33CCCC"/>
            <w:noWrap/>
            <w:vAlign w:val="center"/>
            <w:hideMark/>
          </w:tcPr>
          <w:p w:rsidR="00EE0C8C" w:rsidRPr="00EE0C8C" w:rsidRDefault="00EE0C8C" w:rsidP="00EE0C8C">
            <w:pPr>
              <w:spacing w:after="0" w:line="240" w:lineRule="auto"/>
              <w:rPr>
                <w:rFonts w:ascii="Arial" w:eastAsia="Times New Roman" w:hAnsi="Arial" w:cs="Arial"/>
                <w:b/>
                <w:bCs/>
                <w:color w:val="008080"/>
                <w:sz w:val="20"/>
                <w:szCs w:val="20"/>
                <w:lang w:eastAsia="pl-PL"/>
              </w:rPr>
            </w:pPr>
            <w:r w:rsidRPr="00EE0C8C">
              <w:rPr>
                <w:rFonts w:ascii="Arial" w:eastAsia="Times New Roman" w:hAnsi="Arial" w:cs="Arial"/>
                <w:b/>
                <w:bCs/>
                <w:color w:val="008080"/>
                <w:sz w:val="20"/>
                <w:szCs w:val="20"/>
                <w:lang w:eastAsia="pl-PL"/>
              </w:rPr>
              <w:t>Udział bezrobotnych zarejestrowanych w liczbie ludności w wieku produkcyjnym wg płci</w:t>
            </w:r>
          </w:p>
        </w:tc>
      </w:tr>
      <w:tr w:rsidR="00EE0C8C" w:rsidRPr="00EE0C8C" w:rsidTr="00A76BDB">
        <w:trPr>
          <w:trHeight w:val="240"/>
        </w:trPr>
        <w:tc>
          <w:tcPr>
            <w:tcW w:w="496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rPr>
                <w:rFonts w:ascii="Arial" w:eastAsia="Times New Roman" w:hAnsi="Arial" w:cs="Arial"/>
                <w:sz w:val="20"/>
                <w:szCs w:val="20"/>
                <w:lang w:eastAsia="pl-PL"/>
              </w:rPr>
            </w:pPr>
            <w:r w:rsidRPr="00EE0C8C">
              <w:rPr>
                <w:rFonts w:ascii="Arial" w:eastAsia="Times New Roman" w:hAnsi="Arial" w:cs="Arial"/>
                <w:sz w:val="20"/>
                <w:szCs w:val="20"/>
                <w:lang w:eastAsia="pl-PL"/>
              </w:rPr>
              <w:t>ogółem</w:t>
            </w:r>
          </w:p>
        </w:tc>
        <w:tc>
          <w:tcPr>
            <w:tcW w:w="1587"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w:t>
            </w:r>
          </w:p>
        </w:tc>
        <w:tc>
          <w:tcPr>
            <w:tcW w:w="952"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11,8</w:t>
            </w:r>
          </w:p>
        </w:tc>
        <w:tc>
          <w:tcPr>
            <w:tcW w:w="952"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11,5</w:t>
            </w:r>
          </w:p>
        </w:tc>
        <w:tc>
          <w:tcPr>
            <w:tcW w:w="952"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9,1</w:t>
            </w:r>
          </w:p>
        </w:tc>
      </w:tr>
      <w:tr w:rsidR="00EE0C8C" w:rsidRPr="00EE0C8C" w:rsidTr="00A76BDB">
        <w:trPr>
          <w:trHeight w:val="240"/>
        </w:trPr>
        <w:tc>
          <w:tcPr>
            <w:tcW w:w="496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rPr>
                <w:rFonts w:ascii="Arial" w:eastAsia="Times New Roman" w:hAnsi="Arial" w:cs="Arial"/>
                <w:sz w:val="20"/>
                <w:szCs w:val="20"/>
                <w:lang w:eastAsia="pl-PL"/>
              </w:rPr>
            </w:pPr>
            <w:r w:rsidRPr="00EE0C8C">
              <w:rPr>
                <w:rFonts w:ascii="Arial" w:eastAsia="Times New Roman" w:hAnsi="Arial" w:cs="Arial"/>
                <w:sz w:val="20"/>
                <w:szCs w:val="20"/>
                <w:lang w:eastAsia="pl-PL"/>
              </w:rPr>
              <w:t>mężczyźni</w:t>
            </w:r>
          </w:p>
        </w:tc>
        <w:tc>
          <w:tcPr>
            <w:tcW w:w="1587"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w:t>
            </w:r>
          </w:p>
        </w:tc>
        <w:tc>
          <w:tcPr>
            <w:tcW w:w="952"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11,7</w:t>
            </w:r>
          </w:p>
        </w:tc>
        <w:tc>
          <w:tcPr>
            <w:tcW w:w="952"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11,5</w:t>
            </w:r>
          </w:p>
        </w:tc>
        <w:tc>
          <w:tcPr>
            <w:tcW w:w="952"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8,7</w:t>
            </w:r>
          </w:p>
        </w:tc>
      </w:tr>
      <w:tr w:rsidR="00EE0C8C" w:rsidRPr="00EE0C8C" w:rsidTr="00A76BDB">
        <w:trPr>
          <w:trHeight w:val="240"/>
        </w:trPr>
        <w:tc>
          <w:tcPr>
            <w:tcW w:w="496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rPr>
                <w:rFonts w:ascii="Arial" w:eastAsia="Times New Roman" w:hAnsi="Arial" w:cs="Arial"/>
                <w:sz w:val="20"/>
                <w:szCs w:val="20"/>
                <w:lang w:eastAsia="pl-PL"/>
              </w:rPr>
            </w:pPr>
            <w:r w:rsidRPr="00EE0C8C">
              <w:rPr>
                <w:rFonts w:ascii="Arial" w:eastAsia="Times New Roman" w:hAnsi="Arial" w:cs="Arial"/>
                <w:sz w:val="20"/>
                <w:szCs w:val="20"/>
                <w:lang w:eastAsia="pl-PL"/>
              </w:rPr>
              <w:t>kobiety</w:t>
            </w:r>
          </w:p>
        </w:tc>
        <w:tc>
          <w:tcPr>
            <w:tcW w:w="1587"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w:t>
            </w:r>
          </w:p>
        </w:tc>
        <w:tc>
          <w:tcPr>
            <w:tcW w:w="952"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11,8</w:t>
            </w:r>
          </w:p>
        </w:tc>
        <w:tc>
          <w:tcPr>
            <w:tcW w:w="952"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11,4</w:t>
            </w:r>
          </w:p>
        </w:tc>
        <w:tc>
          <w:tcPr>
            <w:tcW w:w="952"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9,5</w:t>
            </w:r>
          </w:p>
        </w:tc>
      </w:tr>
      <w:tr w:rsidR="00EE0C8C" w:rsidRPr="00EE0C8C" w:rsidTr="00A76BDB">
        <w:trPr>
          <w:trHeight w:val="240"/>
        </w:trPr>
        <w:tc>
          <w:tcPr>
            <w:tcW w:w="9405" w:type="dxa"/>
            <w:gridSpan w:val="5"/>
            <w:tcBorders>
              <w:top w:val="single" w:sz="4" w:space="0" w:color="000000"/>
              <w:left w:val="single" w:sz="4" w:space="0" w:color="000000"/>
              <w:bottom w:val="single" w:sz="4" w:space="0" w:color="000000"/>
              <w:right w:val="single" w:sz="4" w:space="0" w:color="000000"/>
            </w:tcBorders>
            <w:shd w:val="clear" w:color="000000" w:fill="008080"/>
            <w:noWrap/>
            <w:vAlign w:val="center"/>
            <w:hideMark/>
          </w:tcPr>
          <w:p w:rsidR="00EE0C8C" w:rsidRPr="00EE0C8C" w:rsidRDefault="00EE0C8C" w:rsidP="00EE0C8C">
            <w:pPr>
              <w:spacing w:after="0" w:line="240" w:lineRule="auto"/>
              <w:rPr>
                <w:rFonts w:ascii="Arial" w:eastAsia="Times New Roman" w:hAnsi="Arial" w:cs="Arial"/>
                <w:b/>
                <w:bCs/>
                <w:color w:val="FFFFFF"/>
                <w:sz w:val="20"/>
                <w:szCs w:val="20"/>
                <w:lang w:eastAsia="pl-PL"/>
              </w:rPr>
            </w:pPr>
            <w:r w:rsidRPr="00EE0C8C">
              <w:rPr>
                <w:rFonts w:ascii="Arial" w:eastAsia="Times New Roman" w:hAnsi="Arial" w:cs="Arial"/>
                <w:b/>
                <w:bCs/>
                <w:color w:val="FFFFFF"/>
                <w:sz w:val="20"/>
                <w:szCs w:val="20"/>
                <w:lang w:eastAsia="pl-PL"/>
              </w:rPr>
              <w:t>PRACUJĄCY WEDŁUG INNEGO PODZIAŁU NIŻ PKD</w:t>
            </w:r>
          </w:p>
        </w:tc>
      </w:tr>
      <w:tr w:rsidR="00EE0C8C" w:rsidRPr="00EE0C8C" w:rsidTr="00A76BDB">
        <w:trPr>
          <w:trHeight w:val="240"/>
        </w:trPr>
        <w:tc>
          <w:tcPr>
            <w:tcW w:w="9405" w:type="dxa"/>
            <w:gridSpan w:val="5"/>
            <w:tcBorders>
              <w:top w:val="single" w:sz="4" w:space="0" w:color="000000"/>
              <w:left w:val="single" w:sz="4" w:space="0" w:color="000000"/>
              <w:bottom w:val="single" w:sz="4" w:space="0" w:color="000000"/>
              <w:right w:val="single" w:sz="4" w:space="0" w:color="000000"/>
            </w:tcBorders>
            <w:shd w:val="clear" w:color="000000" w:fill="33CCCC"/>
            <w:noWrap/>
            <w:vAlign w:val="center"/>
            <w:hideMark/>
          </w:tcPr>
          <w:p w:rsidR="00EE0C8C" w:rsidRPr="00EE0C8C" w:rsidRDefault="00EE0C8C" w:rsidP="00EE0C8C">
            <w:pPr>
              <w:spacing w:after="0" w:line="240" w:lineRule="auto"/>
              <w:rPr>
                <w:rFonts w:ascii="Arial" w:eastAsia="Times New Roman" w:hAnsi="Arial" w:cs="Arial"/>
                <w:b/>
                <w:bCs/>
                <w:color w:val="008080"/>
                <w:sz w:val="20"/>
                <w:szCs w:val="20"/>
                <w:lang w:eastAsia="pl-PL"/>
              </w:rPr>
            </w:pPr>
            <w:r w:rsidRPr="00EE0C8C">
              <w:rPr>
                <w:rFonts w:ascii="Arial" w:eastAsia="Times New Roman" w:hAnsi="Arial" w:cs="Arial"/>
                <w:b/>
                <w:bCs/>
                <w:color w:val="008080"/>
                <w:sz w:val="20"/>
                <w:szCs w:val="20"/>
                <w:lang w:eastAsia="pl-PL"/>
              </w:rPr>
              <w:t>Pracujący wg płci</w:t>
            </w:r>
          </w:p>
        </w:tc>
      </w:tr>
      <w:tr w:rsidR="00EE0C8C" w:rsidRPr="00EE0C8C" w:rsidTr="00A76BDB">
        <w:trPr>
          <w:trHeight w:val="240"/>
        </w:trPr>
        <w:tc>
          <w:tcPr>
            <w:tcW w:w="496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rPr>
                <w:rFonts w:ascii="Arial" w:eastAsia="Times New Roman" w:hAnsi="Arial" w:cs="Arial"/>
                <w:sz w:val="20"/>
                <w:szCs w:val="20"/>
                <w:lang w:eastAsia="pl-PL"/>
              </w:rPr>
            </w:pPr>
            <w:r w:rsidRPr="00EE0C8C">
              <w:rPr>
                <w:rFonts w:ascii="Arial" w:eastAsia="Times New Roman" w:hAnsi="Arial" w:cs="Arial"/>
                <w:sz w:val="20"/>
                <w:szCs w:val="20"/>
                <w:lang w:eastAsia="pl-PL"/>
              </w:rPr>
              <w:t>ogółem</w:t>
            </w:r>
          </w:p>
        </w:tc>
        <w:tc>
          <w:tcPr>
            <w:tcW w:w="1587"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osoba</w:t>
            </w:r>
          </w:p>
        </w:tc>
        <w:tc>
          <w:tcPr>
            <w:tcW w:w="952"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389</w:t>
            </w:r>
          </w:p>
        </w:tc>
        <w:tc>
          <w:tcPr>
            <w:tcW w:w="952"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389</w:t>
            </w:r>
          </w:p>
        </w:tc>
        <w:tc>
          <w:tcPr>
            <w:tcW w:w="952"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375</w:t>
            </w:r>
          </w:p>
        </w:tc>
      </w:tr>
      <w:tr w:rsidR="00EE0C8C" w:rsidRPr="00EE0C8C" w:rsidTr="00A76BDB">
        <w:trPr>
          <w:trHeight w:val="240"/>
        </w:trPr>
        <w:tc>
          <w:tcPr>
            <w:tcW w:w="496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rPr>
                <w:rFonts w:ascii="Arial" w:eastAsia="Times New Roman" w:hAnsi="Arial" w:cs="Arial"/>
                <w:sz w:val="20"/>
                <w:szCs w:val="20"/>
                <w:lang w:eastAsia="pl-PL"/>
              </w:rPr>
            </w:pPr>
            <w:r w:rsidRPr="00EE0C8C">
              <w:rPr>
                <w:rFonts w:ascii="Arial" w:eastAsia="Times New Roman" w:hAnsi="Arial" w:cs="Arial"/>
                <w:sz w:val="20"/>
                <w:szCs w:val="20"/>
                <w:lang w:eastAsia="pl-PL"/>
              </w:rPr>
              <w:t>mężczyźni</w:t>
            </w:r>
          </w:p>
        </w:tc>
        <w:tc>
          <w:tcPr>
            <w:tcW w:w="1587"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osoba</w:t>
            </w:r>
          </w:p>
        </w:tc>
        <w:tc>
          <w:tcPr>
            <w:tcW w:w="952"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106</w:t>
            </w:r>
          </w:p>
        </w:tc>
        <w:tc>
          <w:tcPr>
            <w:tcW w:w="952"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97</w:t>
            </w:r>
          </w:p>
        </w:tc>
        <w:tc>
          <w:tcPr>
            <w:tcW w:w="952"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87</w:t>
            </w:r>
          </w:p>
        </w:tc>
      </w:tr>
      <w:tr w:rsidR="00EE0C8C" w:rsidRPr="00EE0C8C" w:rsidTr="00A76BDB">
        <w:trPr>
          <w:trHeight w:val="240"/>
        </w:trPr>
        <w:tc>
          <w:tcPr>
            <w:tcW w:w="496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rPr>
                <w:rFonts w:ascii="Arial" w:eastAsia="Times New Roman" w:hAnsi="Arial" w:cs="Arial"/>
                <w:sz w:val="20"/>
                <w:szCs w:val="20"/>
                <w:lang w:eastAsia="pl-PL"/>
              </w:rPr>
            </w:pPr>
            <w:r w:rsidRPr="00EE0C8C">
              <w:rPr>
                <w:rFonts w:ascii="Arial" w:eastAsia="Times New Roman" w:hAnsi="Arial" w:cs="Arial"/>
                <w:sz w:val="20"/>
                <w:szCs w:val="20"/>
                <w:lang w:eastAsia="pl-PL"/>
              </w:rPr>
              <w:t>kobiety</w:t>
            </w:r>
          </w:p>
        </w:tc>
        <w:tc>
          <w:tcPr>
            <w:tcW w:w="1587"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osoba</w:t>
            </w:r>
          </w:p>
        </w:tc>
        <w:tc>
          <w:tcPr>
            <w:tcW w:w="952"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283</w:t>
            </w:r>
          </w:p>
        </w:tc>
        <w:tc>
          <w:tcPr>
            <w:tcW w:w="952"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292</w:t>
            </w:r>
          </w:p>
        </w:tc>
        <w:tc>
          <w:tcPr>
            <w:tcW w:w="952"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288</w:t>
            </w:r>
          </w:p>
        </w:tc>
      </w:tr>
      <w:tr w:rsidR="00EE0C8C" w:rsidRPr="00EE0C8C" w:rsidTr="00A76BDB">
        <w:trPr>
          <w:trHeight w:val="240"/>
        </w:trPr>
        <w:tc>
          <w:tcPr>
            <w:tcW w:w="9405" w:type="dxa"/>
            <w:gridSpan w:val="5"/>
            <w:tcBorders>
              <w:top w:val="single" w:sz="4" w:space="0" w:color="000000"/>
              <w:left w:val="single" w:sz="4" w:space="0" w:color="000000"/>
              <w:bottom w:val="single" w:sz="4" w:space="0" w:color="000000"/>
              <w:right w:val="single" w:sz="4" w:space="0" w:color="000000"/>
            </w:tcBorders>
            <w:shd w:val="clear" w:color="000000" w:fill="33CCCC"/>
            <w:noWrap/>
            <w:vAlign w:val="center"/>
            <w:hideMark/>
          </w:tcPr>
          <w:p w:rsidR="00EE0C8C" w:rsidRPr="00EE0C8C" w:rsidRDefault="00EE0C8C" w:rsidP="00EE0C8C">
            <w:pPr>
              <w:spacing w:after="0" w:line="240" w:lineRule="auto"/>
              <w:rPr>
                <w:rFonts w:ascii="Arial" w:eastAsia="Times New Roman" w:hAnsi="Arial" w:cs="Arial"/>
                <w:b/>
                <w:bCs/>
                <w:color w:val="008080"/>
                <w:sz w:val="20"/>
                <w:szCs w:val="20"/>
                <w:lang w:eastAsia="pl-PL"/>
              </w:rPr>
            </w:pPr>
            <w:r w:rsidRPr="00EE0C8C">
              <w:rPr>
                <w:rFonts w:ascii="Arial" w:eastAsia="Times New Roman" w:hAnsi="Arial" w:cs="Arial"/>
                <w:b/>
                <w:bCs/>
                <w:color w:val="008080"/>
                <w:sz w:val="20"/>
                <w:szCs w:val="20"/>
                <w:lang w:eastAsia="pl-PL"/>
              </w:rPr>
              <w:t>Pracujący na 1000 ludności</w:t>
            </w:r>
          </w:p>
        </w:tc>
      </w:tr>
      <w:tr w:rsidR="00EE0C8C" w:rsidRPr="00EE0C8C" w:rsidTr="00A76BDB">
        <w:trPr>
          <w:trHeight w:val="240"/>
        </w:trPr>
        <w:tc>
          <w:tcPr>
            <w:tcW w:w="4960"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rPr>
                <w:rFonts w:ascii="Arial" w:eastAsia="Times New Roman" w:hAnsi="Arial" w:cs="Arial"/>
                <w:sz w:val="20"/>
                <w:szCs w:val="20"/>
                <w:lang w:eastAsia="pl-PL"/>
              </w:rPr>
            </w:pPr>
            <w:r w:rsidRPr="00EE0C8C">
              <w:rPr>
                <w:rFonts w:ascii="Arial" w:eastAsia="Times New Roman" w:hAnsi="Arial" w:cs="Arial"/>
                <w:sz w:val="20"/>
                <w:szCs w:val="20"/>
                <w:lang w:eastAsia="pl-PL"/>
              </w:rPr>
              <w:t>ogółem</w:t>
            </w:r>
          </w:p>
        </w:tc>
        <w:tc>
          <w:tcPr>
            <w:tcW w:w="1587"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osoba</w:t>
            </w:r>
          </w:p>
        </w:tc>
        <w:tc>
          <w:tcPr>
            <w:tcW w:w="952"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46</w:t>
            </w:r>
          </w:p>
        </w:tc>
        <w:tc>
          <w:tcPr>
            <w:tcW w:w="952"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46</w:t>
            </w:r>
          </w:p>
        </w:tc>
        <w:tc>
          <w:tcPr>
            <w:tcW w:w="952"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45</w:t>
            </w:r>
          </w:p>
        </w:tc>
      </w:tr>
    </w:tbl>
    <w:p w:rsidR="00EE0C8C" w:rsidRPr="00EE0C8C" w:rsidRDefault="00EE0C8C" w:rsidP="00EE0C8C">
      <w:pPr>
        <w:jc w:val="center"/>
        <w:rPr>
          <w:rFonts w:ascii="Calibri" w:eastAsia="Times New Roman" w:hAnsi="Calibri" w:cs="Times New Roman"/>
          <w:i/>
          <w:lang w:eastAsia="pl-PL"/>
        </w:rPr>
      </w:pPr>
      <w:r w:rsidRPr="00EE0C8C">
        <w:rPr>
          <w:rFonts w:ascii="Calibri" w:eastAsia="Times New Roman" w:hAnsi="Calibri" w:cs="Times New Roman"/>
          <w:i/>
          <w:lang w:eastAsia="pl-PL"/>
        </w:rPr>
        <w:t>(Źródło: Bank Danych Lokalnych)</w:t>
      </w:r>
    </w:p>
    <w:p w:rsidR="00EE0C8C" w:rsidRPr="00EE0C8C" w:rsidRDefault="00EE0C8C" w:rsidP="00EE0C8C">
      <w:pPr>
        <w:jc w:val="both"/>
        <w:rPr>
          <w:rFonts w:ascii="Calibri" w:eastAsia="Times New Roman" w:hAnsi="Calibri" w:cs="Times New Roman"/>
          <w:lang w:eastAsia="pl-PL"/>
        </w:rPr>
      </w:pPr>
      <w:r w:rsidRPr="00EE0C8C">
        <w:rPr>
          <w:rFonts w:ascii="Calibri" w:eastAsia="Times New Roman" w:hAnsi="Calibri" w:cs="Times New Roman"/>
          <w:lang w:eastAsia="pl-PL"/>
        </w:rPr>
        <w:t>Dane dotyczące rynku pracy w Gminie Mirzec na tle powiatu starachowickiego przedstawiają się następująco:</w:t>
      </w:r>
    </w:p>
    <w:p w:rsidR="00EE0C8C" w:rsidRPr="00EE0C8C" w:rsidRDefault="00EE0C8C" w:rsidP="00EE0C8C">
      <w:pPr>
        <w:jc w:val="center"/>
        <w:rPr>
          <w:rFonts w:ascii="Calibri" w:eastAsia="Times New Roman" w:hAnsi="Calibri" w:cs="Times New Roman"/>
          <w:i/>
          <w:lang w:eastAsia="pl-PL"/>
        </w:rPr>
      </w:pPr>
      <w:r w:rsidRPr="00EE0C8C">
        <w:rPr>
          <w:rFonts w:ascii="Calibri" w:eastAsia="Times New Roman" w:hAnsi="Calibri" w:cs="Times New Roman"/>
          <w:noProof/>
          <w:lang w:eastAsia="pl-PL"/>
        </w:rPr>
        <w:drawing>
          <wp:inline distT="0" distB="0" distL="0" distR="0" wp14:anchorId="4BF6D147" wp14:editId="56C77545">
            <wp:extent cx="3657600" cy="1864504"/>
            <wp:effectExtent l="0" t="0" r="0" b="254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63750" cy="1867639"/>
                    </a:xfrm>
                    <a:prstGeom prst="rect">
                      <a:avLst/>
                    </a:prstGeom>
                    <a:noFill/>
                    <a:ln>
                      <a:noFill/>
                    </a:ln>
                  </pic:spPr>
                </pic:pic>
              </a:graphicData>
            </a:graphic>
          </wp:inline>
        </w:drawing>
      </w:r>
      <w:r w:rsidRPr="00EE0C8C">
        <w:rPr>
          <w:rFonts w:ascii="Calibri" w:eastAsia="Times New Roman" w:hAnsi="Calibri" w:cs="Times New Roman"/>
          <w:lang w:eastAsia="pl-PL"/>
        </w:rPr>
        <w:br/>
        <w:t xml:space="preserve">(Źródło: </w:t>
      </w:r>
      <w:r w:rsidRPr="00EE0C8C">
        <w:rPr>
          <w:rFonts w:ascii="Calibri" w:eastAsia="Times New Roman" w:hAnsi="Calibri" w:cs="Times New Roman"/>
          <w:i/>
          <w:lang w:eastAsia="pl-PL"/>
        </w:rPr>
        <w:t>http://kielce.stat.gov.pl)</w:t>
      </w:r>
    </w:p>
    <w:p w:rsidR="00EE0C8C" w:rsidRPr="00EE0C8C" w:rsidRDefault="00EE0C8C" w:rsidP="00EE0C8C">
      <w:pPr>
        <w:rPr>
          <w:rFonts w:ascii="Calibri" w:eastAsia="Times New Roman" w:hAnsi="Calibri" w:cs="Times New Roman"/>
          <w:lang w:eastAsia="pl-PL"/>
        </w:rPr>
      </w:pPr>
      <w:r w:rsidRPr="00EE0C8C">
        <w:rPr>
          <w:rFonts w:ascii="Calibri" w:eastAsia="Times New Roman" w:hAnsi="Calibri" w:cs="Times New Roman"/>
          <w:lang w:eastAsia="pl-PL"/>
        </w:rPr>
        <w:t xml:space="preserve">Według danych z Powiatowego Urzędu Pracy w Starachowicach z listopada 2015 r. stan bezrobocia wynosił 370 osób w tym 159 osób to kobiety. </w:t>
      </w:r>
    </w:p>
    <w:tbl>
      <w:tblPr>
        <w:tblStyle w:val="Jasnalistaakcent51"/>
        <w:tblW w:w="0" w:type="auto"/>
        <w:jc w:val="center"/>
        <w:tblInd w:w="-371" w:type="dxa"/>
        <w:tblLook w:val="04A0" w:firstRow="1" w:lastRow="0" w:firstColumn="1" w:lastColumn="0" w:noHBand="0" w:noVBand="1"/>
      </w:tblPr>
      <w:tblGrid>
        <w:gridCol w:w="3826"/>
        <w:gridCol w:w="3643"/>
      </w:tblGrid>
      <w:tr w:rsidR="00EE0C8C" w:rsidRPr="00EE0C8C" w:rsidTr="00A76BDB">
        <w:trPr>
          <w:cnfStyle w:val="100000000000" w:firstRow="1" w:lastRow="0" w:firstColumn="0" w:lastColumn="0" w:oddVBand="0" w:evenVBand="0" w:oddHBand="0" w:evenHBand="0" w:firstRowFirstColumn="0" w:firstRowLastColumn="0" w:lastRowFirstColumn="0" w:lastRowLastColumn="0"/>
          <w:trHeight w:val="194"/>
          <w:jc w:val="center"/>
        </w:trPr>
        <w:tc>
          <w:tcPr>
            <w:cnfStyle w:val="001000000000" w:firstRow="0" w:lastRow="0" w:firstColumn="1" w:lastColumn="0" w:oddVBand="0" w:evenVBand="0" w:oddHBand="0" w:evenHBand="0" w:firstRowFirstColumn="0" w:firstRowLastColumn="0" w:lastRowFirstColumn="0" w:lastRowLastColumn="0"/>
            <w:tcW w:w="3826" w:type="dxa"/>
          </w:tcPr>
          <w:p w:rsidR="00EE0C8C" w:rsidRPr="00EE0C8C" w:rsidRDefault="00EE0C8C" w:rsidP="00EE0C8C">
            <w:pPr>
              <w:rPr>
                <w:rFonts w:ascii="Calibri" w:eastAsia="Calibri" w:hAnsi="Calibri" w:cs="Times New Roman"/>
              </w:rPr>
            </w:pPr>
            <w:r w:rsidRPr="00EE0C8C">
              <w:rPr>
                <w:rFonts w:ascii="Calibri" w:eastAsia="Calibri" w:hAnsi="Calibri" w:cs="Times New Roman"/>
              </w:rPr>
              <w:t>OGÓŁEM (dane z listopada 2015 r.)</w:t>
            </w:r>
          </w:p>
        </w:tc>
        <w:tc>
          <w:tcPr>
            <w:tcW w:w="3643" w:type="dxa"/>
          </w:tcPr>
          <w:p w:rsidR="00EE0C8C" w:rsidRPr="00EE0C8C" w:rsidRDefault="00EE0C8C" w:rsidP="00EE0C8C">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370</w:t>
            </w:r>
          </w:p>
        </w:tc>
      </w:tr>
      <w:tr w:rsidR="00EE0C8C" w:rsidRPr="00EE0C8C" w:rsidTr="00A76BDB">
        <w:trPr>
          <w:cnfStyle w:val="000000100000" w:firstRow="0" w:lastRow="0" w:firstColumn="0" w:lastColumn="0" w:oddVBand="0" w:evenVBand="0" w:oddHBand="1"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3826" w:type="dxa"/>
          </w:tcPr>
          <w:p w:rsidR="00EE0C8C" w:rsidRPr="00EE0C8C" w:rsidRDefault="00EE0C8C" w:rsidP="00EE0C8C">
            <w:pPr>
              <w:rPr>
                <w:rFonts w:ascii="Calibri" w:eastAsia="Calibri" w:hAnsi="Calibri" w:cs="Times New Roman"/>
              </w:rPr>
            </w:pPr>
            <w:r w:rsidRPr="00EE0C8C">
              <w:rPr>
                <w:rFonts w:ascii="Calibri" w:eastAsia="Calibri" w:hAnsi="Calibri" w:cs="Times New Roman"/>
              </w:rPr>
              <w:t>W tym posiadających gospodarstwo role</w:t>
            </w:r>
          </w:p>
        </w:tc>
        <w:tc>
          <w:tcPr>
            <w:tcW w:w="3643"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92</w:t>
            </w:r>
          </w:p>
        </w:tc>
      </w:tr>
      <w:tr w:rsidR="00EE0C8C" w:rsidRPr="00EE0C8C" w:rsidTr="00A76BDB">
        <w:trPr>
          <w:trHeight w:val="387"/>
          <w:jc w:val="center"/>
        </w:trPr>
        <w:tc>
          <w:tcPr>
            <w:cnfStyle w:val="001000000000" w:firstRow="0" w:lastRow="0" w:firstColumn="1" w:lastColumn="0" w:oddVBand="0" w:evenVBand="0" w:oddHBand="0" w:evenHBand="0" w:firstRowFirstColumn="0" w:firstRowLastColumn="0" w:lastRowFirstColumn="0" w:lastRowLastColumn="0"/>
            <w:tcW w:w="3826" w:type="dxa"/>
          </w:tcPr>
          <w:p w:rsidR="00EE0C8C" w:rsidRPr="00EE0C8C" w:rsidRDefault="00EE0C8C" w:rsidP="00EE0C8C">
            <w:pPr>
              <w:rPr>
                <w:rFonts w:ascii="Calibri" w:eastAsia="Calibri" w:hAnsi="Calibri" w:cs="Times New Roman"/>
              </w:rPr>
            </w:pPr>
            <w:r w:rsidRPr="00EE0C8C">
              <w:rPr>
                <w:rFonts w:ascii="Calibri" w:eastAsia="Calibri" w:hAnsi="Calibri" w:cs="Times New Roman"/>
              </w:rPr>
              <w:t>Osoby w okresie 12 miesięcy od dnia ukończenia nauki</w:t>
            </w:r>
          </w:p>
        </w:tc>
        <w:tc>
          <w:tcPr>
            <w:tcW w:w="3643" w:type="dxa"/>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16</w:t>
            </w:r>
          </w:p>
        </w:tc>
      </w:tr>
      <w:tr w:rsidR="00EE0C8C" w:rsidRPr="00EE0C8C" w:rsidTr="00A76BDB">
        <w:trPr>
          <w:cnfStyle w:val="000000100000" w:firstRow="0" w:lastRow="0" w:firstColumn="0" w:lastColumn="0" w:oddVBand="0" w:evenVBand="0" w:oddHBand="1" w:evenHBand="0" w:firstRowFirstColumn="0" w:firstRowLastColumn="0" w:lastRowFirstColumn="0" w:lastRowLastColumn="0"/>
          <w:trHeight w:val="194"/>
          <w:jc w:val="center"/>
        </w:trPr>
        <w:tc>
          <w:tcPr>
            <w:cnfStyle w:val="001000000000" w:firstRow="0" w:lastRow="0" w:firstColumn="1" w:lastColumn="0" w:oddVBand="0" w:evenVBand="0" w:oddHBand="0" w:evenHBand="0" w:firstRowFirstColumn="0" w:firstRowLastColumn="0" w:lastRowFirstColumn="0" w:lastRowLastColumn="0"/>
            <w:tcW w:w="3826" w:type="dxa"/>
          </w:tcPr>
          <w:p w:rsidR="00EE0C8C" w:rsidRPr="00EE0C8C" w:rsidRDefault="00EE0C8C" w:rsidP="00EE0C8C">
            <w:pPr>
              <w:rPr>
                <w:rFonts w:ascii="Calibri" w:eastAsia="Calibri" w:hAnsi="Calibri" w:cs="Times New Roman"/>
              </w:rPr>
            </w:pPr>
            <w:r w:rsidRPr="00EE0C8C">
              <w:rPr>
                <w:rFonts w:ascii="Calibri" w:eastAsia="Calibri" w:hAnsi="Calibri" w:cs="Times New Roman"/>
              </w:rPr>
              <w:lastRenderedPageBreak/>
              <w:t xml:space="preserve">Bez kwalifikacji zawodowych </w:t>
            </w:r>
          </w:p>
        </w:tc>
        <w:tc>
          <w:tcPr>
            <w:tcW w:w="3643"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72</w:t>
            </w:r>
          </w:p>
        </w:tc>
      </w:tr>
      <w:tr w:rsidR="00EE0C8C" w:rsidRPr="00EE0C8C" w:rsidTr="00A76BDB">
        <w:trPr>
          <w:trHeight w:val="398"/>
          <w:jc w:val="center"/>
        </w:trPr>
        <w:tc>
          <w:tcPr>
            <w:cnfStyle w:val="001000000000" w:firstRow="0" w:lastRow="0" w:firstColumn="1" w:lastColumn="0" w:oddVBand="0" w:evenVBand="0" w:oddHBand="0" w:evenHBand="0" w:firstRowFirstColumn="0" w:firstRowLastColumn="0" w:lastRowFirstColumn="0" w:lastRowLastColumn="0"/>
            <w:tcW w:w="3826" w:type="dxa"/>
          </w:tcPr>
          <w:p w:rsidR="00EE0C8C" w:rsidRPr="00EE0C8C" w:rsidRDefault="00EE0C8C" w:rsidP="00EE0C8C">
            <w:pPr>
              <w:rPr>
                <w:rFonts w:ascii="Calibri" w:eastAsia="Calibri" w:hAnsi="Calibri" w:cs="Times New Roman"/>
              </w:rPr>
            </w:pPr>
            <w:r w:rsidRPr="00EE0C8C">
              <w:rPr>
                <w:rFonts w:ascii="Calibri" w:eastAsia="Calibri" w:hAnsi="Calibri" w:cs="Times New Roman"/>
              </w:rPr>
              <w:t>Bez doświadczenia zawodowego</w:t>
            </w:r>
          </w:p>
        </w:tc>
        <w:tc>
          <w:tcPr>
            <w:tcW w:w="3643" w:type="dxa"/>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64</w:t>
            </w:r>
          </w:p>
        </w:tc>
      </w:tr>
    </w:tbl>
    <w:p w:rsidR="00EE0C8C" w:rsidRPr="00EE0C8C" w:rsidRDefault="00EE0C8C" w:rsidP="00EE0C8C">
      <w:pPr>
        <w:ind w:firstLine="1134"/>
        <w:rPr>
          <w:rFonts w:ascii="Calibri" w:eastAsia="Times New Roman" w:hAnsi="Calibri" w:cs="Times New Roman"/>
          <w:i/>
          <w:lang w:eastAsia="pl-PL"/>
        </w:rPr>
      </w:pPr>
      <w:r w:rsidRPr="00EE0C8C">
        <w:rPr>
          <w:rFonts w:ascii="Calibri" w:eastAsia="Times New Roman" w:hAnsi="Calibri" w:cs="Times New Roman"/>
          <w:i/>
          <w:lang w:eastAsia="pl-PL"/>
        </w:rPr>
        <w:t>(Źródło: opracowanie własne na podstawie danych PUP w Starachowicach)</w:t>
      </w:r>
    </w:p>
    <w:tbl>
      <w:tblPr>
        <w:tblStyle w:val="Jasnalistaakcent51"/>
        <w:tblW w:w="0" w:type="auto"/>
        <w:jc w:val="center"/>
        <w:tblLook w:val="04A0" w:firstRow="1" w:lastRow="0" w:firstColumn="1" w:lastColumn="0" w:noHBand="0" w:noVBand="1"/>
      </w:tblPr>
      <w:tblGrid>
        <w:gridCol w:w="3825"/>
        <w:gridCol w:w="3825"/>
      </w:tblGrid>
      <w:tr w:rsidR="00EE0C8C" w:rsidRPr="00EE0C8C" w:rsidTr="00A76BDB">
        <w:trPr>
          <w:cnfStyle w:val="100000000000" w:firstRow="1" w:lastRow="0" w:firstColumn="0" w:lastColumn="0" w:oddVBand="0" w:evenVBand="0" w:oddHBand="0"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3825" w:type="dxa"/>
          </w:tcPr>
          <w:p w:rsidR="00EE0C8C" w:rsidRPr="00EE0C8C" w:rsidRDefault="00EE0C8C" w:rsidP="00EE0C8C">
            <w:pPr>
              <w:jc w:val="center"/>
              <w:rPr>
                <w:rFonts w:ascii="Calibri" w:eastAsia="Calibri" w:hAnsi="Calibri" w:cs="Times New Roman"/>
              </w:rPr>
            </w:pPr>
            <w:r w:rsidRPr="00EE0C8C">
              <w:rPr>
                <w:rFonts w:ascii="Calibri" w:eastAsia="Calibri" w:hAnsi="Calibri" w:cs="Times New Roman"/>
              </w:rPr>
              <w:t>Osoby będące w szczególnej sytuacji na rynku pracy</w:t>
            </w:r>
          </w:p>
        </w:tc>
        <w:tc>
          <w:tcPr>
            <w:tcW w:w="3825" w:type="dxa"/>
          </w:tcPr>
          <w:p w:rsidR="00EE0C8C" w:rsidRPr="00EE0C8C" w:rsidRDefault="00EE0C8C" w:rsidP="00EE0C8C">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334</w:t>
            </w:r>
          </w:p>
        </w:tc>
      </w:tr>
      <w:tr w:rsidR="00EE0C8C" w:rsidRPr="00EE0C8C" w:rsidTr="00A76BDB">
        <w:trPr>
          <w:cnfStyle w:val="000000100000" w:firstRow="0" w:lastRow="0" w:firstColumn="0" w:lastColumn="0" w:oddVBand="0" w:evenVBand="0" w:oddHBand="1" w:evenHBand="0"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3825" w:type="dxa"/>
          </w:tcPr>
          <w:p w:rsidR="00EE0C8C" w:rsidRPr="00EE0C8C" w:rsidRDefault="00EE0C8C" w:rsidP="00EE0C8C">
            <w:pPr>
              <w:rPr>
                <w:rFonts w:ascii="Calibri" w:eastAsia="Calibri" w:hAnsi="Calibri" w:cs="Times New Roman"/>
              </w:rPr>
            </w:pPr>
            <w:r w:rsidRPr="00EE0C8C">
              <w:rPr>
                <w:rFonts w:ascii="Calibri" w:eastAsia="Calibri" w:hAnsi="Calibri" w:cs="Times New Roman"/>
              </w:rPr>
              <w:t>- do 30 roku życia</w:t>
            </w:r>
          </w:p>
        </w:tc>
        <w:tc>
          <w:tcPr>
            <w:tcW w:w="3825"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112</w:t>
            </w:r>
          </w:p>
        </w:tc>
      </w:tr>
      <w:tr w:rsidR="00EE0C8C" w:rsidRPr="00EE0C8C" w:rsidTr="00A76BDB">
        <w:trPr>
          <w:trHeight w:val="155"/>
          <w:jc w:val="center"/>
        </w:trPr>
        <w:tc>
          <w:tcPr>
            <w:cnfStyle w:val="001000000000" w:firstRow="0" w:lastRow="0" w:firstColumn="1" w:lastColumn="0" w:oddVBand="0" w:evenVBand="0" w:oddHBand="0" w:evenHBand="0" w:firstRowFirstColumn="0" w:firstRowLastColumn="0" w:lastRowFirstColumn="0" w:lastRowLastColumn="0"/>
            <w:tcW w:w="3825" w:type="dxa"/>
          </w:tcPr>
          <w:p w:rsidR="00EE0C8C" w:rsidRPr="00EE0C8C" w:rsidRDefault="00EE0C8C" w:rsidP="00EE0C8C">
            <w:pPr>
              <w:rPr>
                <w:rFonts w:ascii="Calibri" w:eastAsia="Calibri" w:hAnsi="Calibri" w:cs="Times New Roman"/>
              </w:rPr>
            </w:pPr>
            <w:r w:rsidRPr="00EE0C8C">
              <w:rPr>
                <w:rFonts w:ascii="Calibri" w:eastAsia="Calibri" w:hAnsi="Calibri" w:cs="Times New Roman"/>
              </w:rPr>
              <w:t>- długotrwale bezrobotne</w:t>
            </w:r>
          </w:p>
        </w:tc>
        <w:tc>
          <w:tcPr>
            <w:tcW w:w="3825" w:type="dxa"/>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212</w:t>
            </w:r>
          </w:p>
        </w:tc>
      </w:tr>
      <w:tr w:rsidR="00EE0C8C" w:rsidRPr="00EE0C8C" w:rsidTr="00A76BDB">
        <w:trPr>
          <w:cnfStyle w:val="000000100000" w:firstRow="0" w:lastRow="0" w:firstColumn="0" w:lastColumn="0" w:oddVBand="0" w:evenVBand="0" w:oddHBand="1" w:evenHBand="0" w:firstRowFirstColumn="0" w:firstRowLastColumn="0" w:lastRowFirstColumn="0" w:lastRowLastColumn="0"/>
          <w:trHeight w:val="164"/>
          <w:jc w:val="center"/>
        </w:trPr>
        <w:tc>
          <w:tcPr>
            <w:cnfStyle w:val="001000000000" w:firstRow="0" w:lastRow="0" w:firstColumn="1" w:lastColumn="0" w:oddVBand="0" w:evenVBand="0" w:oddHBand="0" w:evenHBand="0" w:firstRowFirstColumn="0" w:firstRowLastColumn="0" w:lastRowFirstColumn="0" w:lastRowLastColumn="0"/>
            <w:tcW w:w="3825" w:type="dxa"/>
          </w:tcPr>
          <w:p w:rsidR="00EE0C8C" w:rsidRPr="00EE0C8C" w:rsidRDefault="00EE0C8C" w:rsidP="00EE0C8C">
            <w:pPr>
              <w:rPr>
                <w:rFonts w:ascii="Calibri" w:eastAsia="Calibri" w:hAnsi="Calibri" w:cs="Times New Roman"/>
              </w:rPr>
            </w:pPr>
            <w:r w:rsidRPr="00EE0C8C">
              <w:rPr>
                <w:rFonts w:ascii="Calibri" w:eastAsia="Calibri" w:hAnsi="Calibri" w:cs="Times New Roman"/>
              </w:rPr>
              <w:t>- powyżej 50 roku życia</w:t>
            </w:r>
          </w:p>
        </w:tc>
        <w:tc>
          <w:tcPr>
            <w:tcW w:w="3825"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95</w:t>
            </w:r>
          </w:p>
        </w:tc>
      </w:tr>
    </w:tbl>
    <w:p w:rsidR="00EE0C8C" w:rsidRPr="00EE0C8C" w:rsidRDefault="00EE0C8C" w:rsidP="00EE0C8C">
      <w:pPr>
        <w:ind w:firstLine="1134"/>
        <w:rPr>
          <w:rFonts w:ascii="Calibri" w:eastAsia="Times New Roman" w:hAnsi="Calibri" w:cs="Times New Roman"/>
          <w:i/>
          <w:lang w:eastAsia="pl-PL"/>
        </w:rPr>
      </w:pPr>
      <w:r w:rsidRPr="00EE0C8C">
        <w:rPr>
          <w:rFonts w:ascii="Calibri" w:eastAsia="Times New Roman" w:hAnsi="Calibri" w:cs="Times New Roman"/>
          <w:i/>
          <w:lang w:eastAsia="pl-PL"/>
        </w:rPr>
        <w:t>(Źródło: opracowanie własne na podstawie danych PUP w Starachowicach)</w:t>
      </w:r>
    </w:p>
    <w:p w:rsidR="00EE0C8C" w:rsidRPr="00EE0C8C" w:rsidRDefault="00EE0C8C" w:rsidP="00EE0C8C">
      <w:pPr>
        <w:keepNext/>
        <w:keepLines/>
        <w:spacing w:before="200" w:after="0"/>
        <w:outlineLvl w:val="2"/>
        <w:rPr>
          <w:rFonts w:ascii="Cambria" w:eastAsia="Times New Roman" w:hAnsi="Cambria" w:cs="Times New Roman"/>
          <w:b/>
          <w:bCs/>
          <w:color w:val="4F81BD"/>
          <w:lang w:eastAsia="pl-PL"/>
        </w:rPr>
      </w:pPr>
      <w:bookmarkStart w:id="82" w:name="_Toc439077767"/>
    </w:p>
    <w:p w:rsidR="00EE0C8C" w:rsidRDefault="00EE0C8C" w:rsidP="008C1C2E">
      <w:pPr>
        <w:pStyle w:val="Nagwek2"/>
        <w:rPr>
          <w:lang w:eastAsia="pl-PL"/>
        </w:rPr>
      </w:pPr>
      <w:bookmarkStart w:id="83" w:name="_Toc450562495"/>
      <w:r w:rsidRPr="00EE0C8C">
        <w:rPr>
          <w:lang w:eastAsia="pl-PL"/>
        </w:rPr>
        <w:t>2.3.3. BEZPIECZEŃSTWO PUBLICZNE</w:t>
      </w:r>
      <w:bookmarkEnd w:id="82"/>
      <w:bookmarkEnd w:id="83"/>
    </w:p>
    <w:p w:rsidR="008C1C2E" w:rsidRPr="008C1C2E" w:rsidRDefault="008C1C2E" w:rsidP="008C1C2E">
      <w:pPr>
        <w:rPr>
          <w:lang w:eastAsia="pl-PL"/>
        </w:rPr>
      </w:pPr>
    </w:p>
    <w:p w:rsidR="008C1C2E" w:rsidRDefault="00EE0C8C" w:rsidP="00EE0C8C">
      <w:pPr>
        <w:jc w:val="both"/>
        <w:rPr>
          <w:rFonts w:ascii="Calibri" w:eastAsia="Times New Roman" w:hAnsi="Calibri" w:cs="Times New Roman"/>
          <w:lang w:eastAsia="pl-PL"/>
        </w:rPr>
      </w:pPr>
      <w:r w:rsidRPr="00EE0C8C">
        <w:rPr>
          <w:rFonts w:ascii="Calibri" w:eastAsia="Times New Roman" w:hAnsi="Calibri" w:cs="Times New Roman"/>
          <w:lang w:eastAsia="pl-PL"/>
        </w:rPr>
        <w:t>Bezpieczeństwo publiczne</w:t>
      </w:r>
      <w:r w:rsidR="008C1C2E">
        <w:rPr>
          <w:rFonts w:ascii="Calibri" w:eastAsia="Times New Roman" w:hAnsi="Calibri" w:cs="Times New Roman"/>
          <w:lang w:eastAsia="pl-PL"/>
        </w:rPr>
        <w:t>, jako</w:t>
      </w:r>
      <w:r w:rsidRPr="00EE0C8C">
        <w:rPr>
          <w:rFonts w:ascii="Calibri" w:eastAsia="Times New Roman" w:hAnsi="Calibri" w:cs="Times New Roman"/>
          <w:lang w:eastAsia="pl-PL"/>
        </w:rPr>
        <w:t xml:space="preserve"> jedn</w:t>
      </w:r>
      <w:r w:rsidR="008C1C2E">
        <w:rPr>
          <w:rFonts w:ascii="Calibri" w:eastAsia="Times New Roman" w:hAnsi="Calibri" w:cs="Times New Roman"/>
          <w:lang w:eastAsia="pl-PL"/>
        </w:rPr>
        <w:t xml:space="preserve">o </w:t>
      </w:r>
      <w:r w:rsidRPr="00EE0C8C">
        <w:rPr>
          <w:rFonts w:ascii="Calibri" w:eastAsia="Times New Roman" w:hAnsi="Calibri" w:cs="Times New Roman"/>
          <w:lang w:eastAsia="pl-PL"/>
        </w:rPr>
        <w:t>z zadań własnych gminy</w:t>
      </w:r>
      <w:r w:rsidR="008C1C2E">
        <w:rPr>
          <w:rFonts w:ascii="Calibri" w:eastAsia="Times New Roman" w:hAnsi="Calibri" w:cs="Times New Roman"/>
          <w:lang w:eastAsia="pl-PL"/>
        </w:rPr>
        <w:t xml:space="preserve"> jest realizowane przez Urząd Gminy </w:t>
      </w:r>
      <w:r w:rsidR="008C1C2E">
        <w:rPr>
          <w:rFonts w:ascii="Calibri" w:eastAsia="Times New Roman" w:hAnsi="Calibri" w:cs="Times New Roman"/>
          <w:lang w:eastAsia="pl-PL"/>
        </w:rPr>
        <w:br/>
        <w:t xml:space="preserve">i dyrektorów (kierowników) podległych jednostek organizacyjnych we współdziałaniu ze służbami powiatu starachowickiego, Komendą Powiatową Policji i Komendą Powiatową PSP. </w:t>
      </w:r>
    </w:p>
    <w:p w:rsidR="00EE0C8C" w:rsidRPr="00EE0C8C" w:rsidRDefault="008C1C2E" w:rsidP="00EE0C8C">
      <w:pPr>
        <w:jc w:val="both"/>
        <w:rPr>
          <w:rFonts w:ascii="Calibri" w:eastAsia="Times New Roman" w:hAnsi="Calibri" w:cs="Times New Roman"/>
          <w:lang w:eastAsia="pl-PL"/>
        </w:rPr>
      </w:pPr>
      <w:r>
        <w:rPr>
          <w:rFonts w:ascii="Calibri" w:eastAsia="Times New Roman" w:hAnsi="Calibri" w:cs="Times New Roman"/>
          <w:lang w:eastAsia="pl-PL"/>
        </w:rPr>
        <w:t xml:space="preserve">W gminie powołany został Gminny Zespół Zarządzania Kryzysowego, któremu przewodniczy Wójt Gminy i koordynuje wszystkie zadania w powyższym zakresie. </w:t>
      </w:r>
    </w:p>
    <w:p w:rsidR="00EE0C8C" w:rsidRPr="00EE0C8C" w:rsidRDefault="00EE0C8C" w:rsidP="00EE0C8C">
      <w:pPr>
        <w:keepNext/>
        <w:keepLines/>
        <w:spacing w:before="200" w:after="0"/>
        <w:outlineLvl w:val="3"/>
        <w:rPr>
          <w:rFonts w:ascii="Cambria" w:eastAsia="Times New Roman" w:hAnsi="Cambria" w:cs="Times New Roman"/>
          <w:b/>
          <w:bCs/>
          <w:iCs/>
          <w:color w:val="4F81BD"/>
          <w:lang w:eastAsia="pl-PL"/>
        </w:rPr>
      </w:pPr>
      <w:r w:rsidRPr="00EE0C8C">
        <w:rPr>
          <w:rFonts w:ascii="Cambria" w:eastAsia="Times New Roman" w:hAnsi="Cambria" w:cs="Times New Roman"/>
          <w:b/>
          <w:bCs/>
          <w:iCs/>
          <w:color w:val="4F81BD"/>
          <w:lang w:eastAsia="pl-PL"/>
        </w:rPr>
        <w:t>POLICJA</w:t>
      </w:r>
    </w:p>
    <w:p w:rsidR="008C1C2E" w:rsidRDefault="008C1C2E" w:rsidP="008C1C2E">
      <w:pPr>
        <w:spacing w:after="0"/>
        <w:jc w:val="both"/>
        <w:rPr>
          <w:rFonts w:ascii="Calibri" w:eastAsia="Calibri" w:hAnsi="Calibri" w:cs="Times New Roman"/>
          <w:lang w:eastAsia="pl-PL"/>
        </w:rPr>
      </w:pPr>
    </w:p>
    <w:p w:rsidR="00EE0C8C" w:rsidRPr="00EE0C8C" w:rsidRDefault="00EE0C8C" w:rsidP="008C1C2E">
      <w:pPr>
        <w:spacing w:after="0"/>
        <w:jc w:val="both"/>
        <w:rPr>
          <w:rFonts w:ascii="Calibri" w:eastAsia="Calibri" w:hAnsi="Calibri" w:cs="Times New Roman"/>
          <w:lang w:eastAsia="pl-PL"/>
        </w:rPr>
      </w:pPr>
      <w:r w:rsidRPr="00EE0C8C">
        <w:rPr>
          <w:rFonts w:ascii="Calibri" w:eastAsia="Calibri" w:hAnsi="Calibri" w:cs="Times New Roman"/>
          <w:lang w:eastAsia="pl-PL"/>
        </w:rPr>
        <w:t>Ogółem w 2013 roku w tzw. 7 podstawowych kategoriach na terenie Gminy Mirzec stwierdzono 36 przestępstw, z których wykryto sprawców w 6 przypadkach z wykrywalnością na poziomie 16,7 %. Analogicznie w roku 2014 stwierdzono</w:t>
      </w:r>
      <w:r w:rsidR="008C1C2E">
        <w:rPr>
          <w:rFonts w:ascii="Calibri" w:eastAsia="Calibri" w:hAnsi="Calibri" w:cs="Times New Roman"/>
          <w:lang w:eastAsia="pl-PL"/>
        </w:rPr>
        <w:t xml:space="preserve"> 33 przestępstwa, a wykryto 12 </w:t>
      </w:r>
      <w:r w:rsidRPr="00EE0C8C">
        <w:rPr>
          <w:rFonts w:ascii="Calibri" w:eastAsia="Calibri" w:hAnsi="Calibri" w:cs="Times New Roman"/>
          <w:lang w:eastAsia="pl-PL"/>
        </w:rPr>
        <w:t>z wykrywalnością wynoszącą 36,4%.</w:t>
      </w:r>
    </w:p>
    <w:p w:rsidR="00EE0C8C" w:rsidRPr="00EE0C8C" w:rsidRDefault="00EE0C8C" w:rsidP="00EE0C8C">
      <w:pPr>
        <w:spacing w:after="0"/>
        <w:ind w:firstLine="1134"/>
        <w:jc w:val="both"/>
        <w:rPr>
          <w:rFonts w:ascii="Calibri" w:eastAsia="Calibri" w:hAnsi="Calibri" w:cs="Times New Roman"/>
          <w:lang w:eastAsia="pl-PL"/>
        </w:rPr>
      </w:pPr>
    </w:p>
    <w:p w:rsidR="00EE0C8C" w:rsidRPr="00EE0C8C" w:rsidRDefault="00EE0C8C" w:rsidP="00EE0C8C">
      <w:pPr>
        <w:spacing w:after="0"/>
        <w:ind w:firstLine="1134"/>
        <w:jc w:val="both"/>
        <w:rPr>
          <w:rFonts w:ascii="Calibri" w:eastAsia="Calibri" w:hAnsi="Calibri" w:cs="Times New Roman"/>
          <w:lang w:eastAsia="pl-PL"/>
        </w:rPr>
      </w:pPr>
    </w:p>
    <w:tbl>
      <w:tblPr>
        <w:tblStyle w:val="redniecieniowanie2akcent51"/>
        <w:tblW w:w="0" w:type="auto"/>
        <w:tblLook w:val="04A0" w:firstRow="1" w:lastRow="0" w:firstColumn="1" w:lastColumn="0" w:noHBand="0" w:noVBand="1"/>
      </w:tblPr>
      <w:tblGrid>
        <w:gridCol w:w="1488"/>
        <w:gridCol w:w="1315"/>
        <w:gridCol w:w="1112"/>
        <w:gridCol w:w="1473"/>
        <w:gridCol w:w="1315"/>
        <w:gridCol w:w="1112"/>
        <w:gridCol w:w="1473"/>
      </w:tblGrid>
      <w:tr w:rsidR="00EE0C8C" w:rsidRPr="00EE0C8C" w:rsidTr="00A76BD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88" w:type="dxa"/>
            <w:vMerge w:val="restart"/>
          </w:tcPr>
          <w:p w:rsidR="00EE0C8C" w:rsidRPr="00EE0C8C" w:rsidRDefault="00EE0C8C" w:rsidP="00EE0C8C">
            <w:pPr>
              <w:jc w:val="both"/>
              <w:rPr>
                <w:rFonts w:ascii="Calibri" w:eastAsia="Calibri" w:hAnsi="Calibri" w:cs="Times New Roman"/>
                <w:lang w:eastAsia="pl-PL"/>
              </w:rPr>
            </w:pPr>
          </w:p>
        </w:tc>
        <w:tc>
          <w:tcPr>
            <w:tcW w:w="3900" w:type="dxa"/>
            <w:gridSpan w:val="3"/>
          </w:tcPr>
          <w:p w:rsidR="00EE0C8C" w:rsidRPr="00EE0C8C" w:rsidRDefault="00EE0C8C" w:rsidP="00EE0C8C">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lang w:eastAsia="pl-PL"/>
              </w:rPr>
            </w:pPr>
            <w:r w:rsidRPr="00EE0C8C">
              <w:rPr>
                <w:rFonts w:ascii="Calibri" w:eastAsia="Calibri" w:hAnsi="Calibri" w:cs="Times New Roman"/>
              </w:rPr>
              <w:t>2013</w:t>
            </w:r>
          </w:p>
        </w:tc>
        <w:tc>
          <w:tcPr>
            <w:tcW w:w="3900" w:type="dxa"/>
            <w:gridSpan w:val="3"/>
          </w:tcPr>
          <w:p w:rsidR="00EE0C8C" w:rsidRPr="00EE0C8C" w:rsidRDefault="00EE0C8C" w:rsidP="00EE0C8C">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lang w:eastAsia="pl-PL"/>
              </w:rPr>
            </w:pPr>
            <w:r w:rsidRPr="00EE0C8C">
              <w:rPr>
                <w:rFonts w:ascii="Calibri" w:eastAsia="Calibri" w:hAnsi="Calibri" w:cs="Times New Roman"/>
              </w:rPr>
              <w:t>2014</w:t>
            </w:r>
          </w:p>
        </w:tc>
      </w:tr>
      <w:tr w:rsidR="00EE0C8C" w:rsidRPr="00EE0C8C" w:rsidTr="00A76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8" w:type="dxa"/>
            <w:vMerge/>
          </w:tcPr>
          <w:p w:rsidR="00EE0C8C" w:rsidRPr="00EE0C8C" w:rsidRDefault="00EE0C8C" w:rsidP="00EE0C8C">
            <w:pPr>
              <w:jc w:val="both"/>
              <w:rPr>
                <w:rFonts w:ascii="Calibri" w:eastAsia="Calibri" w:hAnsi="Calibri" w:cs="Times New Roman"/>
                <w:lang w:eastAsia="pl-PL"/>
              </w:rPr>
            </w:pPr>
          </w:p>
        </w:tc>
        <w:tc>
          <w:tcPr>
            <w:tcW w:w="1315"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eastAsia="pl-PL"/>
              </w:rPr>
            </w:pPr>
            <w:r w:rsidRPr="00EE0C8C">
              <w:rPr>
                <w:rFonts w:ascii="Calibri" w:eastAsia="Calibri" w:hAnsi="Calibri" w:cs="Times New Roman"/>
              </w:rPr>
              <w:t>stwierdzone</w:t>
            </w:r>
          </w:p>
        </w:tc>
        <w:tc>
          <w:tcPr>
            <w:tcW w:w="1112"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eastAsia="pl-PL"/>
              </w:rPr>
            </w:pPr>
            <w:r w:rsidRPr="00EE0C8C">
              <w:rPr>
                <w:rFonts w:ascii="Calibri" w:eastAsia="Calibri" w:hAnsi="Calibri" w:cs="Times New Roman"/>
              </w:rPr>
              <w:t>wykryte</w:t>
            </w:r>
          </w:p>
        </w:tc>
        <w:tc>
          <w:tcPr>
            <w:tcW w:w="1473"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eastAsia="pl-PL"/>
              </w:rPr>
            </w:pPr>
            <w:r w:rsidRPr="00EE0C8C">
              <w:rPr>
                <w:rFonts w:ascii="Calibri" w:eastAsia="Calibri" w:hAnsi="Calibri" w:cs="Times New Roman"/>
              </w:rPr>
              <w:t>wykrywalność</w:t>
            </w:r>
          </w:p>
        </w:tc>
        <w:tc>
          <w:tcPr>
            <w:tcW w:w="1315"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eastAsia="pl-PL"/>
              </w:rPr>
            </w:pPr>
            <w:r w:rsidRPr="00EE0C8C">
              <w:rPr>
                <w:rFonts w:ascii="Calibri" w:eastAsia="Calibri" w:hAnsi="Calibri" w:cs="Times New Roman"/>
              </w:rPr>
              <w:t>stwierdzone</w:t>
            </w:r>
          </w:p>
        </w:tc>
        <w:tc>
          <w:tcPr>
            <w:tcW w:w="1112"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eastAsia="pl-PL"/>
              </w:rPr>
            </w:pPr>
            <w:r w:rsidRPr="00EE0C8C">
              <w:rPr>
                <w:rFonts w:ascii="Calibri" w:eastAsia="Calibri" w:hAnsi="Calibri" w:cs="Times New Roman"/>
              </w:rPr>
              <w:t>wykryte</w:t>
            </w:r>
          </w:p>
        </w:tc>
        <w:tc>
          <w:tcPr>
            <w:tcW w:w="1473"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eastAsia="pl-PL"/>
              </w:rPr>
            </w:pPr>
            <w:r w:rsidRPr="00EE0C8C">
              <w:rPr>
                <w:rFonts w:ascii="Calibri" w:eastAsia="Calibri" w:hAnsi="Calibri" w:cs="Times New Roman"/>
              </w:rPr>
              <w:t>wykrywalność</w:t>
            </w:r>
          </w:p>
        </w:tc>
      </w:tr>
      <w:tr w:rsidR="00EE0C8C" w:rsidRPr="00EE0C8C" w:rsidTr="00A76BDB">
        <w:tc>
          <w:tcPr>
            <w:cnfStyle w:val="001000000000" w:firstRow="0" w:lastRow="0" w:firstColumn="1" w:lastColumn="0" w:oddVBand="0" w:evenVBand="0" w:oddHBand="0" w:evenHBand="0" w:firstRowFirstColumn="0" w:firstRowLastColumn="0" w:lastRowFirstColumn="0" w:lastRowLastColumn="0"/>
            <w:tcW w:w="1488" w:type="dxa"/>
          </w:tcPr>
          <w:p w:rsidR="00EE0C8C" w:rsidRPr="00EE0C8C" w:rsidRDefault="00EE0C8C" w:rsidP="00EE0C8C">
            <w:pPr>
              <w:jc w:val="both"/>
              <w:rPr>
                <w:rFonts w:ascii="Calibri" w:eastAsia="Calibri" w:hAnsi="Calibri" w:cs="Times New Roman"/>
                <w:lang w:eastAsia="pl-PL"/>
              </w:rPr>
            </w:pPr>
            <w:r w:rsidRPr="00EE0C8C">
              <w:rPr>
                <w:rFonts w:ascii="Calibri" w:eastAsia="Calibri" w:hAnsi="Calibri" w:cs="Times New Roman"/>
              </w:rPr>
              <w:t>Kradzież</w:t>
            </w:r>
          </w:p>
        </w:tc>
        <w:tc>
          <w:tcPr>
            <w:tcW w:w="1315" w:type="dxa"/>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eastAsia="pl-PL"/>
              </w:rPr>
            </w:pPr>
            <w:r w:rsidRPr="00EE0C8C">
              <w:rPr>
                <w:rFonts w:ascii="Calibri" w:eastAsia="Calibri" w:hAnsi="Calibri" w:cs="Times New Roman"/>
              </w:rPr>
              <w:t>18</w:t>
            </w:r>
          </w:p>
        </w:tc>
        <w:tc>
          <w:tcPr>
            <w:tcW w:w="1112" w:type="dxa"/>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eastAsia="pl-PL"/>
              </w:rPr>
            </w:pPr>
            <w:r w:rsidRPr="00EE0C8C">
              <w:rPr>
                <w:rFonts w:ascii="Calibri" w:eastAsia="Calibri" w:hAnsi="Calibri" w:cs="Times New Roman"/>
              </w:rPr>
              <w:t>5</w:t>
            </w:r>
          </w:p>
        </w:tc>
        <w:tc>
          <w:tcPr>
            <w:tcW w:w="1473" w:type="dxa"/>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eastAsia="pl-PL"/>
              </w:rPr>
            </w:pPr>
            <w:r w:rsidRPr="00EE0C8C">
              <w:rPr>
                <w:rFonts w:ascii="Calibri" w:eastAsia="Calibri" w:hAnsi="Calibri" w:cs="Times New Roman"/>
              </w:rPr>
              <w:t>27,8%</w:t>
            </w:r>
          </w:p>
        </w:tc>
        <w:tc>
          <w:tcPr>
            <w:tcW w:w="1315" w:type="dxa"/>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eastAsia="pl-PL"/>
              </w:rPr>
            </w:pPr>
            <w:r w:rsidRPr="00EE0C8C">
              <w:rPr>
                <w:rFonts w:ascii="Calibri" w:eastAsia="Calibri" w:hAnsi="Calibri" w:cs="Times New Roman"/>
              </w:rPr>
              <w:t>12</w:t>
            </w:r>
          </w:p>
        </w:tc>
        <w:tc>
          <w:tcPr>
            <w:tcW w:w="1112" w:type="dxa"/>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eastAsia="pl-PL"/>
              </w:rPr>
            </w:pPr>
            <w:r w:rsidRPr="00EE0C8C">
              <w:rPr>
                <w:rFonts w:ascii="Calibri" w:eastAsia="Calibri" w:hAnsi="Calibri" w:cs="Times New Roman"/>
              </w:rPr>
              <w:t>5</w:t>
            </w:r>
          </w:p>
        </w:tc>
        <w:tc>
          <w:tcPr>
            <w:tcW w:w="1473" w:type="dxa"/>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eastAsia="pl-PL"/>
              </w:rPr>
            </w:pPr>
            <w:r w:rsidRPr="00EE0C8C">
              <w:rPr>
                <w:rFonts w:ascii="Calibri" w:eastAsia="Calibri" w:hAnsi="Calibri" w:cs="Times New Roman"/>
              </w:rPr>
              <w:t>41,7%</w:t>
            </w:r>
          </w:p>
        </w:tc>
      </w:tr>
      <w:tr w:rsidR="00EE0C8C" w:rsidRPr="00EE0C8C" w:rsidTr="00A76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8" w:type="dxa"/>
          </w:tcPr>
          <w:p w:rsidR="00EE0C8C" w:rsidRPr="00EE0C8C" w:rsidRDefault="00EE0C8C" w:rsidP="00EE0C8C">
            <w:pPr>
              <w:jc w:val="both"/>
              <w:rPr>
                <w:rFonts w:ascii="Calibri" w:eastAsia="Calibri" w:hAnsi="Calibri" w:cs="Times New Roman"/>
                <w:lang w:eastAsia="pl-PL"/>
              </w:rPr>
            </w:pPr>
            <w:r w:rsidRPr="00EE0C8C">
              <w:rPr>
                <w:rFonts w:ascii="Calibri" w:eastAsia="Calibri" w:hAnsi="Calibri" w:cs="Times New Roman"/>
              </w:rPr>
              <w:t>Włamanie</w:t>
            </w:r>
          </w:p>
        </w:tc>
        <w:tc>
          <w:tcPr>
            <w:tcW w:w="1315"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eastAsia="pl-PL"/>
              </w:rPr>
            </w:pPr>
            <w:r w:rsidRPr="00EE0C8C">
              <w:rPr>
                <w:rFonts w:ascii="Calibri" w:eastAsia="Calibri" w:hAnsi="Calibri" w:cs="Times New Roman"/>
              </w:rPr>
              <w:t>11</w:t>
            </w:r>
          </w:p>
        </w:tc>
        <w:tc>
          <w:tcPr>
            <w:tcW w:w="1112"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eastAsia="pl-PL"/>
              </w:rPr>
            </w:pPr>
            <w:r w:rsidRPr="00EE0C8C">
              <w:rPr>
                <w:rFonts w:ascii="Calibri" w:eastAsia="Calibri" w:hAnsi="Calibri" w:cs="Times New Roman"/>
              </w:rPr>
              <w:t>0</w:t>
            </w:r>
          </w:p>
        </w:tc>
        <w:tc>
          <w:tcPr>
            <w:tcW w:w="1473"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eastAsia="pl-PL"/>
              </w:rPr>
            </w:pPr>
            <w:r w:rsidRPr="00EE0C8C">
              <w:rPr>
                <w:rFonts w:ascii="Calibri" w:eastAsia="Calibri" w:hAnsi="Calibri" w:cs="Times New Roman"/>
              </w:rPr>
              <w:t>0</w:t>
            </w:r>
          </w:p>
        </w:tc>
        <w:tc>
          <w:tcPr>
            <w:tcW w:w="1315"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eastAsia="pl-PL"/>
              </w:rPr>
            </w:pPr>
            <w:r w:rsidRPr="00EE0C8C">
              <w:rPr>
                <w:rFonts w:ascii="Calibri" w:eastAsia="Calibri" w:hAnsi="Calibri" w:cs="Times New Roman"/>
              </w:rPr>
              <w:t>11</w:t>
            </w:r>
          </w:p>
        </w:tc>
        <w:tc>
          <w:tcPr>
            <w:tcW w:w="1112"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eastAsia="pl-PL"/>
              </w:rPr>
            </w:pPr>
            <w:r w:rsidRPr="00EE0C8C">
              <w:rPr>
                <w:rFonts w:ascii="Calibri" w:eastAsia="Calibri" w:hAnsi="Calibri" w:cs="Times New Roman"/>
              </w:rPr>
              <w:t>2</w:t>
            </w:r>
          </w:p>
        </w:tc>
        <w:tc>
          <w:tcPr>
            <w:tcW w:w="1473"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eastAsia="pl-PL"/>
              </w:rPr>
            </w:pPr>
            <w:r w:rsidRPr="00EE0C8C">
              <w:rPr>
                <w:rFonts w:ascii="Calibri" w:eastAsia="Calibri" w:hAnsi="Calibri" w:cs="Times New Roman"/>
              </w:rPr>
              <w:t>18,2%</w:t>
            </w:r>
          </w:p>
        </w:tc>
      </w:tr>
      <w:tr w:rsidR="00EE0C8C" w:rsidRPr="00EE0C8C" w:rsidTr="00A76BDB">
        <w:tc>
          <w:tcPr>
            <w:cnfStyle w:val="001000000000" w:firstRow="0" w:lastRow="0" w:firstColumn="1" w:lastColumn="0" w:oddVBand="0" w:evenVBand="0" w:oddHBand="0" w:evenHBand="0" w:firstRowFirstColumn="0" w:firstRowLastColumn="0" w:lastRowFirstColumn="0" w:lastRowLastColumn="0"/>
            <w:tcW w:w="1488" w:type="dxa"/>
          </w:tcPr>
          <w:p w:rsidR="00EE0C8C" w:rsidRPr="00EE0C8C" w:rsidRDefault="00EE0C8C" w:rsidP="00EE0C8C">
            <w:pPr>
              <w:jc w:val="both"/>
              <w:rPr>
                <w:rFonts w:ascii="Calibri" w:eastAsia="Calibri" w:hAnsi="Calibri" w:cs="Times New Roman"/>
                <w:lang w:eastAsia="pl-PL"/>
              </w:rPr>
            </w:pPr>
            <w:r w:rsidRPr="00EE0C8C">
              <w:rPr>
                <w:rFonts w:ascii="Calibri" w:eastAsia="Calibri" w:hAnsi="Calibri" w:cs="Times New Roman"/>
              </w:rPr>
              <w:t>Kradzież pojazdu</w:t>
            </w:r>
          </w:p>
        </w:tc>
        <w:tc>
          <w:tcPr>
            <w:tcW w:w="1315" w:type="dxa"/>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eastAsia="pl-PL"/>
              </w:rPr>
            </w:pPr>
            <w:r w:rsidRPr="00EE0C8C">
              <w:rPr>
                <w:rFonts w:ascii="Calibri" w:eastAsia="Calibri" w:hAnsi="Calibri" w:cs="Times New Roman"/>
              </w:rPr>
              <w:t>0</w:t>
            </w:r>
          </w:p>
        </w:tc>
        <w:tc>
          <w:tcPr>
            <w:tcW w:w="1112" w:type="dxa"/>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eastAsia="pl-PL"/>
              </w:rPr>
            </w:pPr>
            <w:r w:rsidRPr="00EE0C8C">
              <w:rPr>
                <w:rFonts w:ascii="Calibri" w:eastAsia="Calibri" w:hAnsi="Calibri" w:cs="Times New Roman"/>
              </w:rPr>
              <w:t>0</w:t>
            </w:r>
          </w:p>
        </w:tc>
        <w:tc>
          <w:tcPr>
            <w:tcW w:w="1473" w:type="dxa"/>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eastAsia="pl-PL"/>
              </w:rPr>
            </w:pPr>
            <w:r w:rsidRPr="00EE0C8C">
              <w:rPr>
                <w:rFonts w:ascii="Calibri" w:eastAsia="Calibri" w:hAnsi="Calibri" w:cs="Times New Roman"/>
              </w:rPr>
              <w:t>0</w:t>
            </w:r>
          </w:p>
        </w:tc>
        <w:tc>
          <w:tcPr>
            <w:tcW w:w="1315" w:type="dxa"/>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eastAsia="pl-PL"/>
              </w:rPr>
            </w:pPr>
            <w:r w:rsidRPr="00EE0C8C">
              <w:rPr>
                <w:rFonts w:ascii="Calibri" w:eastAsia="Calibri" w:hAnsi="Calibri" w:cs="Times New Roman"/>
              </w:rPr>
              <w:t>0</w:t>
            </w:r>
          </w:p>
        </w:tc>
        <w:tc>
          <w:tcPr>
            <w:tcW w:w="1112" w:type="dxa"/>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eastAsia="pl-PL"/>
              </w:rPr>
            </w:pPr>
            <w:r w:rsidRPr="00EE0C8C">
              <w:rPr>
                <w:rFonts w:ascii="Calibri" w:eastAsia="Calibri" w:hAnsi="Calibri" w:cs="Times New Roman"/>
              </w:rPr>
              <w:t>0</w:t>
            </w:r>
          </w:p>
        </w:tc>
        <w:tc>
          <w:tcPr>
            <w:tcW w:w="1473" w:type="dxa"/>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eastAsia="pl-PL"/>
              </w:rPr>
            </w:pPr>
            <w:r w:rsidRPr="00EE0C8C">
              <w:rPr>
                <w:rFonts w:ascii="Calibri" w:eastAsia="Calibri" w:hAnsi="Calibri" w:cs="Times New Roman"/>
              </w:rPr>
              <w:t>0</w:t>
            </w:r>
          </w:p>
        </w:tc>
      </w:tr>
      <w:tr w:rsidR="00EE0C8C" w:rsidRPr="00EE0C8C" w:rsidTr="00A76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8" w:type="dxa"/>
          </w:tcPr>
          <w:p w:rsidR="00EE0C8C" w:rsidRPr="00EE0C8C" w:rsidRDefault="00EE0C8C" w:rsidP="00EE0C8C">
            <w:pPr>
              <w:jc w:val="both"/>
              <w:rPr>
                <w:rFonts w:ascii="Calibri" w:eastAsia="Calibri" w:hAnsi="Calibri" w:cs="Times New Roman"/>
                <w:lang w:eastAsia="pl-PL"/>
              </w:rPr>
            </w:pPr>
            <w:r w:rsidRPr="00EE0C8C">
              <w:rPr>
                <w:rFonts w:ascii="Calibri" w:eastAsia="Calibri" w:hAnsi="Calibri" w:cs="Times New Roman"/>
              </w:rPr>
              <w:t>Zniszczenie mienia</w:t>
            </w:r>
          </w:p>
        </w:tc>
        <w:tc>
          <w:tcPr>
            <w:tcW w:w="1315"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eastAsia="pl-PL"/>
              </w:rPr>
            </w:pPr>
            <w:r w:rsidRPr="00EE0C8C">
              <w:rPr>
                <w:rFonts w:ascii="Calibri" w:eastAsia="Calibri" w:hAnsi="Calibri" w:cs="Times New Roman"/>
              </w:rPr>
              <w:t>6</w:t>
            </w:r>
          </w:p>
        </w:tc>
        <w:tc>
          <w:tcPr>
            <w:tcW w:w="1112"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eastAsia="pl-PL"/>
              </w:rPr>
            </w:pPr>
            <w:r w:rsidRPr="00EE0C8C">
              <w:rPr>
                <w:rFonts w:ascii="Calibri" w:eastAsia="Calibri" w:hAnsi="Calibri" w:cs="Times New Roman"/>
              </w:rPr>
              <w:t>1</w:t>
            </w:r>
          </w:p>
        </w:tc>
        <w:tc>
          <w:tcPr>
            <w:tcW w:w="1473"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eastAsia="pl-PL"/>
              </w:rPr>
            </w:pPr>
            <w:r w:rsidRPr="00EE0C8C">
              <w:rPr>
                <w:rFonts w:ascii="Calibri" w:eastAsia="Calibri" w:hAnsi="Calibri" w:cs="Times New Roman"/>
              </w:rPr>
              <w:t>16,7%</w:t>
            </w:r>
          </w:p>
        </w:tc>
        <w:tc>
          <w:tcPr>
            <w:tcW w:w="1315"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eastAsia="pl-PL"/>
              </w:rPr>
            </w:pPr>
            <w:r w:rsidRPr="00EE0C8C">
              <w:rPr>
                <w:rFonts w:ascii="Calibri" w:eastAsia="Calibri" w:hAnsi="Calibri" w:cs="Times New Roman"/>
              </w:rPr>
              <w:t>6</w:t>
            </w:r>
          </w:p>
        </w:tc>
        <w:tc>
          <w:tcPr>
            <w:tcW w:w="1112"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eastAsia="pl-PL"/>
              </w:rPr>
            </w:pPr>
            <w:r w:rsidRPr="00EE0C8C">
              <w:rPr>
                <w:rFonts w:ascii="Calibri" w:eastAsia="Calibri" w:hAnsi="Calibri" w:cs="Times New Roman"/>
              </w:rPr>
              <w:t>2</w:t>
            </w:r>
          </w:p>
        </w:tc>
        <w:tc>
          <w:tcPr>
            <w:tcW w:w="1473"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eastAsia="pl-PL"/>
              </w:rPr>
            </w:pPr>
            <w:r w:rsidRPr="00EE0C8C">
              <w:rPr>
                <w:rFonts w:ascii="Calibri" w:eastAsia="Calibri" w:hAnsi="Calibri" w:cs="Times New Roman"/>
              </w:rPr>
              <w:t>33,3%</w:t>
            </w:r>
          </w:p>
        </w:tc>
      </w:tr>
      <w:tr w:rsidR="00EE0C8C" w:rsidRPr="00EE0C8C" w:rsidTr="00A76BDB">
        <w:tc>
          <w:tcPr>
            <w:cnfStyle w:val="001000000000" w:firstRow="0" w:lastRow="0" w:firstColumn="1" w:lastColumn="0" w:oddVBand="0" w:evenVBand="0" w:oddHBand="0" w:evenHBand="0" w:firstRowFirstColumn="0" w:firstRowLastColumn="0" w:lastRowFirstColumn="0" w:lastRowLastColumn="0"/>
            <w:tcW w:w="1488" w:type="dxa"/>
          </w:tcPr>
          <w:p w:rsidR="00EE0C8C" w:rsidRPr="00EE0C8C" w:rsidRDefault="00EE0C8C" w:rsidP="00EE0C8C">
            <w:pPr>
              <w:jc w:val="both"/>
              <w:rPr>
                <w:rFonts w:ascii="Calibri" w:eastAsia="Calibri" w:hAnsi="Calibri" w:cs="Times New Roman"/>
                <w:lang w:eastAsia="pl-PL"/>
              </w:rPr>
            </w:pPr>
            <w:r w:rsidRPr="00EE0C8C">
              <w:rPr>
                <w:rFonts w:ascii="Calibri" w:eastAsia="Calibri" w:hAnsi="Calibri" w:cs="Times New Roman"/>
              </w:rPr>
              <w:t>Bójka/pobicie</w:t>
            </w:r>
          </w:p>
        </w:tc>
        <w:tc>
          <w:tcPr>
            <w:tcW w:w="1315" w:type="dxa"/>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eastAsia="pl-PL"/>
              </w:rPr>
            </w:pPr>
            <w:r w:rsidRPr="00EE0C8C">
              <w:rPr>
                <w:rFonts w:ascii="Calibri" w:eastAsia="Calibri" w:hAnsi="Calibri" w:cs="Times New Roman"/>
              </w:rPr>
              <w:t>0</w:t>
            </w:r>
          </w:p>
        </w:tc>
        <w:tc>
          <w:tcPr>
            <w:tcW w:w="1112" w:type="dxa"/>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eastAsia="pl-PL"/>
              </w:rPr>
            </w:pPr>
            <w:r w:rsidRPr="00EE0C8C">
              <w:rPr>
                <w:rFonts w:ascii="Calibri" w:eastAsia="Calibri" w:hAnsi="Calibri" w:cs="Times New Roman"/>
              </w:rPr>
              <w:t>0</w:t>
            </w:r>
          </w:p>
        </w:tc>
        <w:tc>
          <w:tcPr>
            <w:tcW w:w="1473" w:type="dxa"/>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eastAsia="pl-PL"/>
              </w:rPr>
            </w:pPr>
            <w:r w:rsidRPr="00EE0C8C">
              <w:rPr>
                <w:rFonts w:ascii="Calibri" w:eastAsia="Calibri" w:hAnsi="Calibri" w:cs="Times New Roman"/>
              </w:rPr>
              <w:t>0</w:t>
            </w:r>
          </w:p>
        </w:tc>
        <w:tc>
          <w:tcPr>
            <w:tcW w:w="1315" w:type="dxa"/>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eastAsia="pl-PL"/>
              </w:rPr>
            </w:pPr>
            <w:r w:rsidRPr="00EE0C8C">
              <w:rPr>
                <w:rFonts w:ascii="Calibri" w:eastAsia="Calibri" w:hAnsi="Calibri" w:cs="Times New Roman"/>
              </w:rPr>
              <w:t>0</w:t>
            </w:r>
          </w:p>
        </w:tc>
        <w:tc>
          <w:tcPr>
            <w:tcW w:w="1112" w:type="dxa"/>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eastAsia="pl-PL"/>
              </w:rPr>
            </w:pPr>
            <w:r w:rsidRPr="00EE0C8C">
              <w:rPr>
                <w:rFonts w:ascii="Calibri" w:eastAsia="Calibri" w:hAnsi="Calibri" w:cs="Times New Roman"/>
              </w:rPr>
              <w:t>0</w:t>
            </w:r>
          </w:p>
        </w:tc>
        <w:tc>
          <w:tcPr>
            <w:tcW w:w="1473" w:type="dxa"/>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eastAsia="pl-PL"/>
              </w:rPr>
            </w:pPr>
            <w:r w:rsidRPr="00EE0C8C">
              <w:rPr>
                <w:rFonts w:ascii="Calibri" w:eastAsia="Calibri" w:hAnsi="Calibri" w:cs="Times New Roman"/>
              </w:rPr>
              <w:t>0</w:t>
            </w:r>
          </w:p>
        </w:tc>
      </w:tr>
      <w:tr w:rsidR="00EE0C8C" w:rsidRPr="00EE0C8C" w:rsidTr="00A76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8" w:type="dxa"/>
          </w:tcPr>
          <w:p w:rsidR="00EE0C8C" w:rsidRPr="00EE0C8C" w:rsidRDefault="00EE0C8C" w:rsidP="00EE0C8C">
            <w:pPr>
              <w:jc w:val="both"/>
              <w:rPr>
                <w:rFonts w:ascii="Calibri" w:eastAsia="Calibri" w:hAnsi="Calibri" w:cs="Times New Roman"/>
                <w:lang w:eastAsia="pl-PL"/>
              </w:rPr>
            </w:pPr>
            <w:r w:rsidRPr="00EE0C8C">
              <w:rPr>
                <w:rFonts w:ascii="Calibri" w:eastAsia="Calibri" w:hAnsi="Calibri" w:cs="Times New Roman"/>
              </w:rPr>
              <w:t>Uszkodzenie ciała</w:t>
            </w:r>
          </w:p>
        </w:tc>
        <w:tc>
          <w:tcPr>
            <w:tcW w:w="1315"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eastAsia="pl-PL"/>
              </w:rPr>
            </w:pPr>
            <w:r w:rsidRPr="00EE0C8C">
              <w:rPr>
                <w:rFonts w:ascii="Calibri" w:eastAsia="Calibri" w:hAnsi="Calibri" w:cs="Times New Roman"/>
              </w:rPr>
              <w:t>1</w:t>
            </w:r>
          </w:p>
        </w:tc>
        <w:tc>
          <w:tcPr>
            <w:tcW w:w="1112"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eastAsia="pl-PL"/>
              </w:rPr>
            </w:pPr>
            <w:r w:rsidRPr="00EE0C8C">
              <w:rPr>
                <w:rFonts w:ascii="Calibri" w:eastAsia="Calibri" w:hAnsi="Calibri" w:cs="Times New Roman"/>
              </w:rPr>
              <w:t>0</w:t>
            </w:r>
          </w:p>
        </w:tc>
        <w:tc>
          <w:tcPr>
            <w:tcW w:w="1473"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eastAsia="pl-PL"/>
              </w:rPr>
            </w:pPr>
            <w:r w:rsidRPr="00EE0C8C">
              <w:rPr>
                <w:rFonts w:ascii="Calibri" w:eastAsia="Calibri" w:hAnsi="Calibri" w:cs="Times New Roman"/>
              </w:rPr>
              <w:t>0</w:t>
            </w:r>
          </w:p>
        </w:tc>
        <w:tc>
          <w:tcPr>
            <w:tcW w:w="1315"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eastAsia="pl-PL"/>
              </w:rPr>
            </w:pPr>
            <w:r w:rsidRPr="00EE0C8C">
              <w:rPr>
                <w:rFonts w:ascii="Calibri" w:eastAsia="Calibri" w:hAnsi="Calibri" w:cs="Times New Roman"/>
              </w:rPr>
              <w:t>4</w:t>
            </w:r>
          </w:p>
        </w:tc>
        <w:tc>
          <w:tcPr>
            <w:tcW w:w="1112"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eastAsia="pl-PL"/>
              </w:rPr>
            </w:pPr>
            <w:r w:rsidRPr="00EE0C8C">
              <w:rPr>
                <w:rFonts w:ascii="Calibri" w:eastAsia="Calibri" w:hAnsi="Calibri" w:cs="Times New Roman"/>
              </w:rPr>
              <w:t>3</w:t>
            </w:r>
          </w:p>
        </w:tc>
        <w:tc>
          <w:tcPr>
            <w:tcW w:w="1473"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eastAsia="pl-PL"/>
              </w:rPr>
            </w:pPr>
            <w:r w:rsidRPr="00EE0C8C">
              <w:rPr>
                <w:rFonts w:ascii="Calibri" w:eastAsia="Calibri" w:hAnsi="Calibri" w:cs="Times New Roman"/>
              </w:rPr>
              <w:t>75%</w:t>
            </w:r>
          </w:p>
        </w:tc>
      </w:tr>
      <w:tr w:rsidR="00EE0C8C" w:rsidRPr="00EE0C8C" w:rsidTr="00A76BDB">
        <w:tc>
          <w:tcPr>
            <w:cnfStyle w:val="001000000000" w:firstRow="0" w:lastRow="0" w:firstColumn="1" w:lastColumn="0" w:oddVBand="0" w:evenVBand="0" w:oddHBand="0" w:evenHBand="0" w:firstRowFirstColumn="0" w:firstRowLastColumn="0" w:lastRowFirstColumn="0" w:lastRowLastColumn="0"/>
            <w:tcW w:w="1488" w:type="dxa"/>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Rozbój/</w:t>
            </w:r>
            <w:r w:rsidRPr="00EE0C8C">
              <w:rPr>
                <w:rFonts w:ascii="Calibri" w:eastAsia="Calibri" w:hAnsi="Calibri" w:cs="Times New Roman"/>
              </w:rPr>
              <w:br/>
              <w:t>wymuszenie</w:t>
            </w:r>
          </w:p>
        </w:tc>
        <w:tc>
          <w:tcPr>
            <w:tcW w:w="1315" w:type="dxa"/>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eastAsia="pl-PL"/>
              </w:rPr>
            </w:pPr>
            <w:r w:rsidRPr="00EE0C8C">
              <w:rPr>
                <w:rFonts w:ascii="Calibri" w:eastAsia="Calibri" w:hAnsi="Calibri" w:cs="Times New Roman"/>
              </w:rPr>
              <w:t>0</w:t>
            </w:r>
          </w:p>
        </w:tc>
        <w:tc>
          <w:tcPr>
            <w:tcW w:w="1112" w:type="dxa"/>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eastAsia="pl-PL"/>
              </w:rPr>
            </w:pPr>
            <w:r w:rsidRPr="00EE0C8C">
              <w:rPr>
                <w:rFonts w:ascii="Calibri" w:eastAsia="Calibri" w:hAnsi="Calibri" w:cs="Times New Roman"/>
              </w:rPr>
              <w:t>0</w:t>
            </w:r>
          </w:p>
        </w:tc>
        <w:tc>
          <w:tcPr>
            <w:tcW w:w="1473" w:type="dxa"/>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eastAsia="pl-PL"/>
              </w:rPr>
            </w:pPr>
            <w:r w:rsidRPr="00EE0C8C">
              <w:rPr>
                <w:rFonts w:ascii="Calibri" w:eastAsia="Calibri" w:hAnsi="Calibri" w:cs="Times New Roman"/>
              </w:rPr>
              <w:t>0</w:t>
            </w:r>
          </w:p>
        </w:tc>
        <w:tc>
          <w:tcPr>
            <w:tcW w:w="1315" w:type="dxa"/>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eastAsia="pl-PL"/>
              </w:rPr>
            </w:pPr>
            <w:r w:rsidRPr="00EE0C8C">
              <w:rPr>
                <w:rFonts w:ascii="Calibri" w:eastAsia="Calibri" w:hAnsi="Calibri" w:cs="Times New Roman"/>
              </w:rPr>
              <w:t>0</w:t>
            </w:r>
          </w:p>
        </w:tc>
        <w:tc>
          <w:tcPr>
            <w:tcW w:w="1112" w:type="dxa"/>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eastAsia="pl-PL"/>
              </w:rPr>
            </w:pPr>
            <w:r w:rsidRPr="00EE0C8C">
              <w:rPr>
                <w:rFonts w:ascii="Calibri" w:eastAsia="Calibri" w:hAnsi="Calibri" w:cs="Times New Roman"/>
              </w:rPr>
              <w:t>0</w:t>
            </w:r>
          </w:p>
        </w:tc>
        <w:tc>
          <w:tcPr>
            <w:tcW w:w="1473" w:type="dxa"/>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eastAsia="pl-PL"/>
              </w:rPr>
            </w:pPr>
            <w:r w:rsidRPr="00EE0C8C">
              <w:rPr>
                <w:rFonts w:ascii="Calibri" w:eastAsia="Calibri" w:hAnsi="Calibri" w:cs="Times New Roman"/>
              </w:rPr>
              <w:t>0</w:t>
            </w:r>
          </w:p>
        </w:tc>
      </w:tr>
      <w:tr w:rsidR="00EE0C8C" w:rsidRPr="00EE0C8C" w:rsidTr="00A76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8" w:type="dxa"/>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RAZEM</w:t>
            </w:r>
          </w:p>
        </w:tc>
        <w:tc>
          <w:tcPr>
            <w:tcW w:w="1315"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36</w:t>
            </w:r>
          </w:p>
        </w:tc>
        <w:tc>
          <w:tcPr>
            <w:tcW w:w="1112"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eastAsia="pl-PL"/>
              </w:rPr>
            </w:pPr>
            <w:r w:rsidRPr="00EE0C8C">
              <w:rPr>
                <w:rFonts w:ascii="Calibri" w:eastAsia="Calibri" w:hAnsi="Calibri" w:cs="Times New Roman"/>
              </w:rPr>
              <w:t>6</w:t>
            </w:r>
          </w:p>
        </w:tc>
        <w:tc>
          <w:tcPr>
            <w:tcW w:w="1473"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eastAsia="pl-PL"/>
              </w:rPr>
            </w:pPr>
            <w:r w:rsidRPr="00EE0C8C">
              <w:rPr>
                <w:rFonts w:ascii="Calibri" w:eastAsia="Calibri" w:hAnsi="Calibri" w:cs="Times New Roman"/>
              </w:rPr>
              <w:t>16,7%</w:t>
            </w:r>
          </w:p>
        </w:tc>
        <w:tc>
          <w:tcPr>
            <w:tcW w:w="1315"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eastAsia="pl-PL"/>
              </w:rPr>
            </w:pPr>
            <w:r w:rsidRPr="00EE0C8C">
              <w:rPr>
                <w:rFonts w:ascii="Calibri" w:eastAsia="Calibri" w:hAnsi="Calibri" w:cs="Times New Roman"/>
              </w:rPr>
              <w:t>33</w:t>
            </w:r>
          </w:p>
        </w:tc>
        <w:tc>
          <w:tcPr>
            <w:tcW w:w="1112"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eastAsia="pl-PL"/>
              </w:rPr>
            </w:pPr>
            <w:r w:rsidRPr="00EE0C8C">
              <w:rPr>
                <w:rFonts w:ascii="Calibri" w:eastAsia="Calibri" w:hAnsi="Calibri" w:cs="Times New Roman"/>
              </w:rPr>
              <w:t>12</w:t>
            </w:r>
          </w:p>
        </w:tc>
        <w:tc>
          <w:tcPr>
            <w:tcW w:w="1473"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eastAsia="pl-PL"/>
              </w:rPr>
            </w:pPr>
            <w:r w:rsidRPr="00EE0C8C">
              <w:rPr>
                <w:rFonts w:ascii="Calibri" w:eastAsia="Calibri" w:hAnsi="Calibri" w:cs="Times New Roman"/>
              </w:rPr>
              <w:t>36,4%</w:t>
            </w:r>
          </w:p>
        </w:tc>
      </w:tr>
    </w:tbl>
    <w:p w:rsidR="00EE0C8C" w:rsidRPr="00EE0C8C" w:rsidRDefault="00EE0C8C" w:rsidP="00EE0C8C">
      <w:pPr>
        <w:spacing w:after="0"/>
        <w:jc w:val="center"/>
        <w:rPr>
          <w:rFonts w:ascii="Calibri" w:eastAsia="Calibri" w:hAnsi="Calibri" w:cs="Times New Roman"/>
          <w:i/>
          <w:lang w:eastAsia="pl-PL"/>
        </w:rPr>
      </w:pPr>
      <w:r w:rsidRPr="00EE0C8C">
        <w:rPr>
          <w:rFonts w:ascii="Calibri" w:eastAsia="Calibri" w:hAnsi="Calibri" w:cs="Times New Roman"/>
          <w:i/>
          <w:lang w:eastAsia="pl-PL"/>
        </w:rPr>
        <w:t>(Źródło: Dane z Komendy Powiatowej Policji w Starachowicach)</w:t>
      </w:r>
    </w:p>
    <w:p w:rsidR="00EE0C8C" w:rsidRPr="00EE0C8C" w:rsidRDefault="00EE0C8C" w:rsidP="00EE0C8C">
      <w:pPr>
        <w:spacing w:after="0"/>
        <w:jc w:val="center"/>
        <w:rPr>
          <w:rFonts w:ascii="Calibri" w:eastAsia="Calibri" w:hAnsi="Calibri" w:cs="Times New Roman"/>
          <w:i/>
          <w:lang w:eastAsia="pl-PL"/>
        </w:rPr>
      </w:pPr>
    </w:p>
    <w:p w:rsidR="00EE0C8C" w:rsidRPr="00EE0C8C" w:rsidRDefault="00EE0C8C" w:rsidP="00EE0C8C">
      <w:pPr>
        <w:jc w:val="both"/>
        <w:rPr>
          <w:rFonts w:ascii="Calibri" w:eastAsia="Times New Roman" w:hAnsi="Calibri" w:cs="Times New Roman"/>
          <w:lang w:eastAsia="pl-PL"/>
        </w:rPr>
      </w:pPr>
      <w:r w:rsidRPr="00EE0C8C">
        <w:rPr>
          <w:rFonts w:ascii="Calibri" w:eastAsia="Times New Roman" w:hAnsi="Calibri" w:cs="Times New Roman"/>
          <w:lang w:eastAsia="pl-PL"/>
        </w:rPr>
        <w:t>W przypadku przestępstw narkotykowych statystyki dla Gminy Mirzec  przedstawiają się następująco:</w:t>
      </w:r>
    </w:p>
    <w:tbl>
      <w:tblPr>
        <w:tblStyle w:val="redniecieniowanie2akcent51"/>
        <w:tblW w:w="0" w:type="auto"/>
        <w:tblLook w:val="04A0" w:firstRow="1" w:lastRow="0" w:firstColumn="1" w:lastColumn="0" w:noHBand="0" w:noVBand="1"/>
      </w:tblPr>
      <w:tblGrid>
        <w:gridCol w:w="1446"/>
        <w:gridCol w:w="1315"/>
        <w:gridCol w:w="1133"/>
        <w:gridCol w:w="1473"/>
        <w:gridCol w:w="1315"/>
        <w:gridCol w:w="1133"/>
        <w:gridCol w:w="1473"/>
      </w:tblGrid>
      <w:tr w:rsidR="00EE0C8C" w:rsidRPr="00EE0C8C" w:rsidTr="00A76BD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46" w:type="dxa"/>
            <w:vMerge w:val="restart"/>
          </w:tcPr>
          <w:p w:rsidR="00EE0C8C" w:rsidRPr="00EE0C8C" w:rsidRDefault="00EE0C8C" w:rsidP="00EE0C8C">
            <w:pPr>
              <w:jc w:val="both"/>
              <w:rPr>
                <w:rFonts w:ascii="Calibri" w:eastAsia="Calibri" w:hAnsi="Calibri" w:cs="Times New Roman"/>
                <w:lang w:eastAsia="pl-PL"/>
              </w:rPr>
            </w:pPr>
          </w:p>
        </w:tc>
        <w:tc>
          <w:tcPr>
            <w:tcW w:w="3921" w:type="dxa"/>
            <w:gridSpan w:val="3"/>
          </w:tcPr>
          <w:p w:rsidR="00EE0C8C" w:rsidRPr="00EE0C8C" w:rsidRDefault="00EE0C8C" w:rsidP="00EE0C8C">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lang w:eastAsia="pl-PL"/>
              </w:rPr>
            </w:pPr>
            <w:r w:rsidRPr="00EE0C8C">
              <w:rPr>
                <w:rFonts w:ascii="Calibri" w:eastAsia="Calibri" w:hAnsi="Calibri" w:cs="Times New Roman"/>
              </w:rPr>
              <w:t>2013</w:t>
            </w:r>
          </w:p>
        </w:tc>
        <w:tc>
          <w:tcPr>
            <w:tcW w:w="3921" w:type="dxa"/>
            <w:gridSpan w:val="3"/>
          </w:tcPr>
          <w:p w:rsidR="00EE0C8C" w:rsidRPr="00EE0C8C" w:rsidRDefault="00EE0C8C" w:rsidP="00EE0C8C">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lang w:eastAsia="pl-PL"/>
              </w:rPr>
            </w:pPr>
            <w:r w:rsidRPr="00EE0C8C">
              <w:rPr>
                <w:rFonts w:ascii="Calibri" w:eastAsia="Calibri" w:hAnsi="Calibri" w:cs="Times New Roman"/>
              </w:rPr>
              <w:t>2014</w:t>
            </w:r>
          </w:p>
        </w:tc>
      </w:tr>
      <w:tr w:rsidR="00EE0C8C" w:rsidRPr="00EE0C8C" w:rsidTr="00A76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6" w:type="dxa"/>
            <w:vMerge/>
          </w:tcPr>
          <w:p w:rsidR="00EE0C8C" w:rsidRPr="00EE0C8C" w:rsidRDefault="00EE0C8C" w:rsidP="00EE0C8C">
            <w:pPr>
              <w:jc w:val="both"/>
              <w:rPr>
                <w:rFonts w:ascii="Calibri" w:eastAsia="Calibri" w:hAnsi="Calibri" w:cs="Times New Roman"/>
                <w:lang w:eastAsia="pl-PL"/>
              </w:rPr>
            </w:pPr>
          </w:p>
        </w:tc>
        <w:tc>
          <w:tcPr>
            <w:tcW w:w="1315"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eastAsia="pl-PL"/>
              </w:rPr>
            </w:pPr>
            <w:r w:rsidRPr="00EE0C8C">
              <w:rPr>
                <w:rFonts w:ascii="Calibri" w:eastAsia="Calibri" w:hAnsi="Calibri" w:cs="Times New Roman"/>
              </w:rPr>
              <w:t>stwierdzone</w:t>
            </w:r>
          </w:p>
        </w:tc>
        <w:tc>
          <w:tcPr>
            <w:tcW w:w="1133"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eastAsia="pl-PL"/>
              </w:rPr>
            </w:pPr>
            <w:r w:rsidRPr="00EE0C8C">
              <w:rPr>
                <w:rFonts w:ascii="Calibri" w:eastAsia="Calibri" w:hAnsi="Calibri" w:cs="Times New Roman"/>
              </w:rPr>
              <w:t>wykryte</w:t>
            </w:r>
          </w:p>
        </w:tc>
        <w:tc>
          <w:tcPr>
            <w:tcW w:w="1473"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eastAsia="pl-PL"/>
              </w:rPr>
            </w:pPr>
            <w:r w:rsidRPr="00EE0C8C">
              <w:rPr>
                <w:rFonts w:ascii="Calibri" w:eastAsia="Calibri" w:hAnsi="Calibri" w:cs="Times New Roman"/>
              </w:rPr>
              <w:t>wykrywalność</w:t>
            </w:r>
          </w:p>
        </w:tc>
        <w:tc>
          <w:tcPr>
            <w:tcW w:w="1315"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eastAsia="pl-PL"/>
              </w:rPr>
            </w:pPr>
            <w:r w:rsidRPr="00EE0C8C">
              <w:rPr>
                <w:rFonts w:ascii="Calibri" w:eastAsia="Calibri" w:hAnsi="Calibri" w:cs="Times New Roman"/>
              </w:rPr>
              <w:t>stwierdzone</w:t>
            </w:r>
          </w:p>
        </w:tc>
        <w:tc>
          <w:tcPr>
            <w:tcW w:w="1133"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eastAsia="pl-PL"/>
              </w:rPr>
            </w:pPr>
            <w:r w:rsidRPr="00EE0C8C">
              <w:rPr>
                <w:rFonts w:ascii="Calibri" w:eastAsia="Calibri" w:hAnsi="Calibri" w:cs="Times New Roman"/>
              </w:rPr>
              <w:t>wykryte</w:t>
            </w:r>
          </w:p>
        </w:tc>
        <w:tc>
          <w:tcPr>
            <w:tcW w:w="1473"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eastAsia="pl-PL"/>
              </w:rPr>
            </w:pPr>
            <w:r w:rsidRPr="00EE0C8C">
              <w:rPr>
                <w:rFonts w:ascii="Calibri" w:eastAsia="Calibri" w:hAnsi="Calibri" w:cs="Times New Roman"/>
              </w:rPr>
              <w:t>wykrywalność</w:t>
            </w:r>
          </w:p>
        </w:tc>
      </w:tr>
      <w:tr w:rsidR="00EE0C8C" w:rsidRPr="00EE0C8C" w:rsidTr="00A76BDB">
        <w:tc>
          <w:tcPr>
            <w:cnfStyle w:val="001000000000" w:firstRow="0" w:lastRow="0" w:firstColumn="1" w:lastColumn="0" w:oddVBand="0" w:evenVBand="0" w:oddHBand="0" w:evenHBand="0" w:firstRowFirstColumn="0" w:firstRowLastColumn="0" w:lastRowFirstColumn="0" w:lastRowLastColumn="0"/>
            <w:tcW w:w="1446" w:type="dxa"/>
          </w:tcPr>
          <w:p w:rsidR="00EE0C8C" w:rsidRPr="00EE0C8C" w:rsidRDefault="00EE0C8C" w:rsidP="00EE0C8C">
            <w:pPr>
              <w:jc w:val="both"/>
              <w:rPr>
                <w:rFonts w:ascii="Calibri" w:eastAsia="Calibri" w:hAnsi="Calibri" w:cs="Times New Roman"/>
                <w:lang w:eastAsia="pl-PL"/>
              </w:rPr>
            </w:pPr>
            <w:r w:rsidRPr="00EE0C8C">
              <w:rPr>
                <w:rFonts w:ascii="Calibri" w:eastAsia="Calibri" w:hAnsi="Calibri" w:cs="Times New Roman"/>
              </w:rPr>
              <w:t>Posiadanie narkotyków odurzających</w:t>
            </w:r>
          </w:p>
        </w:tc>
        <w:tc>
          <w:tcPr>
            <w:tcW w:w="1315" w:type="dxa"/>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eastAsia="pl-PL"/>
              </w:rPr>
            </w:pPr>
            <w:r w:rsidRPr="00EE0C8C">
              <w:rPr>
                <w:rFonts w:ascii="Calibri" w:eastAsia="Calibri" w:hAnsi="Calibri" w:cs="Times New Roman"/>
              </w:rPr>
              <w:t>3</w:t>
            </w:r>
          </w:p>
        </w:tc>
        <w:tc>
          <w:tcPr>
            <w:tcW w:w="1133" w:type="dxa"/>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eastAsia="pl-PL"/>
              </w:rPr>
            </w:pPr>
            <w:r w:rsidRPr="00EE0C8C">
              <w:rPr>
                <w:rFonts w:ascii="Calibri" w:eastAsia="Calibri" w:hAnsi="Calibri" w:cs="Times New Roman"/>
              </w:rPr>
              <w:t>2</w:t>
            </w:r>
          </w:p>
        </w:tc>
        <w:tc>
          <w:tcPr>
            <w:tcW w:w="1473" w:type="dxa"/>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eastAsia="pl-PL"/>
              </w:rPr>
            </w:pPr>
            <w:r w:rsidRPr="00EE0C8C">
              <w:rPr>
                <w:rFonts w:ascii="Calibri" w:eastAsia="Calibri" w:hAnsi="Calibri" w:cs="Times New Roman"/>
              </w:rPr>
              <w:t>66,7%</w:t>
            </w:r>
          </w:p>
        </w:tc>
        <w:tc>
          <w:tcPr>
            <w:tcW w:w="1315" w:type="dxa"/>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eastAsia="pl-PL"/>
              </w:rPr>
            </w:pPr>
            <w:r w:rsidRPr="00EE0C8C">
              <w:rPr>
                <w:rFonts w:ascii="Calibri" w:eastAsia="Calibri" w:hAnsi="Calibri" w:cs="Times New Roman"/>
              </w:rPr>
              <w:t>1</w:t>
            </w:r>
          </w:p>
        </w:tc>
        <w:tc>
          <w:tcPr>
            <w:tcW w:w="1133" w:type="dxa"/>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eastAsia="pl-PL"/>
              </w:rPr>
            </w:pPr>
            <w:r w:rsidRPr="00EE0C8C">
              <w:rPr>
                <w:rFonts w:ascii="Calibri" w:eastAsia="Calibri" w:hAnsi="Calibri" w:cs="Times New Roman"/>
              </w:rPr>
              <w:t>1</w:t>
            </w:r>
          </w:p>
        </w:tc>
        <w:tc>
          <w:tcPr>
            <w:tcW w:w="1473" w:type="dxa"/>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eastAsia="pl-PL"/>
              </w:rPr>
            </w:pPr>
            <w:r w:rsidRPr="00EE0C8C">
              <w:rPr>
                <w:rFonts w:ascii="Calibri" w:eastAsia="Calibri" w:hAnsi="Calibri" w:cs="Times New Roman"/>
              </w:rPr>
              <w:t>100%</w:t>
            </w:r>
          </w:p>
        </w:tc>
      </w:tr>
      <w:tr w:rsidR="00EE0C8C" w:rsidRPr="00EE0C8C" w:rsidTr="00A76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6" w:type="dxa"/>
          </w:tcPr>
          <w:p w:rsidR="00EE0C8C" w:rsidRPr="00EE0C8C" w:rsidRDefault="00EE0C8C" w:rsidP="00EE0C8C">
            <w:pPr>
              <w:jc w:val="both"/>
              <w:rPr>
                <w:rFonts w:ascii="Calibri" w:eastAsia="Calibri" w:hAnsi="Calibri" w:cs="Times New Roman"/>
                <w:lang w:eastAsia="pl-PL"/>
              </w:rPr>
            </w:pPr>
            <w:r w:rsidRPr="00EE0C8C">
              <w:rPr>
                <w:rFonts w:ascii="Calibri" w:eastAsia="Calibri" w:hAnsi="Calibri" w:cs="Times New Roman"/>
              </w:rPr>
              <w:t>Udzielanie środków odurzających</w:t>
            </w:r>
          </w:p>
        </w:tc>
        <w:tc>
          <w:tcPr>
            <w:tcW w:w="1315"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eastAsia="pl-PL"/>
              </w:rPr>
            </w:pPr>
            <w:r w:rsidRPr="00EE0C8C">
              <w:rPr>
                <w:rFonts w:ascii="Calibri" w:eastAsia="Calibri" w:hAnsi="Calibri" w:cs="Times New Roman"/>
              </w:rPr>
              <w:t>6</w:t>
            </w:r>
          </w:p>
        </w:tc>
        <w:tc>
          <w:tcPr>
            <w:tcW w:w="1133"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eastAsia="pl-PL"/>
              </w:rPr>
            </w:pPr>
            <w:r w:rsidRPr="00EE0C8C">
              <w:rPr>
                <w:rFonts w:ascii="Calibri" w:eastAsia="Calibri" w:hAnsi="Calibri" w:cs="Times New Roman"/>
              </w:rPr>
              <w:t>6</w:t>
            </w:r>
          </w:p>
        </w:tc>
        <w:tc>
          <w:tcPr>
            <w:tcW w:w="1473"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eastAsia="pl-PL"/>
              </w:rPr>
            </w:pPr>
            <w:r w:rsidRPr="00EE0C8C">
              <w:rPr>
                <w:rFonts w:ascii="Calibri" w:eastAsia="Calibri" w:hAnsi="Calibri" w:cs="Times New Roman"/>
              </w:rPr>
              <w:t>100%</w:t>
            </w:r>
          </w:p>
        </w:tc>
        <w:tc>
          <w:tcPr>
            <w:tcW w:w="1315"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eastAsia="pl-PL"/>
              </w:rPr>
            </w:pPr>
            <w:r w:rsidRPr="00EE0C8C">
              <w:rPr>
                <w:rFonts w:ascii="Calibri" w:eastAsia="Calibri" w:hAnsi="Calibri" w:cs="Times New Roman"/>
              </w:rPr>
              <w:t>0</w:t>
            </w:r>
          </w:p>
        </w:tc>
        <w:tc>
          <w:tcPr>
            <w:tcW w:w="1133"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eastAsia="pl-PL"/>
              </w:rPr>
            </w:pPr>
            <w:r w:rsidRPr="00EE0C8C">
              <w:rPr>
                <w:rFonts w:ascii="Calibri" w:eastAsia="Calibri" w:hAnsi="Calibri" w:cs="Times New Roman"/>
              </w:rPr>
              <w:t>0</w:t>
            </w:r>
          </w:p>
        </w:tc>
        <w:tc>
          <w:tcPr>
            <w:tcW w:w="1473"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eastAsia="pl-PL"/>
              </w:rPr>
            </w:pPr>
            <w:r w:rsidRPr="00EE0C8C">
              <w:rPr>
                <w:rFonts w:ascii="Calibri" w:eastAsia="Calibri" w:hAnsi="Calibri" w:cs="Times New Roman"/>
              </w:rPr>
              <w:t>0</w:t>
            </w:r>
          </w:p>
        </w:tc>
      </w:tr>
    </w:tbl>
    <w:p w:rsidR="00EE0C8C" w:rsidRPr="00EE0C8C" w:rsidRDefault="00EE0C8C" w:rsidP="00EE0C8C">
      <w:pPr>
        <w:spacing w:after="0"/>
        <w:jc w:val="center"/>
        <w:rPr>
          <w:rFonts w:ascii="Calibri" w:eastAsia="Calibri" w:hAnsi="Calibri" w:cs="Times New Roman"/>
          <w:i/>
          <w:lang w:eastAsia="pl-PL"/>
        </w:rPr>
      </w:pPr>
      <w:r w:rsidRPr="00EE0C8C">
        <w:rPr>
          <w:rFonts w:ascii="Calibri" w:eastAsia="Calibri" w:hAnsi="Calibri" w:cs="Times New Roman"/>
          <w:i/>
          <w:lang w:eastAsia="pl-PL"/>
        </w:rPr>
        <w:t>(Źródło: Dane z Komendy Powiatowej Policji w Starachowicach)</w:t>
      </w:r>
    </w:p>
    <w:p w:rsidR="00EE0C8C" w:rsidRPr="00EE0C8C" w:rsidRDefault="00EE0C8C" w:rsidP="00EE0C8C">
      <w:pPr>
        <w:spacing w:after="0"/>
        <w:jc w:val="center"/>
        <w:rPr>
          <w:rFonts w:ascii="Calibri" w:eastAsia="Calibri" w:hAnsi="Calibri" w:cs="Times New Roman"/>
          <w:i/>
          <w:sz w:val="16"/>
          <w:szCs w:val="16"/>
          <w:lang w:eastAsia="pl-PL"/>
        </w:rPr>
      </w:pPr>
    </w:p>
    <w:p w:rsidR="00EE0C8C" w:rsidRPr="00EE0C8C" w:rsidRDefault="00EE0C8C" w:rsidP="00EE0C8C">
      <w:pPr>
        <w:jc w:val="both"/>
        <w:rPr>
          <w:rFonts w:ascii="Calibri" w:eastAsia="Times New Roman" w:hAnsi="Calibri" w:cs="Times New Roman"/>
          <w:lang w:eastAsia="pl-PL"/>
        </w:rPr>
      </w:pPr>
      <w:r w:rsidRPr="00EE0C8C">
        <w:rPr>
          <w:rFonts w:ascii="Calibri" w:eastAsia="Times New Roman" w:hAnsi="Calibri" w:cs="Times New Roman"/>
          <w:lang w:eastAsia="pl-PL"/>
        </w:rPr>
        <w:t>Na terenie Gminy Mirzec w 2013 r. odnotowano ogółem 529 interwencji, 438 z nich dotyczyło interwencji publicznych, a 91 interwencji domowych. W tym samym okresie w 2014 r. podejmowanych interwencji na terenie Gminy Mirzec było 523 z tego 456 interwencji w miejscu publicznym, a 67 interwencji domowych. Interwencje publiczne z reguły dotyczyły wykroczeń porządkowych, przeciwko porządkowi publicznemu i z Ustawy o wychowaniu w trzeźwości.</w:t>
      </w:r>
    </w:p>
    <w:tbl>
      <w:tblPr>
        <w:tblStyle w:val="redniasiatka3akcent51"/>
        <w:tblW w:w="0" w:type="auto"/>
        <w:tblLook w:val="04A0" w:firstRow="1" w:lastRow="0" w:firstColumn="1" w:lastColumn="0" w:noHBand="0" w:noVBand="1"/>
      </w:tblPr>
      <w:tblGrid>
        <w:gridCol w:w="3070"/>
        <w:gridCol w:w="3071"/>
        <w:gridCol w:w="3071"/>
      </w:tblGrid>
      <w:tr w:rsidR="00EE0C8C" w:rsidRPr="00EE0C8C" w:rsidTr="00A76B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INTERWENCJE</w:t>
            </w:r>
          </w:p>
        </w:tc>
        <w:tc>
          <w:tcPr>
            <w:tcW w:w="3071" w:type="dxa"/>
          </w:tcPr>
          <w:p w:rsidR="00EE0C8C" w:rsidRPr="00EE0C8C" w:rsidRDefault="00EE0C8C" w:rsidP="00EE0C8C">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2013</w:t>
            </w:r>
          </w:p>
        </w:tc>
        <w:tc>
          <w:tcPr>
            <w:tcW w:w="3071" w:type="dxa"/>
          </w:tcPr>
          <w:p w:rsidR="00EE0C8C" w:rsidRPr="00EE0C8C" w:rsidRDefault="00EE0C8C" w:rsidP="00EE0C8C">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2014</w:t>
            </w:r>
          </w:p>
        </w:tc>
      </w:tr>
      <w:tr w:rsidR="00EE0C8C" w:rsidRPr="00EE0C8C" w:rsidTr="00A76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Domowe</w:t>
            </w:r>
          </w:p>
        </w:tc>
        <w:tc>
          <w:tcPr>
            <w:tcW w:w="3071"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91</w:t>
            </w:r>
          </w:p>
        </w:tc>
        <w:tc>
          <w:tcPr>
            <w:tcW w:w="3071"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67</w:t>
            </w:r>
          </w:p>
        </w:tc>
      </w:tr>
      <w:tr w:rsidR="00EE0C8C" w:rsidRPr="00EE0C8C" w:rsidTr="00A76BDB">
        <w:tc>
          <w:tcPr>
            <w:cnfStyle w:val="001000000000" w:firstRow="0" w:lastRow="0" w:firstColumn="1" w:lastColumn="0" w:oddVBand="0" w:evenVBand="0" w:oddHBand="0" w:evenHBand="0" w:firstRowFirstColumn="0" w:firstRowLastColumn="0" w:lastRowFirstColumn="0" w:lastRowLastColumn="0"/>
            <w:tcW w:w="3070" w:type="dxa"/>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W miejscu publicznym</w:t>
            </w:r>
          </w:p>
        </w:tc>
        <w:tc>
          <w:tcPr>
            <w:tcW w:w="3071" w:type="dxa"/>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438</w:t>
            </w:r>
          </w:p>
        </w:tc>
        <w:tc>
          <w:tcPr>
            <w:tcW w:w="3071" w:type="dxa"/>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456</w:t>
            </w:r>
          </w:p>
        </w:tc>
      </w:tr>
      <w:tr w:rsidR="00EE0C8C" w:rsidRPr="00EE0C8C" w:rsidTr="00A76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RAZEM</w:t>
            </w:r>
          </w:p>
        </w:tc>
        <w:tc>
          <w:tcPr>
            <w:tcW w:w="3071"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rPr>
            </w:pPr>
            <w:r w:rsidRPr="00EE0C8C">
              <w:rPr>
                <w:rFonts w:ascii="Calibri" w:eastAsia="Calibri" w:hAnsi="Calibri" w:cs="Times New Roman"/>
                <w:b/>
              </w:rPr>
              <w:t>529</w:t>
            </w:r>
          </w:p>
        </w:tc>
        <w:tc>
          <w:tcPr>
            <w:tcW w:w="3071"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rPr>
            </w:pPr>
            <w:r w:rsidRPr="00EE0C8C">
              <w:rPr>
                <w:rFonts w:ascii="Calibri" w:eastAsia="Calibri" w:hAnsi="Calibri" w:cs="Times New Roman"/>
                <w:b/>
              </w:rPr>
              <w:t>523</w:t>
            </w:r>
          </w:p>
        </w:tc>
      </w:tr>
    </w:tbl>
    <w:p w:rsidR="00EE0C8C" w:rsidRPr="00EE0C8C" w:rsidRDefault="00EE0C8C" w:rsidP="00EE0C8C">
      <w:pPr>
        <w:spacing w:after="0"/>
        <w:jc w:val="center"/>
        <w:rPr>
          <w:rFonts w:ascii="Calibri" w:eastAsia="Calibri" w:hAnsi="Calibri" w:cs="Times New Roman"/>
          <w:i/>
          <w:lang w:eastAsia="pl-PL"/>
        </w:rPr>
      </w:pPr>
      <w:r w:rsidRPr="00EE0C8C">
        <w:rPr>
          <w:rFonts w:ascii="Calibri" w:eastAsia="Calibri" w:hAnsi="Calibri" w:cs="Times New Roman"/>
          <w:i/>
          <w:lang w:eastAsia="pl-PL"/>
        </w:rPr>
        <w:t>(Źródło: Dane z Komendy Powiatowej Policji w Starachowicach)</w:t>
      </w:r>
    </w:p>
    <w:p w:rsidR="00EE0C8C" w:rsidRPr="00EE0C8C" w:rsidRDefault="00EE0C8C" w:rsidP="00EE0C8C">
      <w:pPr>
        <w:spacing w:after="0"/>
        <w:jc w:val="both"/>
        <w:rPr>
          <w:rFonts w:ascii="Calibri" w:eastAsia="Calibri" w:hAnsi="Calibri" w:cs="Times New Roman"/>
          <w:lang w:eastAsia="pl-PL"/>
        </w:rPr>
      </w:pPr>
    </w:p>
    <w:p w:rsidR="00EE0C8C" w:rsidRPr="00EE0C8C" w:rsidRDefault="00EE0C8C" w:rsidP="00EE0C8C">
      <w:pPr>
        <w:spacing w:after="0"/>
        <w:jc w:val="both"/>
        <w:rPr>
          <w:rFonts w:ascii="Calibri" w:eastAsia="Calibri" w:hAnsi="Calibri" w:cs="Times New Roman"/>
          <w:lang w:eastAsia="pl-PL"/>
        </w:rPr>
      </w:pPr>
      <w:r w:rsidRPr="00EE0C8C">
        <w:rPr>
          <w:rFonts w:ascii="Calibri" w:eastAsia="Calibri" w:hAnsi="Calibri" w:cs="Times New Roman"/>
          <w:lang w:eastAsia="pl-PL"/>
        </w:rPr>
        <w:t>Statystyki dotyczące bezpieczeństwa w ruchu drogowym na terenie Gminy Mirzec przedstawia poniższa tabela:</w:t>
      </w:r>
    </w:p>
    <w:tbl>
      <w:tblPr>
        <w:tblStyle w:val="Kolorowasiatkaakcent51"/>
        <w:tblW w:w="0" w:type="auto"/>
        <w:tblLook w:val="04A0" w:firstRow="1" w:lastRow="0" w:firstColumn="1" w:lastColumn="0" w:noHBand="0" w:noVBand="1"/>
      </w:tblPr>
      <w:tblGrid>
        <w:gridCol w:w="3070"/>
        <w:gridCol w:w="3071"/>
        <w:gridCol w:w="3071"/>
      </w:tblGrid>
      <w:tr w:rsidR="00EE0C8C" w:rsidRPr="00EE0C8C" w:rsidTr="00A76B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EE0C8C" w:rsidRPr="00EE0C8C" w:rsidRDefault="00EE0C8C" w:rsidP="00EE0C8C">
            <w:pPr>
              <w:jc w:val="both"/>
              <w:rPr>
                <w:rFonts w:ascii="Calibri" w:eastAsia="Calibri" w:hAnsi="Calibri" w:cs="Times New Roman"/>
                <w:lang w:eastAsia="pl-PL"/>
              </w:rPr>
            </w:pPr>
          </w:p>
        </w:tc>
        <w:tc>
          <w:tcPr>
            <w:tcW w:w="3071" w:type="dxa"/>
          </w:tcPr>
          <w:p w:rsidR="00EE0C8C" w:rsidRPr="00EE0C8C" w:rsidRDefault="00EE0C8C" w:rsidP="00EE0C8C">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lang w:eastAsia="pl-PL"/>
              </w:rPr>
            </w:pPr>
            <w:r w:rsidRPr="00EE0C8C">
              <w:rPr>
                <w:rFonts w:ascii="Calibri" w:eastAsia="Calibri" w:hAnsi="Calibri" w:cs="Times New Roman"/>
              </w:rPr>
              <w:t>2013</w:t>
            </w:r>
          </w:p>
        </w:tc>
        <w:tc>
          <w:tcPr>
            <w:tcW w:w="3071" w:type="dxa"/>
          </w:tcPr>
          <w:p w:rsidR="00EE0C8C" w:rsidRPr="00EE0C8C" w:rsidRDefault="00EE0C8C" w:rsidP="00EE0C8C">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lang w:eastAsia="pl-PL"/>
              </w:rPr>
            </w:pPr>
            <w:r w:rsidRPr="00EE0C8C">
              <w:rPr>
                <w:rFonts w:ascii="Calibri" w:eastAsia="Calibri" w:hAnsi="Calibri" w:cs="Times New Roman"/>
              </w:rPr>
              <w:t>2014</w:t>
            </w:r>
          </w:p>
        </w:tc>
      </w:tr>
      <w:tr w:rsidR="00EE0C8C" w:rsidRPr="00EE0C8C" w:rsidTr="00A76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EE0C8C" w:rsidRPr="00EE0C8C" w:rsidRDefault="00EE0C8C" w:rsidP="00EE0C8C">
            <w:pPr>
              <w:jc w:val="both"/>
              <w:rPr>
                <w:rFonts w:ascii="Calibri" w:eastAsia="Calibri" w:hAnsi="Calibri" w:cs="Times New Roman"/>
                <w:lang w:eastAsia="pl-PL"/>
              </w:rPr>
            </w:pPr>
            <w:r w:rsidRPr="00EE0C8C">
              <w:rPr>
                <w:rFonts w:ascii="Calibri" w:eastAsia="Calibri" w:hAnsi="Calibri" w:cs="Times New Roman"/>
              </w:rPr>
              <w:t>Wypadki</w:t>
            </w:r>
          </w:p>
        </w:tc>
        <w:tc>
          <w:tcPr>
            <w:tcW w:w="3071"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eastAsia="pl-PL"/>
              </w:rPr>
            </w:pPr>
            <w:r w:rsidRPr="00EE0C8C">
              <w:rPr>
                <w:rFonts w:ascii="Calibri" w:eastAsia="Calibri" w:hAnsi="Calibri" w:cs="Times New Roman"/>
              </w:rPr>
              <w:t>8</w:t>
            </w:r>
          </w:p>
        </w:tc>
        <w:tc>
          <w:tcPr>
            <w:tcW w:w="3071"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eastAsia="pl-PL"/>
              </w:rPr>
            </w:pPr>
            <w:r w:rsidRPr="00EE0C8C">
              <w:rPr>
                <w:rFonts w:ascii="Calibri" w:eastAsia="Calibri" w:hAnsi="Calibri" w:cs="Times New Roman"/>
              </w:rPr>
              <w:t>7</w:t>
            </w:r>
          </w:p>
        </w:tc>
      </w:tr>
      <w:tr w:rsidR="00EE0C8C" w:rsidRPr="00EE0C8C" w:rsidTr="00A76BDB">
        <w:tc>
          <w:tcPr>
            <w:cnfStyle w:val="001000000000" w:firstRow="0" w:lastRow="0" w:firstColumn="1" w:lastColumn="0" w:oddVBand="0" w:evenVBand="0" w:oddHBand="0" w:evenHBand="0" w:firstRowFirstColumn="0" w:firstRowLastColumn="0" w:lastRowFirstColumn="0" w:lastRowLastColumn="0"/>
            <w:tcW w:w="3070" w:type="dxa"/>
          </w:tcPr>
          <w:p w:rsidR="00EE0C8C" w:rsidRPr="00EE0C8C" w:rsidRDefault="00EE0C8C" w:rsidP="00EE0C8C">
            <w:pPr>
              <w:jc w:val="both"/>
              <w:rPr>
                <w:rFonts w:ascii="Calibri" w:eastAsia="Calibri" w:hAnsi="Calibri" w:cs="Times New Roman"/>
                <w:lang w:eastAsia="pl-PL"/>
              </w:rPr>
            </w:pPr>
            <w:r w:rsidRPr="00EE0C8C">
              <w:rPr>
                <w:rFonts w:ascii="Calibri" w:eastAsia="Calibri" w:hAnsi="Calibri" w:cs="Times New Roman"/>
              </w:rPr>
              <w:t>Kolizje</w:t>
            </w:r>
          </w:p>
        </w:tc>
        <w:tc>
          <w:tcPr>
            <w:tcW w:w="3071" w:type="dxa"/>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eastAsia="pl-PL"/>
              </w:rPr>
            </w:pPr>
            <w:r w:rsidRPr="00EE0C8C">
              <w:rPr>
                <w:rFonts w:ascii="Calibri" w:eastAsia="Calibri" w:hAnsi="Calibri" w:cs="Times New Roman"/>
              </w:rPr>
              <w:t>46</w:t>
            </w:r>
          </w:p>
        </w:tc>
        <w:tc>
          <w:tcPr>
            <w:tcW w:w="3071" w:type="dxa"/>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eastAsia="pl-PL"/>
              </w:rPr>
            </w:pPr>
            <w:r w:rsidRPr="00EE0C8C">
              <w:rPr>
                <w:rFonts w:ascii="Calibri" w:eastAsia="Calibri" w:hAnsi="Calibri" w:cs="Times New Roman"/>
              </w:rPr>
              <w:t>49</w:t>
            </w:r>
          </w:p>
        </w:tc>
      </w:tr>
      <w:tr w:rsidR="00EE0C8C" w:rsidRPr="00EE0C8C" w:rsidTr="00A76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EE0C8C" w:rsidRPr="00EE0C8C" w:rsidRDefault="00EE0C8C" w:rsidP="00EE0C8C">
            <w:pPr>
              <w:jc w:val="both"/>
              <w:rPr>
                <w:rFonts w:ascii="Calibri" w:eastAsia="Calibri" w:hAnsi="Calibri" w:cs="Times New Roman"/>
                <w:lang w:eastAsia="pl-PL"/>
              </w:rPr>
            </w:pPr>
            <w:r w:rsidRPr="00EE0C8C">
              <w:rPr>
                <w:rFonts w:ascii="Calibri" w:eastAsia="Calibri" w:hAnsi="Calibri" w:cs="Times New Roman"/>
              </w:rPr>
              <w:t>Zabici</w:t>
            </w:r>
          </w:p>
        </w:tc>
        <w:tc>
          <w:tcPr>
            <w:tcW w:w="3071"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eastAsia="pl-PL"/>
              </w:rPr>
            </w:pPr>
            <w:r w:rsidRPr="00EE0C8C">
              <w:rPr>
                <w:rFonts w:ascii="Calibri" w:eastAsia="Calibri" w:hAnsi="Calibri" w:cs="Times New Roman"/>
              </w:rPr>
              <w:t>1</w:t>
            </w:r>
          </w:p>
        </w:tc>
        <w:tc>
          <w:tcPr>
            <w:tcW w:w="3071"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eastAsia="pl-PL"/>
              </w:rPr>
            </w:pPr>
            <w:r w:rsidRPr="00EE0C8C">
              <w:rPr>
                <w:rFonts w:ascii="Calibri" w:eastAsia="Calibri" w:hAnsi="Calibri" w:cs="Times New Roman"/>
              </w:rPr>
              <w:t>0</w:t>
            </w:r>
          </w:p>
        </w:tc>
      </w:tr>
      <w:tr w:rsidR="00EE0C8C" w:rsidRPr="00EE0C8C" w:rsidTr="00A76BDB">
        <w:tc>
          <w:tcPr>
            <w:cnfStyle w:val="001000000000" w:firstRow="0" w:lastRow="0" w:firstColumn="1" w:lastColumn="0" w:oddVBand="0" w:evenVBand="0" w:oddHBand="0" w:evenHBand="0" w:firstRowFirstColumn="0" w:firstRowLastColumn="0" w:lastRowFirstColumn="0" w:lastRowLastColumn="0"/>
            <w:tcW w:w="3070" w:type="dxa"/>
          </w:tcPr>
          <w:p w:rsidR="00EE0C8C" w:rsidRPr="00EE0C8C" w:rsidRDefault="00EE0C8C" w:rsidP="00EE0C8C">
            <w:pPr>
              <w:jc w:val="both"/>
              <w:rPr>
                <w:rFonts w:ascii="Calibri" w:eastAsia="Calibri" w:hAnsi="Calibri" w:cs="Times New Roman"/>
                <w:lang w:eastAsia="pl-PL"/>
              </w:rPr>
            </w:pPr>
            <w:r w:rsidRPr="00EE0C8C">
              <w:rPr>
                <w:rFonts w:ascii="Calibri" w:eastAsia="Calibri" w:hAnsi="Calibri" w:cs="Times New Roman"/>
              </w:rPr>
              <w:t>Ranni</w:t>
            </w:r>
          </w:p>
        </w:tc>
        <w:tc>
          <w:tcPr>
            <w:tcW w:w="3071" w:type="dxa"/>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eastAsia="pl-PL"/>
              </w:rPr>
            </w:pPr>
            <w:r w:rsidRPr="00EE0C8C">
              <w:rPr>
                <w:rFonts w:ascii="Calibri" w:eastAsia="Calibri" w:hAnsi="Calibri" w:cs="Times New Roman"/>
              </w:rPr>
              <w:t>7</w:t>
            </w:r>
          </w:p>
        </w:tc>
        <w:tc>
          <w:tcPr>
            <w:tcW w:w="3071" w:type="dxa"/>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eastAsia="pl-PL"/>
              </w:rPr>
            </w:pPr>
            <w:r w:rsidRPr="00EE0C8C">
              <w:rPr>
                <w:rFonts w:ascii="Calibri" w:eastAsia="Calibri" w:hAnsi="Calibri" w:cs="Times New Roman"/>
              </w:rPr>
              <w:t>7</w:t>
            </w:r>
          </w:p>
        </w:tc>
      </w:tr>
      <w:tr w:rsidR="00EE0C8C" w:rsidRPr="00EE0C8C" w:rsidTr="00A76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EE0C8C" w:rsidRPr="00EE0C8C" w:rsidRDefault="00EE0C8C" w:rsidP="00EE0C8C">
            <w:pPr>
              <w:jc w:val="both"/>
              <w:rPr>
                <w:rFonts w:ascii="Calibri" w:eastAsia="Calibri" w:hAnsi="Calibri" w:cs="Times New Roman"/>
                <w:lang w:eastAsia="pl-PL"/>
              </w:rPr>
            </w:pPr>
            <w:r w:rsidRPr="00EE0C8C">
              <w:rPr>
                <w:rFonts w:ascii="Calibri" w:eastAsia="Calibri" w:hAnsi="Calibri" w:cs="Times New Roman"/>
              </w:rPr>
              <w:t>Ogółem zdarzeń</w:t>
            </w:r>
          </w:p>
        </w:tc>
        <w:tc>
          <w:tcPr>
            <w:tcW w:w="3071"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lang w:eastAsia="pl-PL"/>
              </w:rPr>
            </w:pPr>
            <w:r w:rsidRPr="00EE0C8C">
              <w:rPr>
                <w:rFonts w:ascii="Calibri" w:eastAsia="Calibri" w:hAnsi="Calibri" w:cs="Times New Roman"/>
                <w:b/>
              </w:rPr>
              <w:t>62</w:t>
            </w:r>
          </w:p>
        </w:tc>
        <w:tc>
          <w:tcPr>
            <w:tcW w:w="3071"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lang w:eastAsia="pl-PL"/>
              </w:rPr>
            </w:pPr>
            <w:r w:rsidRPr="00EE0C8C">
              <w:rPr>
                <w:rFonts w:ascii="Calibri" w:eastAsia="Calibri" w:hAnsi="Calibri" w:cs="Times New Roman"/>
                <w:b/>
              </w:rPr>
              <w:t>63</w:t>
            </w:r>
          </w:p>
        </w:tc>
      </w:tr>
    </w:tbl>
    <w:p w:rsidR="00EE0C8C" w:rsidRPr="00EE0C8C" w:rsidRDefault="00EE0C8C" w:rsidP="00EE0C8C">
      <w:pPr>
        <w:spacing w:after="0"/>
        <w:jc w:val="center"/>
        <w:rPr>
          <w:rFonts w:ascii="Calibri" w:eastAsia="Calibri" w:hAnsi="Calibri" w:cs="Times New Roman"/>
          <w:i/>
          <w:lang w:eastAsia="pl-PL"/>
        </w:rPr>
      </w:pPr>
      <w:r w:rsidRPr="00EE0C8C">
        <w:rPr>
          <w:rFonts w:ascii="Calibri" w:eastAsia="Calibri" w:hAnsi="Calibri" w:cs="Times New Roman"/>
          <w:i/>
          <w:lang w:eastAsia="pl-PL"/>
        </w:rPr>
        <w:t>(Źródło: Dane z Komendy Powiatowej Policji w Starachowicach)</w:t>
      </w:r>
    </w:p>
    <w:p w:rsidR="00EE0C8C" w:rsidRPr="00EE0C8C" w:rsidRDefault="00EE0C8C" w:rsidP="00EE0C8C">
      <w:pPr>
        <w:spacing w:after="0"/>
        <w:jc w:val="center"/>
        <w:rPr>
          <w:rFonts w:ascii="Calibri" w:eastAsia="Calibri" w:hAnsi="Calibri" w:cs="Times New Roman"/>
          <w:i/>
          <w:lang w:eastAsia="pl-PL"/>
        </w:rPr>
      </w:pPr>
    </w:p>
    <w:p w:rsidR="00EE0C8C" w:rsidRPr="00EE0C8C" w:rsidRDefault="00EE0C8C" w:rsidP="00EE0C8C">
      <w:pPr>
        <w:spacing w:after="0"/>
        <w:jc w:val="both"/>
        <w:rPr>
          <w:rFonts w:ascii="Calibri" w:eastAsia="Calibri" w:hAnsi="Calibri" w:cs="Times New Roman"/>
          <w:lang w:eastAsia="pl-PL"/>
        </w:rPr>
      </w:pPr>
      <w:r w:rsidRPr="00EE0C8C">
        <w:rPr>
          <w:rFonts w:ascii="Calibri" w:eastAsia="Calibri" w:hAnsi="Calibri" w:cs="Times New Roman"/>
          <w:lang w:eastAsia="pl-PL"/>
        </w:rPr>
        <w:t xml:space="preserve">W 2013 roku zarejestrowano 40 (36 Policja, 4 GOPS) Niebieskich Kart w związku z przemocą stosowaną wśród rodzin na terenie Gminy Mirzec, a w roku 2014 było ich 28 (tylko Policja). </w:t>
      </w:r>
    </w:p>
    <w:p w:rsidR="00EE0C8C" w:rsidRPr="00EE0C8C" w:rsidRDefault="00EE0C8C" w:rsidP="00EE0C8C">
      <w:pPr>
        <w:spacing w:after="0"/>
        <w:jc w:val="both"/>
        <w:rPr>
          <w:rFonts w:ascii="Calibri" w:eastAsia="Calibri" w:hAnsi="Calibri" w:cs="Times New Roman"/>
          <w:lang w:eastAsia="pl-PL"/>
        </w:rPr>
      </w:pPr>
    </w:p>
    <w:p w:rsidR="00EE0C8C" w:rsidRPr="00EE0C8C" w:rsidRDefault="00EE0C8C" w:rsidP="00EE0C8C">
      <w:pPr>
        <w:spacing w:after="0"/>
        <w:jc w:val="both"/>
        <w:rPr>
          <w:rFonts w:ascii="Calibri" w:eastAsia="Calibri" w:hAnsi="Calibri" w:cs="Times New Roman"/>
          <w:lang w:eastAsia="pl-PL"/>
        </w:rPr>
      </w:pPr>
      <w:r w:rsidRPr="00EE0C8C">
        <w:rPr>
          <w:rFonts w:ascii="Calibri" w:eastAsia="Calibri" w:hAnsi="Calibri" w:cs="Times New Roman"/>
          <w:lang w:eastAsia="pl-PL"/>
        </w:rPr>
        <w:t>Gmina Mirzec nie posiada stałego Komisariatu Policji. Przy Urzędzie Gminy działa Policyjny Punkt przyjęć Interesantów w Mircu, czynny dwa razy w tygodniu. W roku 2014 w Punkcie tym zostało przyjętych 78 osób.</w:t>
      </w:r>
    </w:p>
    <w:p w:rsidR="00EE0C8C" w:rsidRPr="00EE0C8C" w:rsidRDefault="00EE0C8C" w:rsidP="00EE0C8C">
      <w:pPr>
        <w:spacing w:after="0"/>
        <w:ind w:firstLine="1134"/>
        <w:jc w:val="both"/>
        <w:rPr>
          <w:rFonts w:ascii="Calibri" w:eastAsia="Calibri" w:hAnsi="Calibri" w:cs="Times New Roman"/>
          <w:lang w:eastAsia="pl-PL"/>
        </w:rPr>
      </w:pPr>
    </w:p>
    <w:p w:rsidR="00EE0C8C" w:rsidRPr="00EE0C8C" w:rsidRDefault="00EE0C8C" w:rsidP="00EE0C8C">
      <w:pPr>
        <w:keepNext/>
        <w:keepLines/>
        <w:spacing w:before="200" w:after="0"/>
        <w:outlineLvl w:val="3"/>
        <w:rPr>
          <w:rFonts w:ascii="Cambria" w:eastAsia="Calibri" w:hAnsi="Cambria" w:cs="Times New Roman"/>
          <w:b/>
          <w:bCs/>
          <w:i/>
          <w:iCs/>
          <w:color w:val="4F81BD"/>
          <w:lang w:eastAsia="pl-PL"/>
        </w:rPr>
      </w:pPr>
      <w:r w:rsidRPr="00EE0C8C">
        <w:rPr>
          <w:rFonts w:ascii="Cambria" w:eastAsia="Calibri" w:hAnsi="Cambria" w:cs="Times New Roman"/>
          <w:b/>
          <w:bCs/>
          <w:i/>
          <w:iCs/>
          <w:color w:val="4F81BD"/>
          <w:lang w:eastAsia="pl-PL"/>
        </w:rPr>
        <w:t>STRAŻ POŻARNA</w:t>
      </w:r>
    </w:p>
    <w:p w:rsidR="00EE0C8C" w:rsidRPr="00EE0C8C" w:rsidRDefault="00EE0C8C" w:rsidP="000D717F">
      <w:pPr>
        <w:jc w:val="both"/>
        <w:rPr>
          <w:rFonts w:ascii="Calibri" w:eastAsia="Times New Roman" w:hAnsi="Calibri" w:cs="Times New Roman"/>
          <w:lang w:eastAsia="pl-PL"/>
        </w:rPr>
      </w:pPr>
      <w:r w:rsidRPr="00EE0C8C">
        <w:rPr>
          <w:rFonts w:ascii="Calibri" w:eastAsia="Times New Roman" w:hAnsi="Calibri" w:cs="Times New Roman"/>
          <w:lang w:eastAsia="pl-PL"/>
        </w:rPr>
        <w:t>W Gminie Mirzec funkcjonuje 8 Jednostek OSP, w tym 5 jednostek wchodzi w skład Krajowego Systemu Ratowniczo-Gaśniczego (OSP Gadka, Mirzec, Osiny, Ostrożanka i Tychów Stary), a pozostałe 3 jednostki (OSP Jagodne, Trębowiec, Tychów Nowy) wykonują zadania tylko na rzecz gminy.</w:t>
      </w:r>
    </w:p>
    <w:p w:rsidR="00EE0C8C" w:rsidRPr="00EE0C8C" w:rsidRDefault="00EE0C8C" w:rsidP="00EE0C8C">
      <w:pPr>
        <w:jc w:val="both"/>
        <w:rPr>
          <w:rFonts w:ascii="Calibri" w:eastAsia="Times New Roman" w:hAnsi="Calibri" w:cs="Times New Roman"/>
          <w:lang w:eastAsia="pl-PL"/>
        </w:rPr>
      </w:pPr>
      <w:r w:rsidRPr="00EE0C8C">
        <w:rPr>
          <w:rFonts w:ascii="Calibri" w:eastAsia="Times New Roman" w:hAnsi="Calibri" w:cs="Times New Roman"/>
          <w:lang w:eastAsia="pl-PL"/>
        </w:rPr>
        <w:t>Zestawienie wyjazdów Jednostek OSP w latach 2013-2014 przedstawia się następująco:</w:t>
      </w:r>
    </w:p>
    <w:tbl>
      <w:tblPr>
        <w:tblStyle w:val="redniecieniowanie2akcent51"/>
        <w:tblW w:w="0" w:type="auto"/>
        <w:tblLook w:val="04A0" w:firstRow="1" w:lastRow="0" w:firstColumn="1" w:lastColumn="0" w:noHBand="0" w:noVBand="1"/>
      </w:tblPr>
      <w:tblGrid>
        <w:gridCol w:w="3056"/>
        <w:gridCol w:w="3056"/>
        <w:gridCol w:w="3056"/>
      </w:tblGrid>
      <w:tr w:rsidR="00EE0C8C" w:rsidRPr="00EE0C8C" w:rsidTr="00A76BDB">
        <w:trPr>
          <w:cnfStyle w:val="100000000000" w:firstRow="1" w:lastRow="0" w:firstColumn="0" w:lastColumn="0" w:oddVBand="0" w:evenVBand="0" w:oddHBand="0" w:evenHBand="0" w:firstRowFirstColumn="0" w:firstRowLastColumn="0" w:lastRowFirstColumn="0" w:lastRowLastColumn="0"/>
          <w:trHeight w:val="441"/>
        </w:trPr>
        <w:tc>
          <w:tcPr>
            <w:cnfStyle w:val="001000000100" w:firstRow="0" w:lastRow="0" w:firstColumn="1" w:lastColumn="0" w:oddVBand="0" w:evenVBand="0" w:oddHBand="0" w:evenHBand="0" w:firstRowFirstColumn="1" w:firstRowLastColumn="0" w:lastRowFirstColumn="0" w:lastRowLastColumn="0"/>
            <w:tcW w:w="3056" w:type="dxa"/>
            <w:vMerge w:val="restart"/>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lastRenderedPageBreak/>
              <w:t>Jednostka OSP</w:t>
            </w:r>
          </w:p>
        </w:tc>
        <w:tc>
          <w:tcPr>
            <w:tcW w:w="6112" w:type="dxa"/>
            <w:gridSpan w:val="2"/>
          </w:tcPr>
          <w:p w:rsidR="00EE0C8C" w:rsidRPr="00EE0C8C" w:rsidRDefault="00EE0C8C" w:rsidP="00EE0C8C">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Ilość zdarzeń</w:t>
            </w:r>
          </w:p>
        </w:tc>
      </w:tr>
      <w:tr w:rsidR="00EE0C8C" w:rsidRPr="00EE0C8C" w:rsidTr="00A76BDB">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3056" w:type="dxa"/>
            <w:vMerge/>
          </w:tcPr>
          <w:p w:rsidR="00EE0C8C" w:rsidRPr="00EE0C8C" w:rsidRDefault="00EE0C8C" w:rsidP="00EE0C8C">
            <w:pPr>
              <w:jc w:val="both"/>
              <w:rPr>
                <w:rFonts w:ascii="Calibri" w:eastAsia="Calibri" w:hAnsi="Calibri" w:cs="Times New Roman"/>
              </w:rPr>
            </w:pPr>
          </w:p>
        </w:tc>
        <w:tc>
          <w:tcPr>
            <w:tcW w:w="3056"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rPr>
            </w:pPr>
            <w:r w:rsidRPr="00EE0C8C">
              <w:rPr>
                <w:rFonts w:ascii="Calibri" w:eastAsia="Calibri" w:hAnsi="Calibri" w:cs="Times New Roman"/>
                <w:b/>
              </w:rPr>
              <w:t>2013</w:t>
            </w:r>
          </w:p>
        </w:tc>
        <w:tc>
          <w:tcPr>
            <w:tcW w:w="3056"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rPr>
            </w:pPr>
            <w:r w:rsidRPr="00EE0C8C">
              <w:rPr>
                <w:rFonts w:ascii="Calibri" w:eastAsia="Calibri" w:hAnsi="Calibri" w:cs="Times New Roman"/>
                <w:b/>
              </w:rPr>
              <w:t>2014</w:t>
            </w:r>
          </w:p>
        </w:tc>
      </w:tr>
      <w:tr w:rsidR="00EE0C8C" w:rsidRPr="00EE0C8C" w:rsidTr="00A76BDB">
        <w:trPr>
          <w:trHeight w:val="467"/>
        </w:trPr>
        <w:tc>
          <w:tcPr>
            <w:cnfStyle w:val="001000000000" w:firstRow="0" w:lastRow="0" w:firstColumn="1" w:lastColumn="0" w:oddVBand="0" w:evenVBand="0" w:oddHBand="0" w:evenHBand="0" w:firstRowFirstColumn="0" w:firstRowLastColumn="0" w:lastRowFirstColumn="0" w:lastRowLastColumn="0"/>
            <w:tcW w:w="3056" w:type="dxa"/>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OSP Gadka</w:t>
            </w:r>
          </w:p>
        </w:tc>
        <w:tc>
          <w:tcPr>
            <w:tcW w:w="3056" w:type="dxa"/>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16</w:t>
            </w:r>
          </w:p>
        </w:tc>
        <w:tc>
          <w:tcPr>
            <w:tcW w:w="3056" w:type="dxa"/>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23</w:t>
            </w:r>
          </w:p>
        </w:tc>
      </w:tr>
      <w:tr w:rsidR="00EE0C8C" w:rsidRPr="00EE0C8C" w:rsidTr="00A76BDB">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056" w:type="dxa"/>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OSP Jagodne</w:t>
            </w:r>
          </w:p>
        </w:tc>
        <w:tc>
          <w:tcPr>
            <w:tcW w:w="3056"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1</w:t>
            </w:r>
          </w:p>
        </w:tc>
        <w:tc>
          <w:tcPr>
            <w:tcW w:w="3056"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9</w:t>
            </w:r>
          </w:p>
        </w:tc>
      </w:tr>
      <w:tr w:rsidR="00EE0C8C" w:rsidRPr="00EE0C8C" w:rsidTr="00A76BDB">
        <w:trPr>
          <w:trHeight w:val="467"/>
        </w:trPr>
        <w:tc>
          <w:tcPr>
            <w:cnfStyle w:val="001000000000" w:firstRow="0" w:lastRow="0" w:firstColumn="1" w:lastColumn="0" w:oddVBand="0" w:evenVBand="0" w:oddHBand="0" w:evenHBand="0" w:firstRowFirstColumn="0" w:firstRowLastColumn="0" w:lastRowFirstColumn="0" w:lastRowLastColumn="0"/>
            <w:tcW w:w="3056" w:type="dxa"/>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OSP Mirzec</w:t>
            </w:r>
          </w:p>
        </w:tc>
        <w:tc>
          <w:tcPr>
            <w:tcW w:w="3056" w:type="dxa"/>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17</w:t>
            </w:r>
          </w:p>
        </w:tc>
        <w:tc>
          <w:tcPr>
            <w:tcW w:w="3056" w:type="dxa"/>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31</w:t>
            </w:r>
          </w:p>
        </w:tc>
      </w:tr>
      <w:tr w:rsidR="00EE0C8C" w:rsidRPr="00EE0C8C" w:rsidTr="00A76BDB">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3056" w:type="dxa"/>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OSP Osiny</w:t>
            </w:r>
          </w:p>
        </w:tc>
        <w:tc>
          <w:tcPr>
            <w:tcW w:w="3056"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18</w:t>
            </w:r>
          </w:p>
        </w:tc>
        <w:tc>
          <w:tcPr>
            <w:tcW w:w="3056"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17</w:t>
            </w:r>
          </w:p>
        </w:tc>
      </w:tr>
      <w:tr w:rsidR="00EE0C8C" w:rsidRPr="00EE0C8C" w:rsidTr="00A76BDB">
        <w:trPr>
          <w:trHeight w:val="467"/>
        </w:trPr>
        <w:tc>
          <w:tcPr>
            <w:cnfStyle w:val="001000000000" w:firstRow="0" w:lastRow="0" w:firstColumn="1" w:lastColumn="0" w:oddVBand="0" w:evenVBand="0" w:oddHBand="0" w:evenHBand="0" w:firstRowFirstColumn="0" w:firstRowLastColumn="0" w:lastRowFirstColumn="0" w:lastRowLastColumn="0"/>
            <w:tcW w:w="3056" w:type="dxa"/>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OSP Ostrożanka</w:t>
            </w:r>
          </w:p>
        </w:tc>
        <w:tc>
          <w:tcPr>
            <w:tcW w:w="3056" w:type="dxa"/>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9</w:t>
            </w:r>
          </w:p>
        </w:tc>
        <w:tc>
          <w:tcPr>
            <w:tcW w:w="3056" w:type="dxa"/>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10</w:t>
            </w:r>
          </w:p>
        </w:tc>
      </w:tr>
      <w:tr w:rsidR="00EE0C8C" w:rsidRPr="00EE0C8C" w:rsidTr="00A76BDB">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3056" w:type="dxa"/>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OSP Trębowiec</w:t>
            </w:r>
          </w:p>
        </w:tc>
        <w:tc>
          <w:tcPr>
            <w:tcW w:w="3056"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11</w:t>
            </w:r>
          </w:p>
        </w:tc>
        <w:tc>
          <w:tcPr>
            <w:tcW w:w="3056"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4</w:t>
            </w:r>
          </w:p>
        </w:tc>
      </w:tr>
      <w:tr w:rsidR="00EE0C8C" w:rsidRPr="00EE0C8C" w:rsidTr="00A76BDB">
        <w:trPr>
          <w:trHeight w:val="467"/>
        </w:trPr>
        <w:tc>
          <w:tcPr>
            <w:cnfStyle w:val="001000000000" w:firstRow="0" w:lastRow="0" w:firstColumn="1" w:lastColumn="0" w:oddVBand="0" w:evenVBand="0" w:oddHBand="0" w:evenHBand="0" w:firstRowFirstColumn="0" w:firstRowLastColumn="0" w:lastRowFirstColumn="0" w:lastRowLastColumn="0"/>
            <w:tcW w:w="3056" w:type="dxa"/>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OSP Tychów Nowy</w:t>
            </w:r>
          </w:p>
        </w:tc>
        <w:tc>
          <w:tcPr>
            <w:tcW w:w="3056" w:type="dxa"/>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0</w:t>
            </w:r>
          </w:p>
        </w:tc>
        <w:tc>
          <w:tcPr>
            <w:tcW w:w="3056" w:type="dxa"/>
          </w:tcPr>
          <w:p w:rsidR="00EE0C8C" w:rsidRPr="00EE0C8C" w:rsidRDefault="00EE0C8C" w:rsidP="00EE0C8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2</w:t>
            </w:r>
          </w:p>
        </w:tc>
      </w:tr>
      <w:tr w:rsidR="00EE0C8C" w:rsidRPr="00EE0C8C" w:rsidTr="00A76BDB">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3056" w:type="dxa"/>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OSP Tychów Stary</w:t>
            </w:r>
          </w:p>
        </w:tc>
        <w:tc>
          <w:tcPr>
            <w:tcW w:w="3056"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13</w:t>
            </w:r>
          </w:p>
        </w:tc>
        <w:tc>
          <w:tcPr>
            <w:tcW w:w="3056" w:type="dxa"/>
          </w:tcPr>
          <w:p w:rsidR="00EE0C8C" w:rsidRPr="00EE0C8C" w:rsidRDefault="00EE0C8C" w:rsidP="00EE0C8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E0C8C">
              <w:rPr>
                <w:rFonts w:ascii="Calibri" w:eastAsia="Calibri" w:hAnsi="Calibri" w:cs="Times New Roman"/>
              </w:rPr>
              <w:t>9</w:t>
            </w:r>
          </w:p>
        </w:tc>
      </w:tr>
      <w:tr w:rsidR="00EE0C8C" w:rsidRPr="00EE0C8C" w:rsidTr="00A76BDB">
        <w:trPr>
          <w:trHeight w:val="467"/>
        </w:trPr>
        <w:tc>
          <w:tcPr>
            <w:cnfStyle w:val="001000000000" w:firstRow="0" w:lastRow="0" w:firstColumn="1" w:lastColumn="0" w:oddVBand="0" w:evenVBand="0" w:oddHBand="0" w:evenHBand="0" w:firstRowFirstColumn="0" w:firstRowLastColumn="0" w:lastRowFirstColumn="0" w:lastRowLastColumn="0"/>
            <w:tcW w:w="3056" w:type="dxa"/>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RAZEM</w:t>
            </w:r>
          </w:p>
        </w:tc>
        <w:tc>
          <w:tcPr>
            <w:tcW w:w="3056" w:type="dxa"/>
          </w:tcPr>
          <w:p w:rsidR="00EE0C8C" w:rsidRPr="00EE0C8C" w:rsidRDefault="00854CED" w:rsidP="00EE0C8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rPr>
            </w:pPr>
            <w:r>
              <w:rPr>
                <w:rFonts w:ascii="Calibri" w:eastAsia="Calibri" w:hAnsi="Calibri" w:cs="Times New Roman"/>
                <w:b/>
              </w:rPr>
              <w:t>85</w:t>
            </w:r>
          </w:p>
        </w:tc>
        <w:tc>
          <w:tcPr>
            <w:tcW w:w="3056" w:type="dxa"/>
          </w:tcPr>
          <w:p w:rsidR="00EE0C8C" w:rsidRPr="00EE0C8C" w:rsidRDefault="00854CED" w:rsidP="00EE0C8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rPr>
            </w:pPr>
            <w:r>
              <w:rPr>
                <w:rFonts w:ascii="Calibri" w:eastAsia="Calibri" w:hAnsi="Calibri" w:cs="Times New Roman"/>
                <w:b/>
              </w:rPr>
              <w:t>105</w:t>
            </w:r>
          </w:p>
        </w:tc>
      </w:tr>
    </w:tbl>
    <w:p w:rsidR="00EE0C8C" w:rsidRPr="00EE0C8C" w:rsidRDefault="00EE0C8C" w:rsidP="00EE0C8C">
      <w:pPr>
        <w:ind w:firstLine="1134"/>
        <w:jc w:val="center"/>
        <w:rPr>
          <w:rFonts w:ascii="Calibri" w:eastAsia="Times New Roman" w:hAnsi="Calibri" w:cs="Times New Roman"/>
          <w:i/>
          <w:lang w:eastAsia="pl-PL"/>
        </w:rPr>
      </w:pPr>
      <w:r w:rsidRPr="00EE0C8C">
        <w:rPr>
          <w:rFonts w:ascii="Calibri" w:eastAsia="Times New Roman" w:hAnsi="Calibri" w:cs="Times New Roman"/>
          <w:i/>
          <w:lang w:eastAsia="pl-PL"/>
        </w:rPr>
        <w:t>(Źródło: Dane po</w:t>
      </w:r>
      <w:bookmarkStart w:id="84" w:name="_Toc439077768"/>
      <w:r w:rsidRPr="00EE0C8C">
        <w:rPr>
          <w:rFonts w:ascii="Calibri" w:eastAsia="Times New Roman" w:hAnsi="Calibri" w:cs="Times New Roman"/>
          <w:i/>
          <w:lang w:eastAsia="pl-PL"/>
        </w:rPr>
        <w:t>zyskane z Urzędu Gminy w Mircu)</w:t>
      </w:r>
    </w:p>
    <w:p w:rsidR="00EE0C8C" w:rsidRPr="00EE0C8C" w:rsidRDefault="00EE0C8C" w:rsidP="00A76BDB">
      <w:pPr>
        <w:pStyle w:val="Nagwek2"/>
        <w:rPr>
          <w:lang w:eastAsia="pl-PL"/>
        </w:rPr>
      </w:pPr>
      <w:bookmarkStart w:id="85" w:name="_Toc450562496"/>
      <w:r w:rsidRPr="00EE0C8C">
        <w:rPr>
          <w:lang w:eastAsia="pl-PL"/>
        </w:rPr>
        <w:t>2.3.4. OCHRONA ZDROWIA I POMOC SPOŁECZNA</w:t>
      </w:r>
      <w:bookmarkEnd w:id="84"/>
      <w:bookmarkEnd w:id="85"/>
    </w:p>
    <w:p w:rsidR="00EE0C8C" w:rsidRPr="00EE0C8C" w:rsidRDefault="00EE0C8C" w:rsidP="00EE0C8C">
      <w:pPr>
        <w:keepNext/>
        <w:keepLines/>
        <w:spacing w:before="200" w:after="0"/>
        <w:outlineLvl w:val="3"/>
        <w:rPr>
          <w:rFonts w:ascii="Cambria" w:eastAsia="Times New Roman" w:hAnsi="Cambria" w:cs="Times New Roman"/>
          <w:b/>
          <w:bCs/>
          <w:i/>
          <w:iCs/>
          <w:color w:val="4F81BD"/>
          <w:lang w:eastAsia="pl-PL"/>
        </w:rPr>
      </w:pPr>
      <w:r w:rsidRPr="00EE0C8C">
        <w:rPr>
          <w:rFonts w:ascii="Cambria" w:eastAsia="Times New Roman" w:hAnsi="Cambria" w:cs="Times New Roman"/>
          <w:b/>
          <w:bCs/>
          <w:i/>
          <w:iCs/>
          <w:color w:val="4F81BD"/>
          <w:lang w:eastAsia="pl-PL"/>
        </w:rPr>
        <w:t xml:space="preserve">OCHRONA ZDROWIA </w:t>
      </w:r>
    </w:p>
    <w:p w:rsidR="00EE0C8C" w:rsidRPr="00EE0C8C" w:rsidRDefault="00EE0C8C" w:rsidP="00EE0C8C">
      <w:pPr>
        <w:spacing w:after="0"/>
        <w:rPr>
          <w:rFonts w:ascii="Calibri" w:eastAsia="Times New Roman" w:hAnsi="Calibri" w:cs="Times New Roman"/>
          <w:lang w:eastAsia="pl-PL"/>
        </w:rPr>
      </w:pPr>
    </w:p>
    <w:p w:rsidR="00EE0C8C" w:rsidRPr="00EE0C8C" w:rsidRDefault="00EE0C8C" w:rsidP="000D717F">
      <w:pPr>
        <w:jc w:val="both"/>
        <w:rPr>
          <w:rFonts w:ascii="Calibri" w:eastAsia="Times New Roman" w:hAnsi="Calibri" w:cs="Times New Roman"/>
          <w:lang w:eastAsia="pl-PL"/>
        </w:rPr>
      </w:pPr>
      <w:r w:rsidRPr="00EE0C8C">
        <w:rPr>
          <w:rFonts w:ascii="Calibri" w:eastAsia="Times New Roman" w:hAnsi="Calibri" w:cs="Times New Roman"/>
          <w:lang w:eastAsia="pl-PL"/>
        </w:rPr>
        <w:t>Samodzielny Zakład Opieki Zdrowotnej w Mircu swoją działalność prowadzi w dwóch ośrodkach zdrowia w Mircu i Jagodnem, od poniedziałku do piątku.</w:t>
      </w:r>
    </w:p>
    <w:p w:rsidR="00EE0C8C" w:rsidRPr="00EE0C8C" w:rsidRDefault="00EE0C8C" w:rsidP="00EE0C8C">
      <w:pPr>
        <w:rPr>
          <w:rFonts w:ascii="Calibri" w:eastAsia="Times New Roman" w:hAnsi="Calibri" w:cs="Times New Roman"/>
          <w:lang w:eastAsia="pl-PL"/>
        </w:rPr>
      </w:pPr>
      <w:r w:rsidRPr="00EE0C8C">
        <w:rPr>
          <w:rFonts w:ascii="Calibri" w:eastAsia="Times New Roman" w:hAnsi="Calibri" w:cs="Times New Roman"/>
          <w:lang w:eastAsia="pl-PL"/>
        </w:rPr>
        <w:t>Udziela świadczeń w następujących zakresach:</w:t>
      </w:r>
    </w:p>
    <w:p w:rsidR="00EE0C8C" w:rsidRPr="00EE0C8C" w:rsidRDefault="00EE0C8C" w:rsidP="00EE0C8C">
      <w:pPr>
        <w:spacing w:after="120"/>
        <w:ind w:firstLine="1134"/>
        <w:rPr>
          <w:rFonts w:ascii="Calibri" w:eastAsia="Times New Roman" w:hAnsi="Calibri" w:cs="Times New Roman"/>
          <w:lang w:eastAsia="pl-PL"/>
        </w:rPr>
      </w:pPr>
      <w:r w:rsidRPr="00EE0C8C">
        <w:rPr>
          <w:rFonts w:ascii="Calibri" w:eastAsia="Times New Roman" w:hAnsi="Calibri" w:cs="Times New Roman"/>
          <w:lang w:eastAsia="pl-PL"/>
        </w:rPr>
        <w:t>- podstawowa opieka zdrowotna (ambulatoryjna i domowa);</w:t>
      </w:r>
    </w:p>
    <w:p w:rsidR="00EE0C8C" w:rsidRPr="00EE0C8C" w:rsidRDefault="00EE0C8C" w:rsidP="00EE0C8C">
      <w:pPr>
        <w:spacing w:after="120"/>
        <w:ind w:firstLine="1134"/>
        <w:rPr>
          <w:rFonts w:ascii="Calibri" w:eastAsia="Times New Roman" w:hAnsi="Calibri" w:cs="Times New Roman"/>
          <w:lang w:eastAsia="pl-PL"/>
        </w:rPr>
      </w:pPr>
      <w:r w:rsidRPr="00EE0C8C">
        <w:rPr>
          <w:rFonts w:ascii="Calibri" w:eastAsia="Times New Roman" w:hAnsi="Calibri" w:cs="Times New Roman"/>
          <w:lang w:eastAsia="pl-PL"/>
        </w:rPr>
        <w:t>- stomatologia;</w:t>
      </w:r>
    </w:p>
    <w:p w:rsidR="00EE0C8C" w:rsidRPr="00EE0C8C" w:rsidRDefault="00EE0C8C" w:rsidP="00EE0C8C">
      <w:pPr>
        <w:spacing w:after="120"/>
        <w:ind w:firstLine="1134"/>
        <w:rPr>
          <w:rFonts w:ascii="Calibri" w:eastAsia="Times New Roman" w:hAnsi="Calibri" w:cs="Times New Roman"/>
          <w:lang w:eastAsia="pl-PL"/>
        </w:rPr>
      </w:pPr>
      <w:r w:rsidRPr="00EE0C8C">
        <w:rPr>
          <w:rFonts w:ascii="Calibri" w:eastAsia="Times New Roman" w:hAnsi="Calibri" w:cs="Times New Roman"/>
          <w:lang w:eastAsia="pl-PL"/>
        </w:rPr>
        <w:t>- specjalistyczna opieka zdrowotna w zakresie ginekologii.</w:t>
      </w:r>
    </w:p>
    <w:tbl>
      <w:tblPr>
        <w:tblW w:w="0" w:type="auto"/>
        <w:tblInd w:w="55" w:type="dxa"/>
        <w:tblCellMar>
          <w:left w:w="70" w:type="dxa"/>
          <w:right w:w="70" w:type="dxa"/>
        </w:tblCellMar>
        <w:tblLook w:val="04A0" w:firstRow="1" w:lastRow="0" w:firstColumn="1" w:lastColumn="0" w:noHBand="0" w:noVBand="1"/>
      </w:tblPr>
      <w:tblGrid>
        <w:gridCol w:w="4587"/>
        <w:gridCol w:w="1719"/>
        <w:gridCol w:w="697"/>
        <w:gridCol w:w="697"/>
        <w:gridCol w:w="697"/>
        <w:gridCol w:w="697"/>
      </w:tblGrid>
      <w:tr w:rsidR="00EE0C8C" w:rsidRPr="00EE0C8C" w:rsidTr="00A76BDB">
        <w:trPr>
          <w:trHeight w:val="255"/>
        </w:trPr>
        <w:tc>
          <w:tcPr>
            <w:tcW w:w="0" w:type="auto"/>
            <w:tcBorders>
              <w:top w:val="single" w:sz="4" w:space="0" w:color="000000"/>
              <w:left w:val="single" w:sz="4" w:space="0" w:color="000000"/>
              <w:bottom w:val="single" w:sz="4" w:space="0" w:color="000000"/>
              <w:right w:val="single" w:sz="4" w:space="0" w:color="000000"/>
            </w:tcBorders>
            <w:shd w:val="clear" w:color="000000" w:fill="008080"/>
            <w:noWrap/>
            <w:vAlign w:val="center"/>
            <w:hideMark/>
          </w:tcPr>
          <w:p w:rsidR="00EE0C8C" w:rsidRPr="00EE0C8C" w:rsidRDefault="00EE0C8C" w:rsidP="00EE0C8C">
            <w:pPr>
              <w:spacing w:after="0" w:line="240" w:lineRule="auto"/>
              <w:jc w:val="center"/>
              <w:rPr>
                <w:rFonts w:ascii="Arial" w:eastAsia="Times New Roman" w:hAnsi="Arial" w:cs="Arial"/>
                <w:b/>
                <w:bCs/>
                <w:color w:val="FFFFFF"/>
                <w:sz w:val="20"/>
                <w:szCs w:val="20"/>
                <w:lang w:eastAsia="pl-PL"/>
              </w:rPr>
            </w:pPr>
            <w:r w:rsidRPr="00EE0C8C">
              <w:rPr>
                <w:rFonts w:ascii="Arial" w:eastAsia="Times New Roman" w:hAnsi="Arial" w:cs="Arial"/>
                <w:b/>
                <w:bCs/>
                <w:color w:val="FFFFFF"/>
                <w:sz w:val="20"/>
                <w:szCs w:val="20"/>
                <w:lang w:eastAsia="pl-PL"/>
              </w:rPr>
              <w:t> </w:t>
            </w:r>
          </w:p>
        </w:tc>
        <w:tc>
          <w:tcPr>
            <w:tcW w:w="0" w:type="auto"/>
            <w:tcBorders>
              <w:top w:val="single" w:sz="4" w:space="0" w:color="000000"/>
              <w:left w:val="nil"/>
              <w:bottom w:val="single" w:sz="4" w:space="0" w:color="000000"/>
              <w:right w:val="single" w:sz="4" w:space="0" w:color="000000"/>
            </w:tcBorders>
            <w:shd w:val="clear" w:color="000000" w:fill="008080"/>
            <w:noWrap/>
            <w:vAlign w:val="center"/>
            <w:hideMark/>
          </w:tcPr>
          <w:p w:rsidR="00EE0C8C" w:rsidRPr="00EE0C8C" w:rsidRDefault="00EE0C8C" w:rsidP="00EE0C8C">
            <w:pPr>
              <w:spacing w:after="0" w:line="240" w:lineRule="auto"/>
              <w:jc w:val="center"/>
              <w:rPr>
                <w:rFonts w:ascii="Arial" w:eastAsia="Times New Roman" w:hAnsi="Arial" w:cs="Arial"/>
                <w:b/>
                <w:bCs/>
                <w:color w:val="FFFFFF"/>
                <w:sz w:val="20"/>
                <w:szCs w:val="20"/>
                <w:lang w:eastAsia="pl-PL"/>
              </w:rPr>
            </w:pPr>
            <w:r w:rsidRPr="00EE0C8C">
              <w:rPr>
                <w:rFonts w:ascii="Arial" w:eastAsia="Times New Roman" w:hAnsi="Arial" w:cs="Arial"/>
                <w:b/>
                <w:bCs/>
                <w:color w:val="FFFFFF"/>
                <w:sz w:val="20"/>
                <w:szCs w:val="20"/>
                <w:lang w:eastAsia="pl-PL"/>
              </w:rPr>
              <w:t>Jednostka miary</w:t>
            </w:r>
          </w:p>
        </w:tc>
        <w:tc>
          <w:tcPr>
            <w:tcW w:w="0" w:type="auto"/>
            <w:tcBorders>
              <w:top w:val="single" w:sz="4" w:space="0" w:color="000000"/>
              <w:left w:val="nil"/>
              <w:bottom w:val="single" w:sz="4" w:space="0" w:color="000000"/>
              <w:right w:val="single" w:sz="4" w:space="0" w:color="000000"/>
            </w:tcBorders>
            <w:shd w:val="clear" w:color="000000" w:fill="008080"/>
            <w:noWrap/>
            <w:vAlign w:val="center"/>
            <w:hideMark/>
          </w:tcPr>
          <w:p w:rsidR="00EE0C8C" w:rsidRPr="00EE0C8C" w:rsidRDefault="00EE0C8C" w:rsidP="00EE0C8C">
            <w:pPr>
              <w:spacing w:after="0" w:line="240" w:lineRule="auto"/>
              <w:jc w:val="center"/>
              <w:rPr>
                <w:rFonts w:ascii="Arial" w:eastAsia="Times New Roman" w:hAnsi="Arial" w:cs="Arial"/>
                <w:b/>
                <w:bCs/>
                <w:color w:val="FFFFFF"/>
                <w:sz w:val="20"/>
                <w:szCs w:val="20"/>
                <w:lang w:eastAsia="pl-PL"/>
              </w:rPr>
            </w:pPr>
            <w:r w:rsidRPr="00EE0C8C">
              <w:rPr>
                <w:rFonts w:ascii="Arial" w:eastAsia="Times New Roman" w:hAnsi="Arial" w:cs="Arial"/>
                <w:b/>
                <w:bCs/>
                <w:color w:val="FFFFFF"/>
                <w:sz w:val="20"/>
                <w:szCs w:val="20"/>
                <w:lang w:eastAsia="pl-PL"/>
              </w:rPr>
              <w:t>2011</w:t>
            </w:r>
          </w:p>
        </w:tc>
        <w:tc>
          <w:tcPr>
            <w:tcW w:w="0" w:type="auto"/>
            <w:tcBorders>
              <w:top w:val="single" w:sz="4" w:space="0" w:color="000000"/>
              <w:left w:val="nil"/>
              <w:bottom w:val="single" w:sz="4" w:space="0" w:color="000000"/>
              <w:right w:val="single" w:sz="4" w:space="0" w:color="000000"/>
            </w:tcBorders>
            <w:shd w:val="clear" w:color="000000" w:fill="008080"/>
            <w:noWrap/>
            <w:vAlign w:val="center"/>
            <w:hideMark/>
          </w:tcPr>
          <w:p w:rsidR="00EE0C8C" w:rsidRPr="00EE0C8C" w:rsidRDefault="00EE0C8C" w:rsidP="00EE0C8C">
            <w:pPr>
              <w:spacing w:after="0" w:line="240" w:lineRule="auto"/>
              <w:jc w:val="center"/>
              <w:rPr>
                <w:rFonts w:ascii="Arial" w:eastAsia="Times New Roman" w:hAnsi="Arial" w:cs="Arial"/>
                <w:b/>
                <w:bCs/>
                <w:color w:val="FFFFFF"/>
                <w:sz w:val="20"/>
                <w:szCs w:val="20"/>
                <w:lang w:eastAsia="pl-PL"/>
              </w:rPr>
            </w:pPr>
            <w:r w:rsidRPr="00EE0C8C">
              <w:rPr>
                <w:rFonts w:ascii="Arial" w:eastAsia="Times New Roman" w:hAnsi="Arial" w:cs="Arial"/>
                <w:b/>
                <w:bCs/>
                <w:color w:val="FFFFFF"/>
                <w:sz w:val="20"/>
                <w:szCs w:val="20"/>
                <w:lang w:eastAsia="pl-PL"/>
              </w:rPr>
              <w:t>2012</w:t>
            </w:r>
          </w:p>
        </w:tc>
        <w:tc>
          <w:tcPr>
            <w:tcW w:w="0" w:type="auto"/>
            <w:tcBorders>
              <w:top w:val="single" w:sz="4" w:space="0" w:color="000000"/>
              <w:left w:val="nil"/>
              <w:bottom w:val="single" w:sz="4" w:space="0" w:color="000000"/>
              <w:right w:val="single" w:sz="4" w:space="0" w:color="000000"/>
            </w:tcBorders>
            <w:shd w:val="clear" w:color="000000" w:fill="008080"/>
            <w:noWrap/>
            <w:vAlign w:val="center"/>
            <w:hideMark/>
          </w:tcPr>
          <w:p w:rsidR="00EE0C8C" w:rsidRPr="00EE0C8C" w:rsidRDefault="00EE0C8C" w:rsidP="00EE0C8C">
            <w:pPr>
              <w:spacing w:after="0" w:line="240" w:lineRule="auto"/>
              <w:jc w:val="center"/>
              <w:rPr>
                <w:rFonts w:ascii="Arial" w:eastAsia="Times New Roman" w:hAnsi="Arial" w:cs="Arial"/>
                <w:b/>
                <w:bCs/>
                <w:color w:val="FFFFFF"/>
                <w:sz w:val="20"/>
                <w:szCs w:val="20"/>
                <w:lang w:eastAsia="pl-PL"/>
              </w:rPr>
            </w:pPr>
            <w:r w:rsidRPr="00EE0C8C">
              <w:rPr>
                <w:rFonts w:ascii="Arial" w:eastAsia="Times New Roman" w:hAnsi="Arial" w:cs="Arial"/>
                <w:b/>
                <w:bCs/>
                <w:color w:val="FFFFFF"/>
                <w:sz w:val="20"/>
                <w:szCs w:val="20"/>
                <w:lang w:eastAsia="pl-PL"/>
              </w:rPr>
              <w:t>2013</w:t>
            </w:r>
          </w:p>
        </w:tc>
        <w:tc>
          <w:tcPr>
            <w:tcW w:w="0" w:type="auto"/>
            <w:tcBorders>
              <w:top w:val="single" w:sz="4" w:space="0" w:color="000000"/>
              <w:left w:val="nil"/>
              <w:bottom w:val="single" w:sz="4" w:space="0" w:color="000000"/>
              <w:right w:val="single" w:sz="4" w:space="0" w:color="000000"/>
            </w:tcBorders>
            <w:shd w:val="clear" w:color="000000" w:fill="008080"/>
            <w:noWrap/>
            <w:vAlign w:val="center"/>
            <w:hideMark/>
          </w:tcPr>
          <w:p w:rsidR="00EE0C8C" w:rsidRPr="00EE0C8C" w:rsidRDefault="00EE0C8C" w:rsidP="00EE0C8C">
            <w:pPr>
              <w:spacing w:after="0" w:line="240" w:lineRule="auto"/>
              <w:jc w:val="center"/>
              <w:rPr>
                <w:rFonts w:ascii="Arial" w:eastAsia="Times New Roman" w:hAnsi="Arial" w:cs="Arial"/>
                <w:b/>
                <w:bCs/>
                <w:color w:val="FFFFFF"/>
                <w:sz w:val="20"/>
                <w:szCs w:val="20"/>
                <w:lang w:eastAsia="pl-PL"/>
              </w:rPr>
            </w:pPr>
            <w:r w:rsidRPr="00EE0C8C">
              <w:rPr>
                <w:rFonts w:ascii="Arial" w:eastAsia="Times New Roman" w:hAnsi="Arial" w:cs="Arial"/>
                <w:b/>
                <w:bCs/>
                <w:color w:val="FFFFFF"/>
                <w:sz w:val="20"/>
                <w:szCs w:val="20"/>
                <w:lang w:eastAsia="pl-PL"/>
              </w:rPr>
              <w:t>2014</w:t>
            </w:r>
          </w:p>
        </w:tc>
      </w:tr>
      <w:tr w:rsidR="00EE0C8C" w:rsidRPr="00EE0C8C" w:rsidTr="00A76BDB">
        <w:trPr>
          <w:trHeight w:val="255"/>
        </w:trPr>
        <w:tc>
          <w:tcPr>
            <w:tcW w:w="0" w:type="auto"/>
            <w:gridSpan w:val="6"/>
            <w:tcBorders>
              <w:top w:val="single" w:sz="4" w:space="0" w:color="000000"/>
              <w:left w:val="single" w:sz="4" w:space="0" w:color="000000"/>
              <w:bottom w:val="single" w:sz="4" w:space="0" w:color="000000"/>
              <w:right w:val="single" w:sz="4" w:space="0" w:color="000000"/>
            </w:tcBorders>
            <w:shd w:val="clear" w:color="000000" w:fill="008080"/>
            <w:noWrap/>
            <w:vAlign w:val="center"/>
            <w:hideMark/>
          </w:tcPr>
          <w:p w:rsidR="00EE0C8C" w:rsidRPr="00EE0C8C" w:rsidRDefault="00EE0C8C" w:rsidP="00EE0C8C">
            <w:pPr>
              <w:spacing w:after="0" w:line="240" w:lineRule="auto"/>
              <w:rPr>
                <w:rFonts w:ascii="Arial" w:eastAsia="Times New Roman" w:hAnsi="Arial" w:cs="Arial"/>
                <w:b/>
                <w:bCs/>
                <w:color w:val="FFFFFF"/>
                <w:sz w:val="20"/>
                <w:szCs w:val="20"/>
                <w:lang w:eastAsia="pl-PL"/>
              </w:rPr>
            </w:pPr>
            <w:r w:rsidRPr="00EE0C8C">
              <w:rPr>
                <w:rFonts w:ascii="Arial" w:eastAsia="Times New Roman" w:hAnsi="Arial" w:cs="Arial"/>
                <w:b/>
                <w:bCs/>
                <w:color w:val="FFFFFF"/>
                <w:sz w:val="20"/>
                <w:szCs w:val="20"/>
                <w:lang w:eastAsia="pl-PL"/>
              </w:rPr>
              <w:t>PRZYCHODNIE - AMBULATORYJNA OPIEKA ZDROWOTNA (STAN W DNIU 31 XII)</w:t>
            </w:r>
          </w:p>
        </w:tc>
      </w:tr>
      <w:tr w:rsidR="00EE0C8C" w:rsidRPr="00EE0C8C" w:rsidTr="00A76BDB">
        <w:trPr>
          <w:trHeight w:val="255"/>
        </w:trPr>
        <w:tc>
          <w:tcPr>
            <w:tcW w:w="0" w:type="auto"/>
            <w:gridSpan w:val="6"/>
            <w:tcBorders>
              <w:top w:val="single" w:sz="4" w:space="0" w:color="000000"/>
              <w:left w:val="single" w:sz="4" w:space="0" w:color="000000"/>
              <w:bottom w:val="single" w:sz="4" w:space="0" w:color="000000"/>
              <w:right w:val="single" w:sz="4" w:space="0" w:color="000000"/>
            </w:tcBorders>
            <w:shd w:val="clear" w:color="000000" w:fill="33CCCC"/>
            <w:noWrap/>
            <w:vAlign w:val="center"/>
            <w:hideMark/>
          </w:tcPr>
          <w:p w:rsidR="00EE0C8C" w:rsidRPr="00EE0C8C" w:rsidRDefault="00EE0C8C" w:rsidP="00EE0C8C">
            <w:pPr>
              <w:spacing w:after="0" w:line="240" w:lineRule="auto"/>
              <w:rPr>
                <w:rFonts w:ascii="Arial" w:eastAsia="Times New Roman" w:hAnsi="Arial" w:cs="Arial"/>
                <w:b/>
                <w:bCs/>
                <w:color w:val="008080"/>
                <w:sz w:val="20"/>
                <w:szCs w:val="20"/>
                <w:lang w:eastAsia="pl-PL"/>
              </w:rPr>
            </w:pPr>
            <w:r w:rsidRPr="00EE0C8C">
              <w:rPr>
                <w:rFonts w:ascii="Arial" w:eastAsia="Times New Roman" w:hAnsi="Arial" w:cs="Arial"/>
                <w:b/>
                <w:bCs/>
                <w:color w:val="008080"/>
                <w:sz w:val="20"/>
                <w:szCs w:val="20"/>
                <w:lang w:eastAsia="pl-PL"/>
              </w:rPr>
              <w:t>Przychodnie</w:t>
            </w:r>
          </w:p>
        </w:tc>
      </w:tr>
      <w:tr w:rsidR="00EE0C8C" w:rsidRPr="00EE0C8C" w:rsidTr="00A76BDB">
        <w:trPr>
          <w:trHeight w:val="255"/>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rPr>
                <w:rFonts w:ascii="Arial" w:eastAsia="Times New Roman" w:hAnsi="Arial" w:cs="Arial"/>
                <w:sz w:val="20"/>
                <w:szCs w:val="20"/>
                <w:lang w:eastAsia="pl-PL"/>
              </w:rPr>
            </w:pPr>
            <w:r w:rsidRPr="00EE0C8C">
              <w:rPr>
                <w:rFonts w:ascii="Arial" w:eastAsia="Times New Roman" w:hAnsi="Arial" w:cs="Arial"/>
                <w:sz w:val="20"/>
                <w:szCs w:val="20"/>
                <w:lang w:eastAsia="pl-PL"/>
              </w:rPr>
              <w:t>ogółem</w:t>
            </w:r>
          </w:p>
        </w:tc>
        <w:tc>
          <w:tcPr>
            <w:tcW w:w="0" w:type="auto"/>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ob.</w:t>
            </w:r>
          </w:p>
        </w:tc>
        <w:tc>
          <w:tcPr>
            <w:tcW w:w="0" w:type="auto"/>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w:t>
            </w:r>
          </w:p>
        </w:tc>
        <w:tc>
          <w:tcPr>
            <w:tcW w:w="0" w:type="auto"/>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w:t>
            </w:r>
          </w:p>
        </w:tc>
        <w:tc>
          <w:tcPr>
            <w:tcW w:w="0" w:type="auto"/>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w:t>
            </w:r>
          </w:p>
        </w:tc>
        <w:tc>
          <w:tcPr>
            <w:tcW w:w="0" w:type="auto"/>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w:t>
            </w:r>
          </w:p>
        </w:tc>
      </w:tr>
      <w:tr w:rsidR="00EE0C8C" w:rsidRPr="00EE0C8C" w:rsidTr="00A76BDB">
        <w:trPr>
          <w:trHeight w:val="255"/>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rPr>
                <w:rFonts w:ascii="Arial" w:eastAsia="Times New Roman" w:hAnsi="Arial" w:cs="Arial"/>
                <w:sz w:val="20"/>
                <w:szCs w:val="20"/>
                <w:lang w:eastAsia="pl-PL"/>
              </w:rPr>
            </w:pPr>
            <w:r w:rsidRPr="00EE0C8C">
              <w:rPr>
                <w:rFonts w:ascii="Arial" w:eastAsia="Times New Roman" w:hAnsi="Arial" w:cs="Arial"/>
                <w:sz w:val="20"/>
                <w:szCs w:val="20"/>
                <w:lang w:eastAsia="pl-PL"/>
              </w:rPr>
              <w:t>publiczne</w:t>
            </w:r>
          </w:p>
        </w:tc>
        <w:tc>
          <w:tcPr>
            <w:tcW w:w="0" w:type="auto"/>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ob.</w:t>
            </w:r>
          </w:p>
        </w:tc>
        <w:tc>
          <w:tcPr>
            <w:tcW w:w="0" w:type="auto"/>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w:t>
            </w:r>
          </w:p>
        </w:tc>
        <w:tc>
          <w:tcPr>
            <w:tcW w:w="0" w:type="auto"/>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w:t>
            </w:r>
          </w:p>
        </w:tc>
        <w:tc>
          <w:tcPr>
            <w:tcW w:w="0" w:type="auto"/>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w:t>
            </w:r>
          </w:p>
        </w:tc>
        <w:tc>
          <w:tcPr>
            <w:tcW w:w="0" w:type="auto"/>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w:t>
            </w:r>
          </w:p>
        </w:tc>
      </w:tr>
      <w:tr w:rsidR="00EE0C8C" w:rsidRPr="00EE0C8C" w:rsidTr="00A76BDB">
        <w:trPr>
          <w:trHeight w:val="255"/>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rPr>
                <w:rFonts w:ascii="Arial" w:eastAsia="Times New Roman" w:hAnsi="Arial" w:cs="Arial"/>
                <w:sz w:val="20"/>
                <w:szCs w:val="20"/>
                <w:lang w:eastAsia="pl-PL"/>
              </w:rPr>
            </w:pPr>
            <w:r w:rsidRPr="00EE0C8C">
              <w:rPr>
                <w:rFonts w:ascii="Arial" w:eastAsia="Times New Roman" w:hAnsi="Arial" w:cs="Arial"/>
                <w:sz w:val="20"/>
                <w:szCs w:val="20"/>
                <w:lang w:eastAsia="pl-PL"/>
              </w:rPr>
              <w:t>przychodnie na 10 tys. ludności</w:t>
            </w:r>
          </w:p>
        </w:tc>
        <w:tc>
          <w:tcPr>
            <w:tcW w:w="0" w:type="auto"/>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ob.</w:t>
            </w:r>
          </w:p>
        </w:tc>
        <w:tc>
          <w:tcPr>
            <w:tcW w:w="0" w:type="auto"/>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w:t>
            </w:r>
          </w:p>
        </w:tc>
        <w:tc>
          <w:tcPr>
            <w:tcW w:w="0" w:type="auto"/>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w:t>
            </w:r>
          </w:p>
        </w:tc>
        <w:tc>
          <w:tcPr>
            <w:tcW w:w="0" w:type="auto"/>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w:t>
            </w:r>
          </w:p>
        </w:tc>
        <w:tc>
          <w:tcPr>
            <w:tcW w:w="0" w:type="auto"/>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w:t>
            </w:r>
          </w:p>
        </w:tc>
      </w:tr>
      <w:tr w:rsidR="00EE0C8C" w:rsidRPr="00EE0C8C" w:rsidTr="00A76BDB">
        <w:trPr>
          <w:trHeight w:val="255"/>
        </w:trPr>
        <w:tc>
          <w:tcPr>
            <w:tcW w:w="0" w:type="auto"/>
            <w:gridSpan w:val="6"/>
            <w:tcBorders>
              <w:top w:val="single" w:sz="4" w:space="0" w:color="000000"/>
              <w:left w:val="single" w:sz="4" w:space="0" w:color="000000"/>
              <w:bottom w:val="single" w:sz="4" w:space="0" w:color="000000"/>
              <w:right w:val="single" w:sz="4" w:space="0" w:color="000000"/>
            </w:tcBorders>
            <w:shd w:val="clear" w:color="000000" w:fill="33CCCC"/>
            <w:noWrap/>
            <w:vAlign w:val="center"/>
            <w:hideMark/>
          </w:tcPr>
          <w:p w:rsidR="00EE0C8C" w:rsidRPr="00EE0C8C" w:rsidRDefault="00EE0C8C" w:rsidP="00EE0C8C">
            <w:pPr>
              <w:spacing w:after="0" w:line="240" w:lineRule="auto"/>
              <w:rPr>
                <w:rFonts w:ascii="Arial" w:eastAsia="Times New Roman" w:hAnsi="Arial" w:cs="Arial"/>
                <w:b/>
                <w:bCs/>
                <w:color w:val="008080"/>
                <w:sz w:val="20"/>
                <w:szCs w:val="20"/>
                <w:lang w:eastAsia="pl-PL"/>
              </w:rPr>
            </w:pPr>
            <w:r w:rsidRPr="00EE0C8C">
              <w:rPr>
                <w:rFonts w:ascii="Arial" w:eastAsia="Times New Roman" w:hAnsi="Arial" w:cs="Arial"/>
                <w:b/>
                <w:bCs/>
                <w:color w:val="008080"/>
                <w:sz w:val="20"/>
                <w:szCs w:val="20"/>
                <w:lang w:eastAsia="pl-PL"/>
              </w:rPr>
              <w:t>Przychodnie podległe samorządowi terytorialnemu</w:t>
            </w:r>
          </w:p>
        </w:tc>
      </w:tr>
      <w:tr w:rsidR="00EE0C8C" w:rsidRPr="00EE0C8C" w:rsidTr="00A76BDB">
        <w:trPr>
          <w:trHeight w:val="255"/>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rPr>
                <w:rFonts w:ascii="Arial" w:eastAsia="Times New Roman" w:hAnsi="Arial" w:cs="Arial"/>
                <w:sz w:val="20"/>
                <w:szCs w:val="20"/>
                <w:lang w:eastAsia="pl-PL"/>
              </w:rPr>
            </w:pPr>
            <w:r w:rsidRPr="00EE0C8C">
              <w:rPr>
                <w:rFonts w:ascii="Arial" w:eastAsia="Times New Roman" w:hAnsi="Arial" w:cs="Arial"/>
                <w:sz w:val="20"/>
                <w:szCs w:val="20"/>
                <w:lang w:eastAsia="pl-PL"/>
              </w:rPr>
              <w:t>przychodnie ogółem</w:t>
            </w:r>
          </w:p>
        </w:tc>
        <w:tc>
          <w:tcPr>
            <w:tcW w:w="0" w:type="auto"/>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ob.</w:t>
            </w:r>
          </w:p>
        </w:tc>
        <w:tc>
          <w:tcPr>
            <w:tcW w:w="0" w:type="auto"/>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w:t>
            </w:r>
          </w:p>
        </w:tc>
        <w:tc>
          <w:tcPr>
            <w:tcW w:w="0" w:type="auto"/>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w:t>
            </w:r>
          </w:p>
        </w:tc>
        <w:tc>
          <w:tcPr>
            <w:tcW w:w="0" w:type="auto"/>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w:t>
            </w:r>
          </w:p>
        </w:tc>
        <w:tc>
          <w:tcPr>
            <w:tcW w:w="0" w:type="auto"/>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w:t>
            </w:r>
          </w:p>
        </w:tc>
      </w:tr>
      <w:tr w:rsidR="00EE0C8C" w:rsidRPr="00EE0C8C" w:rsidTr="00A76BDB">
        <w:trPr>
          <w:trHeight w:val="255"/>
        </w:trPr>
        <w:tc>
          <w:tcPr>
            <w:tcW w:w="0" w:type="auto"/>
            <w:gridSpan w:val="6"/>
            <w:tcBorders>
              <w:top w:val="single" w:sz="4" w:space="0" w:color="000000"/>
              <w:left w:val="single" w:sz="4" w:space="0" w:color="000000"/>
              <w:bottom w:val="single" w:sz="4" w:space="0" w:color="000000"/>
              <w:right w:val="single" w:sz="4" w:space="0" w:color="000000"/>
            </w:tcBorders>
            <w:shd w:val="clear" w:color="000000" w:fill="33CCCC"/>
            <w:noWrap/>
            <w:vAlign w:val="center"/>
            <w:hideMark/>
          </w:tcPr>
          <w:p w:rsidR="00EE0C8C" w:rsidRPr="00EE0C8C" w:rsidRDefault="00EE0C8C" w:rsidP="00EE0C8C">
            <w:pPr>
              <w:spacing w:after="0" w:line="240" w:lineRule="auto"/>
              <w:rPr>
                <w:rFonts w:ascii="Arial" w:eastAsia="Times New Roman" w:hAnsi="Arial" w:cs="Arial"/>
                <w:b/>
                <w:bCs/>
                <w:color w:val="008080"/>
                <w:sz w:val="20"/>
                <w:szCs w:val="20"/>
                <w:lang w:eastAsia="pl-PL"/>
              </w:rPr>
            </w:pPr>
            <w:r w:rsidRPr="00EE0C8C">
              <w:rPr>
                <w:rFonts w:ascii="Arial" w:eastAsia="Times New Roman" w:hAnsi="Arial" w:cs="Arial"/>
                <w:b/>
                <w:bCs/>
                <w:color w:val="008080"/>
                <w:sz w:val="20"/>
                <w:szCs w:val="20"/>
                <w:lang w:eastAsia="pl-PL"/>
              </w:rPr>
              <w:t>Podstawowa opieka zdrowotna - porady</w:t>
            </w:r>
          </w:p>
        </w:tc>
      </w:tr>
      <w:tr w:rsidR="00EE0C8C" w:rsidRPr="00EE0C8C" w:rsidTr="00A76BDB">
        <w:trPr>
          <w:trHeight w:val="255"/>
        </w:trPr>
        <w:tc>
          <w:tcPr>
            <w:tcW w:w="0" w:type="auto"/>
            <w:gridSpan w:val="6"/>
            <w:tcBorders>
              <w:top w:val="single" w:sz="4" w:space="0" w:color="000000"/>
              <w:left w:val="single" w:sz="4" w:space="0" w:color="000000"/>
              <w:bottom w:val="single" w:sz="4" w:space="0" w:color="000000"/>
              <w:right w:val="single" w:sz="4" w:space="0" w:color="000000"/>
            </w:tcBorders>
            <w:shd w:val="clear" w:color="000000" w:fill="808080"/>
            <w:noWrap/>
            <w:vAlign w:val="center"/>
            <w:hideMark/>
          </w:tcPr>
          <w:p w:rsidR="00EE0C8C" w:rsidRPr="00EE0C8C" w:rsidRDefault="00EE0C8C" w:rsidP="00EE0C8C">
            <w:pPr>
              <w:spacing w:after="0" w:line="240" w:lineRule="auto"/>
              <w:rPr>
                <w:rFonts w:ascii="Arial" w:eastAsia="Times New Roman" w:hAnsi="Arial" w:cs="Arial"/>
                <w:color w:val="000000"/>
                <w:sz w:val="20"/>
                <w:szCs w:val="20"/>
                <w:lang w:eastAsia="pl-PL"/>
              </w:rPr>
            </w:pPr>
            <w:r w:rsidRPr="00EE0C8C">
              <w:rPr>
                <w:rFonts w:ascii="Arial" w:eastAsia="Times New Roman" w:hAnsi="Arial" w:cs="Arial"/>
                <w:color w:val="000000"/>
                <w:sz w:val="20"/>
                <w:szCs w:val="20"/>
                <w:lang w:eastAsia="pl-PL"/>
              </w:rPr>
              <w:t>porady ogółem</w:t>
            </w:r>
          </w:p>
        </w:tc>
      </w:tr>
      <w:tr w:rsidR="00EE0C8C" w:rsidRPr="00EE0C8C" w:rsidTr="00A76BDB">
        <w:trPr>
          <w:trHeight w:val="255"/>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100" w:firstLine="200"/>
              <w:rPr>
                <w:rFonts w:ascii="Arial" w:eastAsia="Times New Roman" w:hAnsi="Arial" w:cs="Arial"/>
                <w:sz w:val="20"/>
                <w:szCs w:val="20"/>
                <w:lang w:eastAsia="pl-PL"/>
              </w:rPr>
            </w:pPr>
            <w:r w:rsidRPr="00EE0C8C">
              <w:rPr>
                <w:rFonts w:ascii="Arial" w:eastAsia="Times New Roman" w:hAnsi="Arial" w:cs="Arial"/>
                <w:sz w:val="20"/>
                <w:szCs w:val="20"/>
                <w:lang w:eastAsia="pl-PL"/>
              </w:rPr>
              <w:t>ogółem</w:t>
            </w:r>
          </w:p>
        </w:tc>
        <w:tc>
          <w:tcPr>
            <w:tcW w:w="0" w:type="auto"/>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w:t>
            </w:r>
          </w:p>
        </w:tc>
        <w:tc>
          <w:tcPr>
            <w:tcW w:w="0" w:type="auto"/>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31820</w:t>
            </w:r>
          </w:p>
        </w:tc>
        <w:tc>
          <w:tcPr>
            <w:tcW w:w="0" w:type="auto"/>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29775</w:t>
            </w:r>
          </w:p>
        </w:tc>
        <w:tc>
          <w:tcPr>
            <w:tcW w:w="0" w:type="auto"/>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37626</w:t>
            </w:r>
          </w:p>
        </w:tc>
        <w:tc>
          <w:tcPr>
            <w:tcW w:w="0" w:type="auto"/>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30531</w:t>
            </w:r>
          </w:p>
        </w:tc>
      </w:tr>
      <w:tr w:rsidR="00EE0C8C" w:rsidRPr="00EE0C8C" w:rsidTr="00A76BDB">
        <w:trPr>
          <w:trHeight w:val="255"/>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100" w:firstLine="200"/>
              <w:rPr>
                <w:rFonts w:ascii="Arial" w:eastAsia="Times New Roman" w:hAnsi="Arial" w:cs="Arial"/>
                <w:sz w:val="20"/>
                <w:szCs w:val="20"/>
                <w:lang w:eastAsia="pl-PL"/>
              </w:rPr>
            </w:pPr>
            <w:r w:rsidRPr="00EE0C8C">
              <w:rPr>
                <w:rFonts w:ascii="Arial" w:eastAsia="Times New Roman" w:hAnsi="Arial" w:cs="Arial"/>
                <w:sz w:val="20"/>
                <w:szCs w:val="20"/>
                <w:lang w:eastAsia="pl-PL"/>
              </w:rPr>
              <w:t>przychodnie podległe samorządowi terytorialnemu</w:t>
            </w:r>
          </w:p>
        </w:tc>
        <w:tc>
          <w:tcPr>
            <w:tcW w:w="0" w:type="auto"/>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w:t>
            </w:r>
          </w:p>
        </w:tc>
        <w:tc>
          <w:tcPr>
            <w:tcW w:w="0" w:type="auto"/>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31820</w:t>
            </w:r>
          </w:p>
        </w:tc>
        <w:tc>
          <w:tcPr>
            <w:tcW w:w="0" w:type="auto"/>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29775</w:t>
            </w:r>
          </w:p>
        </w:tc>
        <w:tc>
          <w:tcPr>
            <w:tcW w:w="0" w:type="auto"/>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37626</w:t>
            </w:r>
          </w:p>
        </w:tc>
        <w:tc>
          <w:tcPr>
            <w:tcW w:w="0" w:type="auto"/>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30531</w:t>
            </w:r>
          </w:p>
        </w:tc>
      </w:tr>
      <w:tr w:rsidR="00EE0C8C" w:rsidRPr="00EE0C8C" w:rsidTr="00A76BDB">
        <w:trPr>
          <w:trHeight w:val="255"/>
        </w:trPr>
        <w:tc>
          <w:tcPr>
            <w:tcW w:w="0" w:type="auto"/>
            <w:gridSpan w:val="6"/>
            <w:tcBorders>
              <w:top w:val="single" w:sz="4" w:space="0" w:color="000000"/>
              <w:left w:val="single" w:sz="4" w:space="0" w:color="000000"/>
              <w:bottom w:val="single" w:sz="4" w:space="0" w:color="000000"/>
              <w:right w:val="single" w:sz="4" w:space="0" w:color="000000"/>
            </w:tcBorders>
            <w:shd w:val="clear" w:color="000000" w:fill="33CCCC"/>
            <w:noWrap/>
            <w:vAlign w:val="center"/>
            <w:hideMark/>
          </w:tcPr>
          <w:p w:rsidR="00EE0C8C" w:rsidRPr="00EE0C8C" w:rsidRDefault="00EE0C8C" w:rsidP="00EE0C8C">
            <w:pPr>
              <w:spacing w:after="0" w:line="240" w:lineRule="auto"/>
              <w:rPr>
                <w:rFonts w:ascii="Arial" w:eastAsia="Times New Roman" w:hAnsi="Arial" w:cs="Arial"/>
                <w:b/>
                <w:bCs/>
                <w:color w:val="008080"/>
                <w:sz w:val="20"/>
                <w:szCs w:val="20"/>
                <w:lang w:eastAsia="pl-PL"/>
              </w:rPr>
            </w:pPr>
            <w:r w:rsidRPr="00EE0C8C">
              <w:rPr>
                <w:rFonts w:ascii="Arial" w:eastAsia="Times New Roman" w:hAnsi="Arial" w:cs="Arial"/>
                <w:b/>
                <w:bCs/>
                <w:color w:val="008080"/>
                <w:sz w:val="20"/>
                <w:szCs w:val="20"/>
                <w:lang w:eastAsia="pl-PL"/>
              </w:rPr>
              <w:t>Ambulatoryjna opieka zdrowotna - porady lekarskie</w:t>
            </w:r>
          </w:p>
        </w:tc>
      </w:tr>
      <w:tr w:rsidR="00EE0C8C" w:rsidRPr="00EE0C8C" w:rsidTr="00A76BDB">
        <w:trPr>
          <w:trHeight w:val="255"/>
        </w:trPr>
        <w:tc>
          <w:tcPr>
            <w:tcW w:w="0" w:type="auto"/>
            <w:gridSpan w:val="6"/>
            <w:tcBorders>
              <w:top w:val="single" w:sz="4" w:space="0" w:color="000000"/>
              <w:left w:val="single" w:sz="4" w:space="0" w:color="000000"/>
              <w:bottom w:val="single" w:sz="4" w:space="0" w:color="000000"/>
              <w:right w:val="single" w:sz="4" w:space="0" w:color="000000"/>
            </w:tcBorders>
            <w:shd w:val="clear" w:color="000000" w:fill="808080"/>
            <w:noWrap/>
            <w:vAlign w:val="center"/>
            <w:hideMark/>
          </w:tcPr>
          <w:p w:rsidR="00EE0C8C" w:rsidRPr="00EE0C8C" w:rsidRDefault="00EE0C8C" w:rsidP="00EE0C8C">
            <w:pPr>
              <w:spacing w:after="0" w:line="240" w:lineRule="auto"/>
              <w:rPr>
                <w:rFonts w:ascii="Arial" w:eastAsia="Times New Roman" w:hAnsi="Arial" w:cs="Arial"/>
                <w:color w:val="000000"/>
                <w:sz w:val="20"/>
                <w:szCs w:val="20"/>
                <w:lang w:eastAsia="pl-PL"/>
              </w:rPr>
            </w:pPr>
            <w:r w:rsidRPr="00EE0C8C">
              <w:rPr>
                <w:rFonts w:ascii="Arial" w:eastAsia="Times New Roman" w:hAnsi="Arial" w:cs="Arial"/>
                <w:color w:val="000000"/>
                <w:sz w:val="20"/>
                <w:szCs w:val="20"/>
                <w:lang w:eastAsia="pl-PL"/>
              </w:rPr>
              <w:t>porady lekarskie ogółem</w:t>
            </w:r>
          </w:p>
        </w:tc>
      </w:tr>
      <w:tr w:rsidR="00EE0C8C" w:rsidRPr="00EE0C8C" w:rsidTr="00A76BDB">
        <w:trPr>
          <w:trHeight w:val="255"/>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100" w:firstLine="200"/>
              <w:rPr>
                <w:rFonts w:ascii="Arial" w:eastAsia="Times New Roman" w:hAnsi="Arial" w:cs="Arial"/>
                <w:sz w:val="20"/>
                <w:szCs w:val="20"/>
                <w:lang w:eastAsia="pl-PL"/>
              </w:rPr>
            </w:pPr>
            <w:r w:rsidRPr="00EE0C8C">
              <w:rPr>
                <w:rFonts w:ascii="Arial" w:eastAsia="Times New Roman" w:hAnsi="Arial" w:cs="Arial"/>
                <w:sz w:val="20"/>
                <w:szCs w:val="20"/>
                <w:lang w:eastAsia="pl-PL"/>
              </w:rPr>
              <w:t>ogółem</w:t>
            </w:r>
          </w:p>
        </w:tc>
        <w:tc>
          <w:tcPr>
            <w:tcW w:w="0" w:type="auto"/>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w:t>
            </w:r>
          </w:p>
        </w:tc>
        <w:tc>
          <w:tcPr>
            <w:tcW w:w="0" w:type="auto"/>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w:t>
            </w:r>
          </w:p>
        </w:tc>
        <w:tc>
          <w:tcPr>
            <w:tcW w:w="0" w:type="auto"/>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31124</w:t>
            </w:r>
          </w:p>
        </w:tc>
        <w:tc>
          <w:tcPr>
            <w:tcW w:w="0" w:type="auto"/>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38961</w:t>
            </w:r>
          </w:p>
        </w:tc>
        <w:tc>
          <w:tcPr>
            <w:tcW w:w="0" w:type="auto"/>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32279</w:t>
            </w:r>
          </w:p>
        </w:tc>
      </w:tr>
      <w:tr w:rsidR="00EE0C8C" w:rsidRPr="00EE0C8C" w:rsidTr="00A76BDB">
        <w:trPr>
          <w:trHeight w:val="255"/>
        </w:trPr>
        <w:tc>
          <w:tcPr>
            <w:tcW w:w="0" w:type="auto"/>
            <w:gridSpan w:val="6"/>
            <w:tcBorders>
              <w:top w:val="single" w:sz="4" w:space="0" w:color="000000"/>
              <w:left w:val="single" w:sz="4" w:space="0" w:color="000000"/>
              <w:bottom w:val="single" w:sz="4" w:space="0" w:color="000000"/>
              <w:right w:val="single" w:sz="4" w:space="0" w:color="000000"/>
            </w:tcBorders>
            <w:shd w:val="clear" w:color="000000" w:fill="008080"/>
            <w:noWrap/>
            <w:vAlign w:val="center"/>
            <w:hideMark/>
          </w:tcPr>
          <w:p w:rsidR="00EE0C8C" w:rsidRPr="00EE0C8C" w:rsidRDefault="00EE0C8C" w:rsidP="00EE0C8C">
            <w:pPr>
              <w:spacing w:after="0" w:line="240" w:lineRule="auto"/>
              <w:rPr>
                <w:rFonts w:ascii="Arial" w:eastAsia="Times New Roman" w:hAnsi="Arial" w:cs="Arial"/>
                <w:b/>
                <w:bCs/>
                <w:color w:val="FFFFFF"/>
                <w:sz w:val="20"/>
                <w:szCs w:val="20"/>
                <w:lang w:eastAsia="pl-PL"/>
              </w:rPr>
            </w:pPr>
            <w:r w:rsidRPr="00EE0C8C">
              <w:rPr>
                <w:rFonts w:ascii="Arial" w:eastAsia="Times New Roman" w:hAnsi="Arial" w:cs="Arial"/>
                <w:b/>
                <w:bCs/>
                <w:color w:val="FFFFFF"/>
                <w:sz w:val="20"/>
                <w:szCs w:val="20"/>
                <w:lang w:eastAsia="pl-PL"/>
              </w:rPr>
              <w:lastRenderedPageBreak/>
              <w:t>APTEKI I PUNKTY APTECZNE</w:t>
            </w:r>
          </w:p>
        </w:tc>
      </w:tr>
      <w:tr w:rsidR="00EE0C8C" w:rsidRPr="00EE0C8C" w:rsidTr="00A76BDB">
        <w:trPr>
          <w:trHeight w:val="255"/>
        </w:trPr>
        <w:tc>
          <w:tcPr>
            <w:tcW w:w="0" w:type="auto"/>
            <w:gridSpan w:val="6"/>
            <w:tcBorders>
              <w:top w:val="single" w:sz="4" w:space="0" w:color="000000"/>
              <w:left w:val="single" w:sz="4" w:space="0" w:color="000000"/>
              <w:bottom w:val="single" w:sz="4" w:space="0" w:color="000000"/>
              <w:right w:val="single" w:sz="4" w:space="0" w:color="000000"/>
            </w:tcBorders>
            <w:shd w:val="clear" w:color="000000" w:fill="33CCCC"/>
            <w:noWrap/>
            <w:vAlign w:val="center"/>
            <w:hideMark/>
          </w:tcPr>
          <w:p w:rsidR="00EE0C8C" w:rsidRPr="00EE0C8C" w:rsidRDefault="00EE0C8C" w:rsidP="00EE0C8C">
            <w:pPr>
              <w:spacing w:after="0" w:line="240" w:lineRule="auto"/>
              <w:rPr>
                <w:rFonts w:ascii="Arial" w:eastAsia="Times New Roman" w:hAnsi="Arial" w:cs="Arial"/>
                <w:b/>
                <w:bCs/>
                <w:color w:val="008080"/>
                <w:sz w:val="20"/>
                <w:szCs w:val="20"/>
                <w:lang w:eastAsia="pl-PL"/>
              </w:rPr>
            </w:pPr>
            <w:r w:rsidRPr="00EE0C8C">
              <w:rPr>
                <w:rFonts w:ascii="Arial" w:eastAsia="Times New Roman" w:hAnsi="Arial" w:cs="Arial"/>
                <w:b/>
                <w:bCs/>
                <w:color w:val="008080"/>
                <w:sz w:val="20"/>
                <w:szCs w:val="20"/>
                <w:lang w:eastAsia="pl-PL"/>
              </w:rPr>
              <w:t>Apteki ogólnodostępne</w:t>
            </w:r>
          </w:p>
        </w:tc>
      </w:tr>
      <w:tr w:rsidR="00EE0C8C" w:rsidRPr="00EE0C8C" w:rsidTr="00A76BDB">
        <w:trPr>
          <w:trHeight w:val="255"/>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rPr>
                <w:rFonts w:ascii="Arial" w:eastAsia="Times New Roman" w:hAnsi="Arial" w:cs="Arial"/>
                <w:sz w:val="20"/>
                <w:szCs w:val="20"/>
                <w:lang w:eastAsia="pl-PL"/>
              </w:rPr>
            </w:pPr>
            <w:r w:rsidRPr="00EE0C8C">
              <w:rPr>
                <w:rFonts w:ascii="Arial" w:eastAsia="Times New Roman" w:hAnsi="Arial" w:cs="Arial"/>
                <w:sz w:val="20"/>
                <w:szCs w:val="20"/>
                <w:lang w:eastAsia="pl-PL"/>
              </w:rPr>
              <w:t>apteki</w:t>
            </w:r>
          </w:p>
        </w:tc>
        <w:tc>
          <w:tcPr>
            <w:tcW w:w="0" w:type="auto"/>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ob.</w:t>
            </w:r>
          </w:p>
        </w:tc>
        <w:tc>
          <w:tcPr>
            <w:tcW w:w="0" w:type="auto"/>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w:t>
            </w:r>
          </w:p>
        </w:tc>
        <w:tc>
          <w:tcPr>
            <w:tcW w:w="0" w:type="auto"/>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w:t>
            </w:r>
          </w:p>
        </w:tc>
        <w:tc>
          <w:tcPr>
            <w:tcW w:w="0" w:type="auto"/>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w:t>
            </w:r>
          </w:p>
        </w:tc>
        <w:tc>
          <w:tcPr>
            <w:tcW w:w="0" w:type="auto"/>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w:t>
            </w:r>
          </w:p>
        </w:tc>
      </w:tr>
      <w:tr w:rsidR="00EE0C8C" w:rsidRPr="00EE0C8C" w:rsidTr="00A76BDB">
        <w:trPr>
          <w:trHeight w:val="255"/>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rPr>
                <w:rFonts w:ascii="Arial" w:eastAsia="Times New Roman" w:hAnsi="Arial" w:cs="Arial"/>
                <w:sz w:val="20"/>
                <w:szCs w:val="20"/>
                <w:lang w:eastAsia="pl-PL"/>
              </w:rPr>
            </w:pPr>
            <w:r w:rsidRPr="00EE0C8C">
              <w:rPr>
                <w:rFonts w:ascii="Arial" w:eastAsia="Times New Roman" w:hAnsi="Arial" w:cs="Arial"/>
                <w:sz w:val="20"/>
                <w:szCs w:val="20"/>
                <w:lang w:eastAsia="pl-PL"/>
              </w:rPr>
              <w:t>mgr farmacji</w:t>
            </w:r>
          </w:p>
        </w:tc>
        <w:tc>
          <w:tcPr>
            <w:tcW w:w="0" w:type="auto"/>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osoba</w:t>
            </w:r>
          </w:p>
        </w:tc>
        <w:tc>
          <w:tcPr>
            <w:tcW w:w="0" w:type="auto"/>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w:t>
            </w:r>
          </w:p>
        </w:tc>
        <w:tc>
          <w:tcPr>
            <w:tcW w:w="0" w:type="auto"/>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w:t>
            </w:r>
          </w:p>
        </w:tc>
        <w:tc>
          <w:tcPr>
            <w:tcW w:w="0" w:type="auto"/>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w:t>
            </w:r>
          </w:p>
        </w:tc>
        <w:tc>
          <w:tcPr>
            <w:tcW w:w="0" w:type="auto"/>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w:t>
            </w:r>
          </w:p>
        </w:tc>
      </w:tr>
      <w:tr w:rsidR="00EE0C8C" w:rsidRPr="00EE0C8C" w:rsidTr="00A76BDB">
        <w:trPr>
          <w:trHeight w:val="255"/>
        </w:trPr>
        <w:tc>
          <w:tcPr>
            <w:tcW w:w="0" w:type="auto"/>
            <w:gridSpan w:val="6"/>
            <w:tcBorders>
              <w:top w:val="single" w:sz="4" w:space="0" w:color="000000"/>
              <w:left w:val="single" w:sz="4" w:space="0" w:color="000000"/>
              <w:bottom w:val="single" w:sz="4" w:space="0" w:color="000000"/>
              <w:right w:val="single" w:sz="4" w:space="0" w:color="000000"/>
            </w:tcBorders>
            <w:shd w:val="clear" w:color="000000" w:fill="33CCCC"/>
            <w:noWrap/>
            <w:vAlign w:val="center"/>
            <w:hideMark/>
          </w:tcPr>
          <w:p w:rsidR="00EE0C8C" w:rsidRPr="00EE0C8C" w:rsidRDefault="00EE0C8C" w:rsidP="00EE0C8C">
            <w:pPr>
              <w:spacing w:after="0" w:line="240" w:lineRule="auto"/>
              <w:rPr>
                <w:rFonts w:ascii="Arial" w:eastAsia="Times New Roman" w:hAnsi="Arial" w:cs="Arial"/>
                <w:b/>
                <w:bCs/>
                <w:color w:val="008080"/>
                <w:sz w:val="20"/>
                <w:szCs w:val="20"/>
                <w:lang w:eastAsia="pl-PL"/>
              </w:rPr>
            </w:pPr>
            <w:r w:rsidRPr="00EE0C8C">
              <w:rPr>
                <w:rFonts w:ascii="Arial" w:eastAsia="Times New Roman" w:hAnsi="Arial" w:cs="Arial"/>
                <w:b/>
                <w:bCs/>
                <w:color w:val="008080"/>
                <w:sz w:val="20"/>
                <w:szCs w:val="20"/>
                <w:lang w:eastAsia="pl-PL"/>
              </w:rPr>
              <w:t>Punkty apteczne</w:t>
            </w:r>
          </w:p>
        </w:tc>
      </w:tr>
      <w:tr w:rsidR="00EE0C8C" w:rsidRPr="00EE0C8C" w:rsidTr="00A76BDB">
        <w:trPr>
          <w:trHeight w:val="255"/>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rPr>
                <w:rFonts w:ascii="Arial" w:eastAsia="Times New Roman" w:hAnsi="Arial" w:cs="Arial"/>
                <w:sz w:val="20"/>
                <w:szCs w:val="20"/>
                <w:lang w:eastAsia="pl-PL"/>
              </w:rPr>
            </w:pPr>
            <w:r w:rsidRPr="00EE0C8C">
              <w:rPr>
                <w:rFonts w:ascii="Arial" w:eastAsia="Times New Roman" w:hAnsi="Arial" w:cs="Arial"/>
                <w:sz w:val="20"/>
                <w:szCs w:val="20"/>
                <w:lang w:eastAsia="pl-PL"/>
              </w:rPr>
              <w:t>punkty apteczne</w:t>
            </w:r>
          </w:p>
        </w:tc>
        <w:tc>
          <w:tcPr>
            <w:tcW w:w="0" w:type="auto"/>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ob.</w:t>
            </w:r>
          </w:p>
        </w:tc>
        <w:tc>
          <w:tcPr>
            <w:tcW w:w="0" w:type="auto"/>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w:t>
            </w:r>
          </w:p>
        </w:tc>
        <w:tc>
          <w:tcPr>
            <w:tcW w:w="0" w:type="auto"/>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w:t>
            </w:r>
          </w:p>
        </w:tc>
        <w:tc>
          <w:tcPr>
            <w:tcW w:w="0" w:type="auto"/>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w:t>
            </w:r>
          </w:p>
        </w:tc>
        <w:tc>
          <w:tcPr>
            <w:tcW w:w="0" w:type="auto"/>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w:t>
            </w:r>
          </w:p>
        </w:tc>
      </w:tr>
      <w:tr w:rsidR="00EE0C8C" w:rsidRPr="00EE0C8C" w:rsidTr="00A76BDB">
        <w:trPr>
          <w:trHeight w:val="255"/>
        </w:trPr>
        <w:tc>
          <w:tcPr>
            <w:tcW w:w="0" w:type="auto"/>
            <w:gridSpan w:val="6"/>
            <w:tcBorders>
              <w:top w:val="single" w:sz="4" w:space="0" w:color="000000"/>
              <w:left w:val="single" w:sz="4" w:space="0" w:color="000000"/>
              <w:bottom w:val="single" w:sz="4" w:space="0" w:color="000000"/>
              <w:right w:val="single" w:sz="4" w:space="0" w:color="000000"/>
            </w:tcBorders>
            <w:shd w:val="clear" w:color="000000" w:fill="33CCCC"/>
            <w:noWrap/>
            <w:vAlign w:val="center"/>
            <w:hideMark/>
          </w:tcPr>
          <w:p w:rsidR="00EE0C8C" w:rsidRPr="00EE0C8C" w:rsidRDefault="00EE0C8C" w:rsidP="00EE0C8C">
            <w:pPr>
              <w:spacing w:after="0" w:line="240" w:lineRule="auto"/>
              <w:rPr>
                <w:rFonts w:ascii="Arial" w:eastAsia="Times New Roman" w:hAnsi="Arial" w:cs="Arial"/>
                <w:b/>
                <w:bCs/>
                <w:color w:val="008080"/>
                <w:sz w:val="20"/>
                <w:szCs w:val="20"/>
                <w:lang w:eastAsia="pl-PL"/>
              </w:rPr>
            </w:pPr>
            <w:r w:rsidRPr="00EE0C8C">
              <w:rPr>
                <w:rFonts w:ascii="Arial" w:eastAsia="Times New Roman" w:hAnsi="Arial" w:cs="Arial"/>
                <w:b/>
                <w:bCs/>
                <w:color w:val="008080"/>
                <w:sz w:val="20"/>
                <w:szCs w:val="20"/>
                <w:lang w:eastAsia="pl-PL"/>
              </w:rPr>
              <w:t xml:space="preserve">Apteki </w:t>
            </w:r>
            <w:r w:rsidR="008F01FE">
              <w:rPr>
                <w:rFonts w:ascii="Arial" w:eastAsia="Times New Roman" w:hAnsi="Arial" w:cs="Arial"/>
                <w:b/>
                <w:bCs/>
                <w:color w:val="008080"/>
                <w:sz w:val="20"/>
                <w:szCs w:val="20"/>
                <w:lang w:eastAsia="pl-PL"/>
              </w:rPr>
              <w:t>–</w:t>
            </w:r>
            <w:r w:rsidRPr="00EE0C8C">
              <w:rPr>
                <w:rFonts w:ascii="Arial" w:eastAsia="Times New Roman" w:hAnsi="Arial" w:cs="Arial"/>
                <w:b/>
                <w:bCs/>
                <w:color w:val="008080"/>
                <w:sz w:val="20"/>
                <w:szCs w:val="20"/>
                <w:lang w:eastAsia="pl-PL"/>
              </w:rPr>
              <w:t xml:space="preserve"> wskaźniki</w:t>
            </w:r>
          </w:p>
        </w:tc>
      </w:tr>
      <w:tr w:rsidR="00EE0C8C" w:rsidRPr="00EE0C8C" w:rsidTr="00A76BDB">
        <w:trPr>
          <w:trHeight w:val="255"/>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rPr>
                <w:rFonts w:ascii="Arial" w:eastAsia="Times New Roman" w:hAnsi="Arial" w:cs="Arial"/>
                <w:sz w:val="20"/>
                <w:szCs w:val="20"/>
                <w:lang w:eastAsia="pl-PL"/>
              </w:rPr>
            </w:pPr>
            <w:r w:rsidRPr="00EE0C8C">
              <w:rPr>
                <w:rFonts w:ascii="Arial" w:eastAsia="Times New Roman" w:hAnsi="Arial" w:cs="Arial"/>
                <w:sz w:val="20"/>
                <w:szCs w:val="20"/>
                <w:lang w:eastAsia="pl-PL"/>
              </w:rPr>
              <w:t>ludność na aptekę ogólnodostępną</w:t>
            </w:r>
          </w:p>
        </w:tc>
        <w:tc>
          <w:tcPr>
            <w:tcW w:w="0" w:type="auto"/>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osoba</w:t>
            </w:r>
          </w:p>
        </w:tc>
        <w:tc>
          <w:tcPr>
            <w:tcW w:w="0" w:type="auto"/>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8442</w:t>
            </w:r>
          </w:p>
        </w:tc>
        <w:tc>
          <w:tcPr>
            <w:tcW w:w="0" w:type="auto"/>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8447</w:t>
            </w:r>
          </w:p>
        </w:tc>
        <w:tc>
          <w:tcPr>
            <w:tcW w:w="0" w:type="auto"/>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8420</w:t>
            </w:r>
          </w:p>
        </w:tc>
        <w:tc>
          <w:tcPr>
            <w:tcW w:w="0" w:type="auto"/>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8379</w:t>
            </w:r>
          </w:p>
        </w:tc>
      </w:tr>
    </w:tbl>
    <w:p w:rsidR="00EE0C8C" w:rsidRPr="00EE0C8C" w:rsidRDefault="00EE0C8C" w:rsidP="00EE0C8C">
      <w:pPr>
        <w:jc w:val="center"/>
        <w:rPr>
          <w:rFonts w:ascii="Calibri" w:eastAsia="Times New Roman" w:hAnsi="Calibri" w:cs="Times New Roman"/>
          <w:i/>
          <w:lang w:eastAsia="pl-PL"/>
        </w:rPr>
      </w:pPr>
      <w:r w:rsidRPr="00EE0C8C">
        <w:rPr>
          <w:rFonts w:ascii="Calibri" w:eastAsia="Times New Roman" w:hAnsi="Calibri" w:cs="Times New Roman"/>
          <w:i/>
          <w:lang w:eastAsia="pl-PL"/>
        </w:rPr>
        <w:t>(Źródło: Bank Danych Lokalnych)</w:t>
      </w:r>
    </w:p>
    <w:p w:rsidR="00EE0C8C" w:rsidRPr="00EE0C8C" w:rsidRDefault="00EE0C8C" w:rsidP="00EE0C8C">
      <w:pPr>
        <w:jc w:val="both"/>
        <w:rPr>
          <w:rFonts w:ascii="Calibri" w:eastAsia="Times New Roman" w:hAnsi="Calibri" w:cs="Times New Roman"/>
          <w:lang w:eastAsia="pl-PL"/>
        </w:rPr>
      </w:pPr>
      <w:r w:rsidRPr="00EE0C8C">
        <w:rPr>
          <w:rFonts w:ascii="Calibri" w:eastAsia="Times New Roman" w:hAnsi="Calibri" w:cs="Times New Roman"/>
          <w:lang w:eastAsia="pl-PL"/>
        </w:rPr>
        <w:t>W roku 2014 udzielono łącznie 32 709 porad lekarskich, w tym 32 416 to porady udzielone w obu ośrodkach, a 293 to porady udzielone w domu pacjenta.</w:t>
      </w:r>
    </w:p>
    <w:p w:rsidR="00EE0C8C" w:rsidRPr="00EE0C8C" w:rsidRDefault="00EE0C8C" w:rsidP="00EE0C8C">
      <w:pPr>
        <w:keepNext/>
        <w:keepLines/>
        <w:spacing w:before="200" w:after="0"/>
        <w:outlineLvl w:val="3"/>
        <w:rPr>
          <w:rFonts w:ascii="Cambria" w:eastAsia="Times New Roman" w:hAnsi="Cambria" w:cs="Times New Roman"/>
          <w:b/>
          <w:bCs/>
          <w:i/>
          <w:iCs/>
          <w:color w:val="4F81BD"/>
          <w:lang w:eastAsia="pl-PL"/>
        </w:rPr>
      </w:pPr>
      <w:r w:rsidRPr="00EE0C8C">
        <w:rPr>
          <w:rFonts w:ascii="Cambria" w:eastAsia="Times New Roman" w:hAnsi="Cambria" w:cs="Times New Roman"/>
          <w:b/>
          <w:bCs/>
          <w:i/>
          <w:iCs/>
          <w:color w:val="4F81BD"/>
          <w:lang w:eastAsia="pl-PL"/>
        </w:rPr>
        <w:t>POMOC SPOŁECZNA</w:t>
      </w:r>
    </w:p>
    <w:p w:rsidR="00EE0C8C" w:rsidRPr="00EE0C8C" w:rsidRDefault="00EE0C8C" w:rsidP="00EE0C8C">
      <w:pPr>
        <w:spacing w:after="0"/>
        <w:jc w:val="both"/>
        <w:rPr>
          <w:rFonts w:ascii="Calibri" w:eastAsia="Times New Roman" w:hAnsi="Calibri" w:cs="Times New Roman"/>
          <w:lang w:eastAsia="pl-PL"/>
        </w:rPr>
      </w:pPr>
    </w:p>
    <w:p w:rsidR="00EE0C8C" w:rsidRPr="00EE0C8C" w:rsidRDefault="00EE0C8C" w:rsidP="00EE0C8C">
      <w:pPr>
        <w:spacing w:after="0"/>
        <w:jc w:val="both"/>
        <w:rPr>
          <w:rFonts w:ascii="Calibri" w:eastAsia="Times New Roman" w:hAnsi="Calibri" w:cs="Times New Roman"/>
          <w:lang w:eastAsia="pl-PL"/>
        </w:rPr>
      </w:pPr>
      <w:r w:rsidRPr="00EE0C8C">
        <w:rPr>
          <w:rFonts w:ascii="Calibri" w:eastAsia="Times New Roman" w:hAnsi="Calibri" w:cs="Times New Roman"/>
          <w:lang w:eastAsia="pl-PL"/>
        </w:rPr>
        <w:t xml:space="preserve">Gminny Ośrodek Pomocy Społecznej w Mircu jest jednostką organizacyjną samorządu terytorialnego, utworzoną do realizowania zadań własnych gminy i zadań zleconych gminie w zakresie pomocy społecznej. Ośrodek realizuje również zadania wynikające z Gminnego Programu Profilaktyki </w:t>
      </w:r>
      <w:r w:rsidRPr="00EE0C8C">
        <w:rPr>
          <w:rFonts w:ascii="Calibri" w:eastAsia="Times New Roman" w:hAnsi="Calibri" w:cs="Times New Roman"/>
          <w:lang w:eastAsia="pl-PL"/>
        </w:rPr>
        <w:br/>
        <w:t xml:space="preserve">i Rozwiązywania Problemów Alkoholowych oraz Przeciwdziałania Narkomanii i Przemocy w Rodzinie, zadania wynikające z ustawy o świadczeniach rodzinnych, zadania wynikające z ustawy o wspieraniu rodziny i systemu pieczy zastępczej oraz zadania wynikające z ustawy o przeciwdziałaniu przemocy </w:t>
      </w:r>
      <w:r w:rsidR="000D717F">
        <w:rPr>
          <w:rFonts w:ascii="Calibri" w:eastAsia="Times New Roman" w:hAnsi="Calibri" w:cs="Times New Roman"/>
          <w:lang w:eastAsia="pl-PL"/>
        </w:rPr>
        <w:br/>
      </w:r>
      <w:r w:rsidRPr="00EE0C8C">
        <w:rPr>
          <w:rFonts w:ascii="Calibri" w:eastAsia="Times New Roman" w:hAnsi="Calibri" w:cs="Times New Roman"/>
          <w:lang w:eastAsia="pl-PL"/>
        </w:rPr>
        <w:t>w rodzinie. Obejmuje swoją działalnością 10 sołectw. Gmina jest podzielona  na 4 rejony opiekuńcze, które obsługuje 4 pracowników socjalnych. Działanie Ośrodka koncentruje się przede wszystkim na zadaniach mających na celu przeciwdziałaniu bierności zawodowej beneficjentów pomocy społecznej, poprzez realizowanie działań aktywizujących (praca socjalna, kontrakty socjalne) oraz ograniczenie pomocy finansowej na rzecz pomocy niematerialnej, które będą zmierzać do życiowego usamodzielnienia osób i rodzin</w:t>
      </w:r>
      <w:r w:rsidRPr="00EE0C8C">
        <w:rPr>
          <w:rFonts w:ascii="Calibri" w:eastAsia="Times New Roman" w:hAnsi="Calibri" w:cs="Times New Roman"/>
          <w:vertAlign w:val="superscript"/>
          <w:lang w:eastAsia="pl-PL"/>
        </w:rPr>
        <w:footnoteReference w:id="23"/>
      </w:r>
      <w:r w:rsidRPr="00EE0C8C">
        <w:rPr>
          <w:rFonts w:ascii="Calibri" w:eastAsia="Times New Roman" w:hAnsi="Calibri" w:cs="Times New Roman"/>
          <w:lang w:eastAsia="pl-PL"/>
        </w:rPr>
        <w:t>.</w:t>
      </w:r>
    </w:p>
    <w:p w:rsidR="00EE0C8C" w:rsidRDefault="00EE0C8C" w:rsidP="00EE0C8C">
      <w:pPr>
        <w:jc w:val="center"/>
        <w:rPr>
          <w:rFonts w:ascii="Calibri" w:eastAsia="Times New Roman" w:hAnsi="Calibri" w:cs="Times New Roman"/>
          <w:i/>
          <w:lang w:eastAsia="pl-PL"/>
        </w:rPr>
      </w:pPr>
      <w:r w:rsidRPr="00EE0C8C">
        <w:rPr>
          <w:rFonts w:ascii="Calibri" w:eastAsia="Times New Roman" w:hAnsi="Calibri" w:cs="Times New Roman"/>
          <w:noProof/>
          <w:lang w:eastAsia="pl-PL"/>
        </w:rPr>
        <w:drawing>
          <wp:inline distT="0" distB="0" distL="0" distR="0" wp14:anchorId="3CEAC829" wp14:editId="160D9C8C">
            <wp:extent cx="3295650" cy="2771977"/>
            <wp:effectExtent l="0" t="0" r="0" b="952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95650" cy="2771977"/>
                    </a:xfrm>
                    <a:prstGeom prst="rect">
                      <a:avLst/>
                    </a:prstGeom>
                    <a:noFill/>
                    <a:ln>
                      <a:noFill/>
                    </a:ln>
                  </pic:spPr>
                </pic:pic>
              </a:graphicData>
            </a:graphic>
          </wp:inline>
        </w:drawing>
      </w:r>
      <w:r w:rsidRPr="00EE0C8C">
        <w:rPr>
          <w:rFonts w:ascii="Calibri" w:eastAsia="Times New Roman" w:hAnsi="Calibri" w:cs="Times New Roman"/>
          <w:lang w:eastAsia="pl-PL"/>
        </w:rPr>
        <w:br/>
      </w:r>
      <w:r w:rsidRPr="00EE0C8C">
        <w:rPr>
          <w:rFonts w:ascii="Calibri" w:eastAsia="Times New Roman" w:hAnsi="Calibri" w:cs="Times New Roman"/>
          <w:i/>
          <w:lang w:eastAsia="pl-PL"/>
        </w:rPr>
        <w:t xml:space="preserve">(Źródło: </w:t>
      </w:r>
      <w:hyperlink r:id="rId28" w:history="1">
        <w:r w:rsidR="000D717F" w:rsidRPr="00A4367B">
          <w:rPr>
            <w:rStyle w:val="Hipercze"/>
            <w:rFonts w:ascii="Calibri" w:eastAsia="Times New Roman" w:hAnsi="Calibri" w:cs="Times New Roman"/>
            <w:i/>
            <w:lang w:eastAsia="pl-PL"/>
          </w:rPr>
          <w:t>http://kielce.stat.gov.pl</w:t>
        </w:r>
      </w:hyperlink>
      <w:r w:rsidRPr="00EE0C8C">
        <w:rPr>
          <w:rFonts w:ascii="Calibri" w:eastAsia="Times New Roman" w:hAnsi="Calibri" w:cs="Times New Roman"/>
          <w:i/>
          <w:lang w:eastAsia="pl-PL"/>
        </w:rPr>
        <w:t>)</w:t>
      </w:r>
    </w:p>
    <w:p w:rsidR="000D717F" w:rsidRPr="00EE0C8C" w:rsidRDefault="000D717F" w:rsidP="00EE0C8C">
      <w:pPr>
        <w:jc w:val="center"/>
        <w:rPr>
          <w:rFonts w:ascii="Calibri" w:eastAsia="Times New Roman" w:hAnsi="Calibri" w:cs="Times New Roman"/>
          <w:lang w:eastAsia="pl-PL"/>
        </w:rPr>
      </w:pPr>
    </w:p>
    <w:tbl>
      <w:tblPr>
        <w:tblW w:w="4682" w:type="pct"/>
        <w:tblCellMar>
          <w:left w:w="70" w:type="dxa"/>
          <w:right w:w="70" w:type="dxa"/>
        </w:tblCellMar>
        <w:tblLook w:val="04A0" w:firstRow="1" w:lastRow="0" w:firstColumn="1" w:lastColumn="0" w:noHBand="0" w:noVBand="1"/>
      </w:tblPr>
      <w:tblGrid>
        <w:gridCol w:w="4607"/>
        <w:gridCol w:w="1577"/>
        <w:gridCol w:w="1010"/>
        <w:gridCol w:w="1010"/>
        <w:gridCol w:w="1008"/>
      </w:tblGrid>
      <w:tr w:rsidR="00EE0C8C" w:rsidRPr="00EE0C8C" w:rsidTr="00A76BDB">
        <w:trPr>
          <w:trHeight w:val="222"/>
        </w:trPr>
        <w:tc>
          <w:tcPr>
            <w:tcW w:w="2534" w:type="pct"/>
            <w:tcBorders>
              <w:top w:val="single" w:sz="4" w:space="0" w:color="000000"/>
              <w:left w:val="single" w:sz="4" w:space="0" w:color="000000"/>
              <w:bottom w:val="single" w:sz="4" w:space="0" w:color="000000"/>
              <w:right w:val="single" w:sz="4" w:space="0" w:color="000000"/>
            </w:tcBorders>
            <w:shd w:val="clear" w:color="000000" w:fill="008080"/>
            <w:noWrap/>
            <w:vAlign w:val="center"/>
            <w:hideMark/>
          </w:tcPr>
          <w:p w:rsidR="00EE0C8C" w:rsidRPr="00EE0C8C" w:rsidRDefault="00EE0C8C" w:rsidP="00EE0C8C">
            <w:pPr>
              <w:spacing w:after="0" w:line="240" w:lineRule="auto"/>
              <w:jc w:val="center"/>
              <w:rPr>
                <w:rFonts w:ascii="Arial" w:eastAsia="Times New Roman" w:hAnsi="Arial" w:cs="Arial"/>
                <w:b/>
                <w:bCs/>
                <w:color w:val="FFFFFF"/>
                <w:sz w:val="20"/>
                <w:szCs w:val="20"/>
                <w:lang w:eastAsia="pl-PL"/>
              </w:rPr>
            </w:pPr>
            <w:r w:rsidRPr="00EE0C8C">
              <w:rPr>
                <w:rFonts w:ascii="Arial" w:eastAsia="Times New Roman" w:hAnsi="Arial" w:cs="Arial"/>
                <w:b/>
                <w:bCs/>
                <w:color w:val="FFFFFF"/>
                <w:sz w:val="20"/>
                <w:szCs w:val="20"/>
                <w:lang w:eastAsia="pl-PL"/>
              </w:rPr>
              <w:lastRenderedPageBreak/>
              <w:t> </w:t>
            </w:r>
          </w:p>
        </w:tc>
        <w:tc>
          <w:tcPr>
            <w:tcW w:w="853" w:type="pct"/>
            <w:tcBorders>
              <w:top w:val="single" w:sz="4" w:space="0" w:color="000000"/>
              <w:left w:val="nil"/>
              <w:bottom w:val="single" w:sz="4" w:space="0" w:color="000000"/>
              <w:right w:val="single" w:sz="4" w:space="0" w:color="000000"/>
            </w:tcBorders>
            <w:shd w:val="clear" w:color="000000" w:fill="008080"/>
            <w:noWrap/>
            <w:vAlign w:val="center"/>
            <w:hideMark/>
          </w:tcPr>
          <w:p w:rsidR="00EE0C8C" w:rsidRPr="00EE0C8C" w:rsidRDefault="00EE0C8C" w:rsidP="00EE0C8C">
            <w:pPr>
              <w:spacing w:after="0" w:line="240" w:lineRule="auto"/>
              <w:jc w:val="center"/>
              <w:rPr>
                <w:rFonts w:ascii="Arial" w:eastAsia="Times New Roman" w:hAnsi="Arial" w:cs="Arial"/>
                <w:b/>
                <w:bCs/>
                <w:color w:val="FFFFFF"/>
                <w:sz w:val="20"/>
                <w:szCs w:val="20"/>
                <w:lang w:eastAsia="pl-PL"/>
              </w:rPr>
            </w:pPr>
            <w:r w:rsidRPr="00EE0C8C">
              <w:rPr>
                <w:rFonts w:ascii="Arial" w:eastAsia="Times New Roman" w:hAnsi="Arial" w:cs="Arial"/>
                <w:b/>
                <w:bCs/>
                <w:color w:val="FFFFFF"/>
                <w:sz w:val="20"/>
                <w:szCs w:val="20"/>
                <w:lang w:eastAsia="pl-PL"/>
              </w:rPr>
              <w:t>Jednostka miary</w:t>
            </w:r>
          </w:p>
        </w:tc>
        <w:tc>
          <w:tcPr>
            <w:tcW w:w="538" w:type="pct"/>
            <w:tcBorders>
              <w:top w:val="single" w:sz="4" w:space="0" w:color="000000"/>
              <w:left w:val="nil"/>
              <w:bottom w:val="single" w:sz="4" w:space="0" w:color="000000"/>
              <w:right w:val="single" w:sz="4" w:space="0" w:color="000000"/>
            </w:tcBorders>
            <w:shd w:val="clear" w:color="000000" w:fill="008080"/>
            <w:noWrap/>
            <w:vAlign w:val="center"/>
            <w:hideMark/>
          </w:tcPr>
          <w:p w:rsidR="00EE0C8C" w:rsidRPr="00EE0C8C" w:rsidRDefault="00EE0C8C" w:rsidP="00EE0C8C">
            <w:pPr>
              <w:spacing w:after="0" w:line="240" w:lineRule="auto"/>
              <w:jc w:val="center"/>
              <w:rPr>
                <w:rFonts w:ascii="Arial" w:eastAsia="Times New Roman" w:hAnsi="Arial" w:cs="Arial"/>
                <w:b/>
                <w:bCs/>
                <w:color w:val="FFFFFF"/>
                <w:sz w:val="20"/>
                <w:szCs w:val="20"/>
                <w:lang w:eastAsia="pl-PL"/>
              </w:rPr>
            </w:pPr>
            <w:r w:rsidRPr="00EE0C8C">
              <w:rPr>
                <w:rFonts w:ascii="Arial" w:eastAsia="Times New Roman" w:hAnsi="Arial" w:cs="Arial"/>
                <w:b/>
                <w:bCs/>
                <w:color w:val="FFFFFF"/>
                <w:sz w:val="20"/>
                <w:szCs w:val="20"/>
                <w:lang w:eastAsia="pl-PL"/>
              </w:rPr>
              <w:t>2012</w:t>
            </w:r>
          </w:p>
        </w:tc>
        <w:tc>
          <w:tcPr>
            <w:tcW w:w="538" w:type="pct"/>
            <w:tcBorders>
              <w:top w:val="single" w:sz="4" w:space="0" w:color="000000"/>
              <w:left w:val="nil"/>
              <w:bottom w:val="single" w:sz="4" w:space="0" w:color="000000"/>
              <w:right w:val="single" w:sz="4" w:space="0" w:color="000000"/>
            </w:tcBorders>
            <w:shd w:val="clear" w:color="000000" w:fill="008080"/>
            <w:noWrap/>
            <w:vAlign w:val="center"/>
            <w:hideMark/>
          </w:tcPr>
          <w:p w:rsidR="00EE0C8C" w:rsidRPr="00EE0C8C" w:rsidRDefault="00EE0C8C" w:rsidP="00EE0C8C">
            <w:pPr>
              <w:spacing w:after="0" w:line="240" w:lineRule="auto"/>
              <w:jc w:val="center"/>
              <w:rPr>
                <w:rFonts w:ascii="Arial" w:eastAsia="Times New Roman" w:hAnsi="Arial" w:cs="Arial"/>
                <w:b/>
                <w:bCs/>
                <w:color w:val="FFFFFF"/>
                <w:sz w:val="20"/>
                <w:szCs w:val="20"/>
                <w:lang w:eastAsia="pl-PL"/>
              </w:rPr>
            </w:pPr>
            <w:r w:rsidRPr="00EE0C8C">
              <w:rPr>
                <w:rFonts w:ascii="Arial" w:eastAsia="Times New Roman" w:hAnsi="Arial" w:cs="Arial"/>
                <w:b/>
                <w:bCs/>
                <w:color w:val="FFFFFF"/>
                <w:sz w:val="20"/>
                <w:szCs w:val="20"/>
                <w:lang w:eastAsia="pl-PL"/>
              </w:rPr>
              <w:t>2013</w:t>
            </w:r>
          </w:p>
        </w:tc>
        <w:tc>
          <w:tcPr>
            <w:tcW w:w="536" w:type="pct"/>
            <w:tcBorders>
              <w:top w:val="single" w:sz="4" w:space="0" w:color="000000"/>
              <w:left w:val="nil"/>
              <w:bottom w:val="single" w:sz="4" w:space="0" w:color="000000"/>
              <w:right w:val="single" w:sz="4" w:space="0" w:color="000000"/>
            </w:tcBorders>
            <w:shd w:val="clear" w:color="000000" w:fill="008080"/>
            <w:noWrap/>
            <w:vAlign w:val="center"/>
            <w:hideMark/>
          </w:tcPr>
          <w:p w:rsidR="00EE0C8C" w:rsidRPr="00EE0C8C" w:rsidRDefault="00EE0C8C" w:rsidP="00EE0C8C">
            <w:pPr>
              <w:spacing w:after="0" w:line="240" w:lineRule="auto"/>
              <w:jc w:val="center"/>
              <w:rPr>
                <w:rFonts w:ascii="Arial" w:eastAsia="Times New Roman" w:hAnsi="Arial" w:cs="Arial"/>
                <w:b/>
                <w:bCs/>
                <w:color w:val="FFFFFF"/>
                <w:sz w:val="20"/>
                <w:szCs w:val="20"/>
                <w:lang w:eastAsia="pl-PL"/>
              </w:rPr>
            </w:pPr>
            <w:r w:rsidRPr="00EE0C8C">
              <w:rPr>
                <w:rFonts w:ascii="Arial" w:eastAsia="Times New Roman" w:hAnsi="Arial" w:cs="Arial"/>
                <w:b/>
                <w:bCs/>
                <w:color w:val="FFFFFF"/>
                <w:sz w:val="20"/>
                <w:szCs w:val="20"/>
                <w:lang w:eastAsia="pl-PL"/>
              </w:rPr>
              <w:t>2014</w:t>
            </w:r>
          </w:p>
        </w:tc>
      </w:tr>
      <w:tr w:rsidR="00EE0C8C" w:rsidRPr="00EE0C8C" w:rsidTr="00A76BDB">
        <w:trPr>
          <w:trHeight w:val="222"/>
        </w:trPr>
        <w:tc>
          <w:tcPr>
            <w:tcW w:w="5000" w:type="pct"/>
            <w:gridSpan w:val="5"/>
            <w:tcBorders>
              <w:top w:val="single" w:sz="4" w:space="0" w:color="000000"/>
              <w:left w:val="single" w:sz="4" w:space="0" w:color="000000"/>
              <w:bottom w:val="single" w:sz="4" w:space="0" w:color="000000"/>
              <w:right w:val="single" w:sz="4" w:space="0" w:color="000000"/>
            </w:tcBorders>
            <w:shd w:val="clear" w:color="000000" w:fill="008080"/>
            <w:noWrap/>
            <w:vAlign w:val="center"/>
            <w:hideMark/>
          </w:tcPr>
          <w:p w:rsidR="00EE0C8C" w:rsidRPr="00EE0C8C" w:rsidRDefault="00EE0C8C" w:rsidP="00EE0C8C">
            <w:pPr>
              <w:spacing w:after="0" w:line="240" w:lineRule="auto"/>
              <w:rPr>
                <w:rFonts w:ascii="Arial" w:eastAsia="Times New Roman" w:hAnsi="Arial" w:cs="Arial"/>
                <w:b/>
                <w:bCs/>
                <w:color w:val="FFFFFF"/>
                <w:sz w:val="20"/>
                <w:szCs w:val="20"/>
                <w:lang w:eastAsia="pl-PL"/>
              </w:rPr>
            </w:pPr>
            <w:r w:rsidRPr="00EE0C8C">
              <w:rPr>
                <w:rFonts w:ascii="Arial" w:eastAsia="Times New Roman" w:hAnsi="Arial" w:cs="Arial"/>
                <w:b/>
                <w:bCs/>
                <w:color w:val="FFFFFF"/>
                <w:sz w:val="20"/>
                <w:szCs w:val="20"/>
                <w:lang w:eastAsia="pl-PL"/>
              </w:rPr>
              <w:t>ŚRODOWISKOWA POMOC SPOŁECZNA</w:t>
            </w:r>
          </w:p>
        </w:tc>
      </w:tr>
      <w:tr w:rsidR="00EE0C8C" w:rsidRPr="00EE0C8C" w:rsidTr="00A76BDB">
        <w:trPr>
          <w:trHeight w:val="222"/>
        </w:trPr>
        <w:tc>
          <w:tcPr>
            <w:tcW w:w="5000" w:type="pct"/>
            <w:gridSpan w:val="5"/>
            <w:tcBorders>
              <w:top w:val="single" w:sz="4" w:space="0" w:color="000000"/>
              <w:left w:val="single" w:sz="4" w:space="0" w:color="000000"/>
              <w:bottom w:val="single" w:sz="4" w:space="0" w:color="000000"/>
              <w:right w:val="single" w:sz="4" w:space="0" w:color="000000"/>
            </w:tcBorders>
            <w:shd w:val="clear" w:color="000000" w:fill="33CCCC"/>
            <w:noWrap/>
            <w:vAlign w:val="center"/>
            <w:hideMark/>
          </w:tcPr>
          <w:p w:rsidR="00EE0C8C" w:rsidRPr="00EE0C8C" w:rsidRDefault="00EE0C8C" w:rsidP="00EE0C8C">
            <w:pPr>
              <w:spacing w:after="0" w:line="240" w:lineRule="auto"/>
              <w:rPr>
                <w:rFonts w:ascii="Arial" w:eastAsia="Times New Roman" w:hAnsi="Arial" w:cs="Arial"/>
                <w:b/>
                <w:bCs/>
                <w:color w:val="008080"/>
                <w:sz w:val="20"/>
                <w:szCs w:val="20"/>
                <w:lang w:eastAsia="pl-PL"/>
              </w:rPr>
            </w:pPr>
            <w:r w:rsidRPr="00EE0C8C">
              <w:rPr>
                <w:rFonts w:ascii="Arial" w:eastAsia="Times New Roman" w:hAnsi="Arial" w:cs="Arial"/>
                <w:b/>
                <w:bCs/>
                <w:color w:val="008080"/>
                <w:sz w:val="20"/>
                <w:szCs w:val="20"/>
                <w:lang w:eastAsia="pl-PL"/>
              </w:rPr>
              <w:t>Gospodarstwa domowe korzystające z pomocy społecznej wg kryterium dochodowego</w:t>
            </w:r>
          </w:p>
        </w:tc>
      </w:tr>
      <w:tr w:rsidR="00EE0C8C" w:rsidRPr="00EE0C8C" w:rsidTr="00A76BDB">
        <w:trPr>
          <w:trHeight w:val="222"/>
        </w:trPr>
        <w:tc>
          <w:tcPr>
            <w:tcW w:w="2534" w:type="pct"/>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rPr>
                <w:rFonts w:ascii="Arial" w:eastAsia="Times New Roman" w:hAnsi="Arial" w:cs="Arial"/>
                <w:sz w:val="20"/>
                <w:szCs w:val="20"/>
                <w:lang w:eastAsia="pl-PL"/>
              </w:rPr>
            </w:pPr>
            <w:r w:rsidRPr="00EE0C8C">
              <w:rPr>
                <w:rFonts w:ascii="Arial" w:eastAsia="Times New Roman" w:hAnsi="Arial" w:cs="Arial"/>
                <w:sz w:val="20"/>
                <w:szCs w:val="20"/>
                <w:lang w:eastAsia="pl-PL"/>
              </w:rPr>
              <w:t>ogółem</w:t>
            </w:r>
          </w:p>
        </w:tc>
        <w:tc>
          <w:tcPr>
            <w:tcW w:w="853" w:type="pct"/>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gosp.</w:t>
            </w:r>
          </w:p>
        </w:tc>
        <w:tc>
          <w:tcPr>
            <w:tcW w:w="538" w:type="pct"/>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292</w:t>
            </w:r>
          </w:p>
        </w:tc>
        <w:tc>
          <w:tcPr>
            <w:tcW w:w="538" w:type="pct"/>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312</w:t>
            </w:r>
          </w:p>
        </w:tc>
        <w:tc>
          <w:tcPr>
            <w:tcW w:w="536" w:type="pct"/>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311</w:t>
            </w:r>
          </w:p>
        </w:tc>
      </w:tr>
      <w:tr w:rsidR="00EE0C8C" w:rsidRPr="00EE0C8C" w:rsidTr="00A76BDB">
        <w:trPr>
          <w:trHeight w:val="222"/>
        </w:trPr>
        <w:tc>
          <w:tcPr>
            <w:tcW w:w="2534" w:type="pct"/>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rPr>
                <w:rFonts w:ascii="Arial" w:eastAsia="Times New Roman" w:hAnsi="Arial" w:cs="Arial"/>
                <w:sz w:val="20"/>
                <w:szCs w:val="20"/>
                <w:lang w:eastAsia="pl-PL"/>
              </w:rPr>
            </w:pPr>
            <w:r w:rsidRPr="00EE0C8C">
              <w:rPr>
                <w:rFonts w:ascii="Arial" w:eastAsia="Times New Roman" w:hAnsi="Arial" w:cs="Arial"/>
                <w:sz w:val="20"/>
                <w:szCs w:val="20"/>
                <w:lang w:eastAsia="pl-PL"/>
              </w:rPr>
              <w:t>poniżej kryterium dochodowego</w:t>
            </w:r>
          </w:p>
        </w:tc>
        <w:tc>
          <w:tcPr>
            <w:tcW w:w="853" w:type="pct"/>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gosp.</w:t>
            </w:r>
          </w:p>
        </w:tc>
        <w:tc>
          <w:tcPr>
            <w:tcW w:w="538" w:type="pct"/>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186</w:t>
            </w:r>
          </w:p>
        </w:tc>
        <w:tc>
          <w:tcPr>
            <w:tcW w:w="538" w:type="pct"/>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213</w:t>
            </w:r>
          </w:p>
        </w:tc>
        <w:tc>
          <w:tcPr>
            <w:tcW w:w="536" w:type="pct"/>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191</w:t>
            </w:r>
          </w:p>
        </w:tc>
      </w:tr>
      <w:tr w:rsidR="00EE0C8C" w:rsidRPr="00EE0C8C" w:rsidTr="00A76BDB">
        <w:trPr>
          <w:trHeight w:val="222"/>
        </w:trPr>
        <w:tc>
          <w:tcPr>
            <w:tcW w:w="2534" w:type="pct"/>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rPr>
                <w:rFonts w:ascii="Arial" w:eastAsia="Times New Roman" w:hAnsi="Arial" w:cs="Arial"/>
                <w:sz w:val="20"/>
                <w:szCs w:val="20"/>
                <w:lang w:eastAsia="pl-PL"/>
              </w:rPr>
            </w:pPr>
            <w:r w:rsidRPr="00EE0C8C">
              <w:rPr>
                <w:rFonts w:ascii="Arial" w:eastAsia="Times New Roman" w:hAnsi="Arial" w:cs="Arial"/>
                <w:sz w:val="20"/>
                <w:szCs w:val="20"/>
                <w:lang w:eastAsia="pl-PL"/>
              </w:rPr>
              <w:t>powyżej kryterium dochodowego</w:t>
            </w:r>
          </w:p>
        </w:tc>
        <w:tc>
          <w:tcPr>
            <w:tcW w:w="853" w:type="pct"/>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gosp.</w:t>
            </w:r>
          </w:p>
        </w:tc>
        <w:tc>
          <w:tcPr>
            <w:tcW w:w="538" w:type="pct"/>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106</w:t>
            </w:r>
          </w:p>
        </w:tc>
        <w:tc>
          <w:tcPr>
            <w:tcW w:w="538" w:type="pct"/>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99</w:t>
            </w:r>
          </w:p>
        </w:tc>
        <w:tc>
          <w:tcPr>
            <w:tcW w:w="536" w:type="pct"/>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120</w:t>
            </w:r>
          </w:p>
        </w:tc>
      </w:tr>
      <w:tr w:rsidR="00EE0C8C" w:rsidRPr="00EE0C8C" w:rsidTr="00A76BDB">
        <w:trPr>
          <w:trHeight w:val="222"/>
        </w:trPr>
        <w:tc>
          <w:tcPr>
            <w:tcW w:w="5000" w:type="pct"/>
            <w:gridSpan w:val="5"/>
            <w:tcBorders>
              <w:top w:val="single" w:sz="4" w:space="0" w:color="000000"/>
              <w:left w:val="single" w:sz="4" w:space="0" w:color="000000"/>
              <w:bottom w:val="single" w:sz="4" w:space="0" w:color="000000"/>
              <w:right w:val="single" w:sz="4" w:space="0" w:color="000000"/>
            </w:tcBorders>
            <w:shd w:val="clear" w:color="000000" w:fill="33CCCC"/>
            <w:noWrap/>
            <w:vAlign w:val="center"/>
            <w:hideMark/>
          </w:tcPr>
          <w:p w:rsidR="00EE0C8C" w:rsidRPr="00EE0C8C" w:rsidRDefault="00EE0C8C" w:rsidP="00EE0C8C">
            <w:pPr>
              <w:spacing w:after="0" w:line="240" w:lineRule="auto"/>
              <w:rPr>
                <w:rFonts w:ascii="Arial" w:eastAsia="Times New Roman" w:hAnsi="Arial" w:cs="Arial"/>
                <w:b/>
                <w:bCs/>
                <w:color w:val="008080"/>
                <w:sz w:val="20"/>
                <w:szCs w:val="20"/>
                <w:lang w:eastAsia="pl-PL"/>
              </w:rPr>
            </w:pPr>
            <w:r w:rsidRPr="00EE0C8C">
              <w:rPr>
                <w:rFonts w:ascii="Arial" w:eastAsia="Times New Roman" w:hAnsi="Arial" w:cs="Arial"/>
                <w:b/>
                <w:bCs/>
                <w:color w:val="008080"/>
                <w:sz w:val="20"/>
                <w:szCs w:val="20"/>
                <w:lang w:eastAsia="pl-PL"/>
              </w:rPr>
              <w:t>Osoby w gospodarstwach domowych korzystających z pomocy społecznej wg kryterium dochodowego i ekonomicznych grup wieku</w:t>
            </w:r>
          </w:p>
        </w:tc>
      </w:tr>
      <w:tr w:rsidR="00EE0C8C" w:rsidRPr="00EE0C8C" w:rsidTr="00A76BDB">
        <w:trPr>
          <w:trHeight w:val="222"/>
        </w:trPr>
        <w:tc>
          <w:tcPr>
            <w:tcW w:w="5000" w:type="pct"/>
            <w:gridSpan w:val="5"/>
            <w:tcBorders>
              <w:top w:val="single" w:sz="4" w:space="0" w:color="000000"/>
              <w:left w:val="single" w:sz="4" w:space="0" w:color="000000"/>
              <w:bottom w:val="single" w:sz="4" w:space="0" w:color="000000"/>
              <w:right w:val="single" w:sz="4" w:space="0" w:color="000000"/>
            </w:tcBorders>
            <w:shd w:val="clear" w:color="000000" w:fill="808080"/>
            <w:noWrap/>
            <w:vAlign w:val="center"/>
            <w:hideMark/>
          </w:tcPr>
          <w:p w:rsidR="00EE0C8C" w:rsidRPr="00EE0C8C" w:rsidRDefault="00EE0C8C" w:rsidP="00EE0C8C">
            <w:pPr>
              <w:spacing w:after="0" w:line="240" w:lineRule="auto"/>
              <w:rPr>
                <w:rFonts w:ascii="Arial" w:eastAsia="Times New Roman" w:hAnsi="Arial" w:cs="Arial"/>
                <w:color w:val="000000"/>
                <w:sz w:val="20"/>
                <w:szCs w:val="20"/>
                <w:lang w:eastAsia="pl-PL"/>
              </w:rPr>
            </w:pPr>
            <w:r w:rsidRPr="00EE0C8C">
              <w:rPr>
                <w:rFonts w:ascii="Arial" w:eastAsia="Times New Roman" w:hAnsi="Arial" w:cs="Arial"/>
                <w:color w:val="000000"/>
                <w:sz w:val="20"/>
                <w:szCs w:val="20"/>
                <w:lang w:eastAsia="pl-PL"/>
              </w:rPr>
              <w:t>ogółem</w:t>
            </w:r>
          </w:p>
        </w:tc>
      </w:tr>
      <w:tr w:rsidR="00EE0C8C" w:rsidRPr="00EE0C8C" w:rsidTr="00A76BDB">
        <w:trPr>
          <w:trHeight w:val="222"/>
        </w:trPr>
        <w:tc>
          <w:tcPr>
            <w:tcW w:w="2534" w:type="pct"/>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100" w:firstLine="200"/>
              <w:rPr>
                <w:rFonts w:ascii="Arial" w:eastAsia="Times New Roman" w:hAnsi="Arial" w:cs="Arial"/>
                <w:sz w:val="20"/>
                <w:szCs w:val="20"/>
                <w:lang w:eastAsia="pl-PL"/>
              </w:rPr>
            </w:pPr>
            <w:r w:rsidRPr="00EE0C8C">
              <w:rPr>
                <w:rFonts w:ascii="Arial" w:eastAsia="Times New Roman" w:hAnsi="Arial" w:cs="Arial"/>
                <w:sz w:val="20"/>
                <w:szCs w:val="20"/>
                <w:lang w:eastAsia="pl-PL"/>
              </w:rPr>
              <w:t>ogółem</w:t>
            </w:r>
          </w:p>
        </w:tc>
        <w:tc>
          <w:tcPr>
            <w:tcW w:w="853" w:type="pct"/>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osoba</w:t>
            </w:r>
          </w:p>
        </w:tc>
        <w:tc>
          <w:tcPr>
            <w:tcW w:w="538" w:type="pct"/>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770</w:t>
            </w:r>
          </w:p>
        </w:tc>
        <w:tc>
          <w:tcPr>
            <w:tcW w:w="538" w:type="pct"/>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817</w:t>
            </w:r>
          </w:p>
        </w:tc>
        <w:tc>
          <w:tcPr>
            <w:tcW w:w="536" w:type="pct"/>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790</w:t>
            </w:r>
          </w:p>
        </w:tc>
      </w:tr>
      <w:tr w:rsidR="00EE0C8C" w:rsidRPr="00EE0C8C" w:rsidTr="00A76BDB">
        <w:trPr>
          <w:trHeight w:val="222"/>
        </w:trPr>
        <w:tc>
          <w:tcPr>
            <w:tcW w:w="5000" w:type="pct"/>
            <w:gridSpan w:val="5"/>
            <w:tcBorders>
              <w:top w:val="single" w:sz="4" w:space="0" w:color="000000"/>
              <w:left w:val="single" w:sz="4" w:space="0" w:color="000000"/>
              <w:bottom w:val="single" w:sz="4" w:space="0" w:color="000000"/>
              <w:right w:val="single" w:sz="4" w:space="0" w:color="000000"/>
            </w:tcBorders>
            <w:shd w:val="clear" w:color="000000" w:fill="808080"/>
            <w:noWrap/>
            <w:vAlign w:val="center"/>
            <w:hideMark/>
          </w:tcPr>
          <w:p w:rsidR="00EE0C8C" w:rsidRPr="00EE0C8C" w:rsidRDefault="00EE0C8C" w:rsidP="00EE0C8C">
            <w:pPr>
              <w:spacing w:after="0" w:line="240" w:lineRule="auto"/>
              <w:rPr>
                <w:rFonts w:ascii="Arial" w:eastAsia="Times New Roman" w:hAnsi="Arial" w:cs="Arial"/>
                <w:color w:val="000000"/>
                <w:sz w:val="20"/>
                <w:szCs w:val="20"/>
                <w:lang w:eastAsia="pl-PL"/>
              </w:rPr>
            </w:pPr>
            <w:r w:rsidRPr="00EE0C8C">
              <w:rPr>
                <w:rFonts w:ascii="Arial" w:eastAsia="Times New Roman" w:hAnsi="Arial" w:cs="Arial"/>
                <w:color w:val="000000"/>
                <w:sz w:val="20"/>
                <w:szCs w:val="20"/>
                <w:lang w:eastAsia="pl-PL"/>
              </w:rPr>
              <w:t>poniżej kryterium dochodowego</w:t>
            </w:r>
          </w:p>
        </w:tc>
      </w:tr>
      <w:tr w:rsidR="00EE0C8C" w:rsidRPr="00EE0C8C" w:rsidTr="00A76BDB">
        <w:trPr>
          <w:trHeight w:val="222"/>
        </w:trPr>
        <w:tc>
          <w:tcPr>
            <w:tcW w:w="2534" w:type="pct"/>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100" w:firstLine="200"/>
              <w:rPr>
                <w:rFonts w:ascii="Arial" w:eastAsia="Times New Roman" w:hAnsi="Arial" w:cs="Arial"/>
                <w:sz w:val="20"/>
                <w:szCs w:val="20"/>
                <w:lang w:eastAsia="pl-PL"/>
              </w:rPr>
            </w:pPr>
            <w:r w:rsidRPr="00EE0C8C">
              <w:rPr>
                <w:rFonts w:ascii="Arial" w:eastAsia="Times New Roman" w:hAnsi="Arial" w:cs="Arial"/>
                <w:sz w:val="20"/>
                <w:szCs w:val="20"/>
                <w:lang w:eastAsia="pl-PL"/>
              </w:rPr>
              <w:t>ogółem</w:t>
            </w:r>
          </w:p>
        </w:tc>
        <w:tc>
          <w:tcPr>
            <w:tcW w:w="853" w:type="pct"/>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osoba</w:t>
            </w:r>
          </w:p>
        </w:tc>
        <w:tc>
          <w:tcPr>
            <w:tcW w:w="538" w:type="pct"/>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496</w:t>
            </w:r>
          </w:p>
        </w:tc>
        <w:tc>
          <w:tcPr>
            <w:tcW w:w="538" w:type="pct"/>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543</w:t>
            </w:r>
          </w:p>
        </w:tc>
        <w:tc>
          <w:tcPr>
            <w:tcW w:w="536" w:type="pct"/>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468</w:t>
            </w:r>
          </w:p>
        </w:tc>
      </w:tr>
      <w:tr w:rsidR="00EE0C8C" w:rsidRPr="00EE0C8C" w:rsidTr="00A76BDB">
        <w:trPr>
          <w:trHeight w:val="222"/>
        </w:trPr>
        <w:tc>
          <w:tcPr>
            <w:tcW w:w="5000" w:type="pct"/>
            <w:gridSpan w:val="5"/>
            <w:tcBorders>
              <w:top w:val="single" w:sz="4" w:space="0" w:color="000000"/>
              <w:left w:val="single" w:sz="4" w:space="0" w:color="000000"/>
              <w:bottom w:val="single" w:sz="4" w:space="0" w:color="000000"/>
              <w:right w:val="single" w:sz="4" w:space="0" w:color="000000"/>
            </w:tcBorders>
            <w:shd w:val="clear" w:color="000000" w:fill="808080"/>
            <w:noWrap/>
            <w:vAlign w:val="center"/>
            <w:hideMark/>
          </w:tcPr>
          <w:p w:rsidR="00EE0C8C" w:rsidRPr="00EE0C8C" w:rsidRDefault="00EE0C8C" w:rsidP="00EE0C8C">
            <w:pPr>
              <w:spacing w:after="0" w:line="240" w:lineRule="auto"/>
              <w:rPr>
                <w:rFonts w:ascii="Arial" w:eastAsia="Times New Roman" w:hAnsi="Arial" w:cs="Arial"/>
                <w:color w:val="000000"/>
                <w:sz w:val="20"/>
                <w:szCs w:val="20"/>
                <w:lang w:eastAsia="pl-PL"/>
              </w:rPr>
            </w:pPr>
            <w:r w:rsidRPr="00EE0C8C">
              <w:rPr>
                <w:rFonts w:ascii="Arial" w:eastAsia="Times New Roman" w:hAnsi="Arial" w:cs="Arial"/>
                <w:color w:val="000000"/>
                <w:sz w:val="20"/>
                <w:szCs w:val="20"/>
                <w:lang w:eastAsia="pl-PL"/>
              </w:rPr>
              <w:t>powyżej kryterium dochodowego</w:t>
            </w:r>
          </w:p>
        </w:tc>
      </w:tr>
      <w:tr w:rsidR="00EE0C8C" w:rsidRPr="00EE0C8C" w:rsidTr="00A76BDB">
        <w:trPr>
          <w:trHeight w:val="222"/>
        </w:trPr>
        <w:tc>
          <w:tcPr>
            <w:tcW w:w="2534" w:type="pct"/>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100" w:firstLine="200"/>
              <w:rPr>
                <w:rFonts w:ascii="Arial" w:eastAsia="Times New Roman" w:hAnsi="Arial" w:cs="Arial"/>
                <w:sz w:val="20"/>
                <w:szCs w:val="20"/>
                <w:lang w:eastAsia="pl-PL"/>
              </w:rPr>
            </w:pPr>
            <w:r w:rsidRPr="00EE0C8C">
              <w:rPr>
                <w:rFonts w:ascii="Arial" w:eastAsia="Times New Roman" w:hAnsi="Arial" w:cs="Arial"/>
                <w:sz w:val="20"/>
                <w:szCs w:val="20"/>
                <w:lang w:eastAsia="pl-PL"/>
              </w:rPr>
              <w:t>ogółem</w:t>
            </w:r>
          </w:p>
        </w:tc>
        <w:tc>
          <w:tcPr>
            <w:tcW w:w="853" w:type="pct"/>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osoba</w:t>
            </w:r>
          </w:p>
        </w:tc>
        <w:tc>
          <w:tcPr>
            <w:tcW w:w="538" w:type="pct"/>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274</w:t>
            </w:r>
          </w:p>
        </w:tc>
        <w:tc>
          <w:tcPr>
            <w:tcW w:w="538" w:type="pct"/>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274</w:t>
            </w:r>
          </w:p>
        </w:tc>
        <w:tc>
          <w:tcPr>
            <w:tcW w:w="536" w:type="pct"/>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322</w:t>
            </w:r>
          </w:p>
        </w:tc>
      </w:tr>
      <w:tr w:rsidR="00EE0C8C" w:rsidRPr="00EE0C8C" w:rsidTr="00A76BDB">
        <w:trPr>
          <w:trHeight w:val="222"/>
        </w:trPr>
        <w:tc>
          <w:tcPr>
            <w:tcW w:w="5000" w:type="pct"/>
            <w:gridSpan w:val="5"/>
            <w:tcBorders>
              <w:top w:val="single" w:sz="4" w:space="0" w:color="000000"/>
              <w:left w:val="single" w:sz="4" w:space="0" w:color="000000"/>
              <w:bottom w:val="single" w:sz="4" w:space="0" w:color="000000"/>
              <w:right w:val="single" w:sz="4" w:space="0" w:color="000000"/>
            </w:tcBorders>
            <w:shd w:val="clear" w:color="000000" w:fill="33CCCC"/>
            <w:noWrap/>
            <w:vAlign w:val="center"/>
            <w:hideMark/>
          </w:tcPr>
          <w:p w:rsidR="00EE0C8C" w:rsidRPr="00EE0C8C" w:rsidRDefault="00EE0C8C" w:rsidP="00EE0C8C">
            <w:pPr>
              <w:spacing w:after="0" w:line="240" w:lineRule="auto"/>
              <w:rPr>
                <w:rFonts w:ascii="Arial" w:eastAsia="Times New Roman" w:hAnsi="Arial" w:cs="Arial"/>
                <w:b/>
                <w:bCs/>
                <w:color w:val="008080"/>
                <w:sz w:val="20"/>
                <w:szCs w:val="20"/>
                <w:lang w:eastAsia="pl-PL"/>
              </w:rPr>
            </w:pPr>
            <w:r w:rsidRPr="00EE0C8C">
              <w:rPr>
                <w:rFonts w:ascii="Arial" w:eastAsia="Times New Roman" w:hAnsi="Arial" w:cs="Arial"/>
                <w:b/>
                <w:bCs/>
                <w:color w:val="008080"/>
                <w:sz w:val="20"/>
                <w:szCs w:val="20"/>
                <w:lang w:eastAsia="pl-PL"/>
              </w:rPr>
              <w:t>Zasięg korzystania z pomocy społecznej wg kryterium dochodowego i ekonomicznych grup wieku</w:t>
            </w:r>
          </w:p>
        </w:tc>
      </w:tr>
      <w:tr w:rsidR="00EE0C8C" w:rsidRPr="00EE0C8C" w:rsidTr="00A76BDB">
        <w:trPr>
          <w:trHeight w:val="222"/>
        </w:trPr>
        <w:tc>
          <w:tcPr>
            <w:tcW w:w="5000" w:type="pct"/>
            <w:gridSpan w:val="5"/>
            <w:tcBorders>
              <w:top w:val="single" w:sz="4" w:space="0" w:color="000000"/>
              <w:left w:val="single" w:sz="4" w:space="0" w:color="000000"/>
              <w:bottom w:val="single" w:sz="4" w:space="0" w:color="000000"/>
              <w:right w:val="single" w:sz="4" w:space="0" w:color="000000"/>
            </w:tcBorders>
            <w:shd w:val="clear" w:color="000000" w:fill="808080"/>
            <w:noWrap/>
            <w:vAlign w:val="center"/>
            <w:hideMark/>
          </w:tcPr>
          <w:p w:rsidR="00EE0C8C" w:rsidRPr="00EE0C8C" w:rsidRDefault="00EE0C8C" w:rsidP="00EE0C8C">
            <w:pPr>
              <w:spacing w:after="0" w:line="240" w:lineRule="auto"/>
              <w:rPr>
                <w:rFonts w:ascii="Arial" w:eastAsia="Times New Roman" w:hAnsi="Arial" w:cs="Arial"/>
                <w:color w:val="000000"/>
                <w:sz w:val="20"/>
                <w:szCs w:val="20"/>
                <w:lang w:eastAsia="pl-PL"/>
              </w:rPr>
            </w:pPr>
            <w:r w:rsidRPr="00EE0C8C">
              <w:rPr>
                <w:rFonts w:ascii="Arial" w:eastAsia="Times New Roman" w:hAnsi="Arial" w:cs="Arial"/>
                <w:color w:val="000000"/>
                <w:sz w:val="20"/>
                <w:szCs w:val="20"/>
                <w:lang w:eastAsia="pl-PL"/>
              </w:rPr>
              <w:t>ogółem</w:t>
            </w:r>
          </w:p>
        </w:tc>
      </w:tr>
      <w:tr w:rsidR="00EE0C8C" w:rsidRPr="00EE0C8C" w:rsidTr="00A76BDB">
        <w:trPr>
          <w:trHeight w:val="222"/>
        </w:trPr>
        <w:tc>
          <w:tcPr>
            <w:tcW w:w="2534" w:type="pct"/>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100" w:firstLine="200"/>
              <w:rPr>
                <w:rFonts w:ascii="Arial" w:eastAsia="Times New Roman" w:hAnsi="Arial" w:cs="Arial"/>
                <w:sz w:val="20"/>
                <w:szCs w:val="20"/>
                <w:lang w:eastAsia="pl-PL"/>
              </w:rPr>
            </w:pPr>
            <w:r w:rsidRPr="00EE0C8C">
              <w:rPr>
                <w:rFonts w:ascii="Arial" w:eastAsia="Times New Roman" w:hAnsi="Arial" w:cs="Arial"/>
                <w:sz w:val="20"/>
                <w:szCs w:val="20"/>
                <w:lang w:eastAsia="pl-PL"/>
              </w:rPr>
              <w:t>ogółem</w:t>
            </w:r>
          </w:p>
        </w:tc>
        <w:tc>
          <w:tcPr>
            <w:tcW w:w="853" w:type="pct"/>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w:t>
            </w:r>
          </w:p>
        </w:tc>
        <w:tc>
          <w:tcPr>
            <w:tcW w:w="538" w:type="pct"/>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9,2</w:t>
            </w:r>
          </w:p>
        </w:tc>
        <w:tc>
          <w:tcPr>
            <w:tcW w:w="538" w:type="pct"/>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9,7</w:t>
            </w:r>
          </w:p>
        </w:tc>
        <w:tc>
          <w:tcPr>
            <w:tcW w:w="536" w:type="pct"/>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9,4</w:t>
            </w:r>
          </w:p>
        </w:tc>
      </w:tr>
      <w:tr w:rsidR="00EE0C8C" w:rsidRPr="00EE0C8C" w:rsidTr="00A76BDB">
        <w:trPr>
          <w:trHeight w:val="222"/>
        </w:trPr>
        <w:tc>
          <w:tcPr>
            <w:tcW w:w="5000" w:type="pct"/>
            <w:gridSpan w:val="5"/>
            <w:tcBorders>
              <w:top w:val="single" w:sz="4" w:space="0" w:color="000000"/>
              <w:left w:val="single" w:sz="4" w:space="0" w:color="000000"/>
              <w:bottom w:val="single" w:sz="4" w:space="0" w:color="000000"/>
              <w:right w:val="single" w:sz="4" w:space="0" w:color="000000"/>
            </w:tcBorders>
            <w:shd w:val="clear" w:color="000000" w:fill="808080"/>
            <w:noWrap/>
            <w:vAlign w:val="center"/>
            <w:hideMark/>
          </w:tcPr>
          <w:p w:rsidR="00EE0C8C" w:rsidRPr="00EE0C8C" w:rsidRDefault="00EE0C8C" w:rsidP="00EE0C8C">
            <w:pPr>
              <w:spacing w:after="0" w:line="240" w:lineRule="auto"/>
              <w:rPr>
                <w:rFonts w:ascii="Arial" w:eastAsia="Times New Roman" w:hAnsi="Arial" w:cs="Arial"/>
                <w:color w:val="000000"/>
                <w:sz w:val="20"/>
                <w:szCs w:val="20"/>
                <w:lang w:eastAsia="pl-PL"/>
              </w:rPr>
            </w:pPr>
            <w:r w:rsidRPr="00EE0C8C">
              <w:rPr>
                <w:rFonts w:ascii="Arial" w:eastAsia="Times New Roman" w:hAnsi="Arial" w:cs="Arial"/>
                <w:color w:val="000000"/>
                <w:sz w:val="20"/>
                <w:szCs w:val="20"/>
                <w:lang w:eastAsia="pl-PL"/>
              </w:rPr>
              <w:t>poniżej kryterium dochodowego</w:t>
            </w:r>
          </w:p>
        </w:tc>
      </w:tr>
      <w:tr w:rsidR="00EE0C8C" w:rsidRPr="00EE0C8C" w:rsidTr="00A76BDB">
        <w:trPr>
          <w:trHeight w:val="222"/>
        </w:trPr>
        <w:tc>
          <w:tcPr>
            <w:tcW w:w="2534" w:type="pct"/>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100" w:firstLine="200"/>
              <w:rPr>
                <w:rFonts w:ascii="Arial" w:eastAsia="Times New Roman" w:hAnsi="Arial" w:cs="Arial"/>
                <w:sz w:val="20"/>
                <w:szCs w:val="20"/>
                <w:lang w:eastAsia="pl-PL"/>
              </w:rPr>
            </w:pPr>
            <w:r w:rsidRPr="00EE0C8C">
              <w:rPr>
                <w:rFonts w:ascii="Arial" w:eastAsia="Times New Roman" w:hAnsi="Arial" w:cs="Arial"/>
                <w:sz w:val="20"/>
                <w:szCs w:val="20"/>
                <w:lang w:eastAsia="pl-PL"/>
              </w:rPr>
              <w:t>ogółem</w:t>
            </w:r>
          </w:p>
        </w:tc>
        <w:tc>
          <w:tcPr>
            <w:tcW w:w="853" w:type="pct"/>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w:t>
            </w:r>
          </w:p>
        </w:tc>
        <w:tc>
          <w:tcPr>
            <w:tcW w:w="538" w:type="pct"/>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5,9</w:t>
            </w:r>
          </w:p>
        </w:tc>
        <w:tc>
          <w:tcPr>
            <w:tcW w:w="538" w:type="pct"/>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6,4</w:t>
            </w:r>
          </w:p>
        </w:tc>
        <w:tc>
          <w:tcPr>
            <w:tcW w:w="536" w:type="pct"/>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5,6</w:t>
            </w:r>
          </w:p>
        </w:tc>
      </w:tr>
      <w:tr w:rsidR="00EE0C8C" w:rsidRPr="00EE0C8C" w:rsidTr="00A76BDB">
        <w:trPr>
          <w:trHeight w:val="222"/>
        </w:trPr>
        <w:tc>
          <w:tcPr>
            <w:tcW w:w="5000" w:type="pct"/>
            <w:gridSpan w:val="5"/>
            <w:tcBorders>
              <w:top w:val="single" w:sz="4" w:space="0" w:color="000000"/>
              <w:left w:val="single" w:sz="4" w:space="0" w:color="000000"/>
              <w:bottom w:val="single" w:sz="4" w:space="0" w:color="000000"/>
              <w:right w:val="single" w:sz="4" w:space="0" w:color="000000"/>
            </w:tcBorders>
            <w:shd w:val="clear" w:color="000000" w:fill="808080"/>
            <w:noWrap/>
            <w:vAlign w:val="center"/>
            <w:hideMark/>
          </w:tcPr>
          <w:p w:rsidR="00EE0C8C" w:rsidRPr="00EE0C8C" w:rsidRDefault="00EE0C8C" w:rsidP="00EE0C8C">
            <w:pPr>
              <w:spacing w:after="0" w:line="240" w:lineRule="auto"/>
              <w:rPr>
                <w:rFonts w:ascii="Arial" w:eastAsia="Times New Roman" w:hAnsi="Arial" w:cs="Arial"/>
                <w:color w:val="000000"/>
                <w:sz w:val="20"/>
                <w:szCs w:val="20"/>
                <w:lang w:eastAsia="pl-PL"/>
              </w:rPr>
            </w:pPr>
            <w:r w:rsidRPr="00EE0C8C">
              <w:rPr>
                <w:rFonts w:ascii="Arial" w:eastAsia="Times New Roman" w:hAnsi="Arial" w:cs="Arial"/>
                <w:color w:val="000000"/>
                <w:sz w:val="20"/>
                <w:szCs w:val="20"/>
                <w:lang w:eastAsia="pl-PL"/>
              </w:rPr>
              <w:t>powyżej kryterium dochodowego</w:t>
            </w:r>
          </w:p>
        </w:tc>
      </w:tr>
      <w:tr w:rsidR="00EE0C8C" w:rsidRPr="00EE0C8C" w:rsidTr="00A76BDB">
        <w:trPr>
          <w:trHeight w:val="222"/>
        </w:trPr>
        <w:tc>
          <w:tcPr>
            <w:tcW w:w="2534" w:type="pct"/>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100" w:firstLine="200"/>
              <w:rPr>
                <w:rFonts w:ascii="Arial" w:eastAsia="Times New Roman" w:hAnsi="Arial" w:cs="Arial"/>
                <w:sz w:val="20"/>
                <w:szCs w:val="20"/>
                <w:lang w:eastAsia="pl-PL"/>
              </w:rPr>
            </w:pPr>
            <w:r w:rsidRPr="00EE0C8C">
              <w:rPr>
                <w:rFonts w:ascii="Arial" w:eastAsia="Times New Roman" w:hAnsi="Arial" w:cs="Arial"/>
                <w:sz w:val="20"/>
                <w:szCs w:val="20"/>
                <w:lang w:eastAsia="pl-PL"/>
              </w:rPr>
              <w:t>ogółem</w:t>
            </w:r>
          </w:p>
        </w:tc>
        <w:tc>
          <w:tcPr>
            <w:tcW w:w="853" w:type="pct"/>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w:t>
            </w:r>
          </w:p>
        </w:tc>
        <w:tc>
          <w:tcPr>
            <w:tcW w:w="538" w:type="pct"/>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3,3</w:t>
            </w:r>
          </w:p>
        </w:tc>
        <w:tc>
          <w:tcPr>
            <w:tcW w:w="538" w:type="pct"/>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3,2</w:t>
            </w:r>
          </w:p>
        </w:tc>
        <w:tc>
          <w:tcPr>
            <w:tcW w:w="536" w:type="pct"/>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3,8</w:t>
            </w:r>
          </w:p>
        </w:tc>
      </w:tr>
      <w:tr w:rsidR="00EE0C8C" w:rsidRPr="00EE0C8C" w:rsidTr="00A76BDB">
        <w:trPr>
          <w:trHeight w:val="222"/>
        </w:trPr>
        <w:tc>
          <w:tcPr>
            <w:tcW w:w="5000" w:type="pct"/>
            <w:gridSpan w:val="5"/>
            <w:tcBorders>
              <w:top w:val="single" w:sz="4" w:space="0" w:color="000000"/>
              <w:left w:val="single" w:sz="4" w:space="0" w:color="000000"/>
              <w:bottom w:val="single" w:sz="4" w:space="0" w:color="000000"/>
              <w:right w:val="single" w:sz="4" w:space="0" w:color="000000"/>
            </w:tcBorders>
            <w:shd w:val="clear" w:color="000000" w:fill="008080"/>
            <w:noWrap/>
            <w:vAlign w:val="center"/>
            <w:hideMark/>
          </w:tcPr>
          <w:p w:rsidR="00EE0C8C" w:rsidRPr="00EE0C8C" w:rsidRDefault="00EE0C8C" w:rsidP="00EE0C8C">
            <w:pPr>
              <w:spacing w:after="0" w:line="240" w:lineRule="auto"/>
              <w:rPr>
                <w:rFonts w:ascii="Arial" w:eastAsia="Times New Roman" w:hAnsi="Arial" w:cs="Arial"/>
                <w:b/>
                <w:bCs/>
                <w:color w:val="FFFFFF"/>
                <w:sz w:val="20"/>
                <w:szCs w:val="20"/>
                <w:lang w:eastAsia="pl-PL"/>
              </w:rPr>
            </w:pPr>
            <w:r w:rsidRPr="00EE0C8C">
              <w:rPr>
                <w:rFonts w:ascii="Arial" w:eastAsia="Times New Roman" w:hAnsi="Arial" w:cs="Arial"/>
                <w:b/>
                <w:bCs/>
                <w:color w:val="FFFFFF"/>
                <w:sz w:val="20"/>
                <w:szCs w:val="20"/>
                <w:lang w:eastAsia="pl-PL"/>
              </w:rPr>
              <w:t>ŚWIADCZENIA RODZINNE</w:t>
            </w:r>
          </w:p>
        </w:tc>
      </w:tr>
      <w:tr w:rsidR="00EE0C8C" w:rsidRPr="00EE0C8C" w:rsidTr="00A76BDB">
        <w:trPr>
          <w:trHeight w:val="222"/>
        </w:trPr>
        <w:tc>
          <w:tcPr>
            <w:tcW w:w="5000" w:type="pct"/>
            <w:gridSpan w:val="5"/>
            <w:tcBorders>
              <w:top w:val="single" w:sz="4" w:space="0" w:color="000000"/>
              <w:left w:val="single" w:sz="4" w:space="0" w:color="000000"/>
              <w:bottom w:val="single" w:sz="4" w:space="0" w:color="000000"/>
              <w:right w:val="single" w:sz="4" w:space="0" w:color="000000"/>
            </w:tcBorders>
            <w:shd w:val="clear" w:color="000000" w:fill="33CCCC"/>
            <w:noWrap/>
            <w:vAlign w:val="center"/>
            <w:hideMark/>
          </w:tcPr>
          <w:p w:rsidR="00EE0C8C" w:rsidRPr="00EE0C8C" w:rsidRDefault="00EE0C8C" w:rsidP="00EE0C8C">
            <w:pPr>
              <w:spacing w:after="0" w:line="240" w:lineRule="auto"/>
              <w:rPr>
                <w:rFonts w:ascii="Arial" w:eastAsia="Times New Roman" w:hAnsi="Arial" w:cs="Arial"/>
                <w:b/>
                <w:bCs/>
                <w:color w:val="008080"/>
                <w:sz w:val="20"/>
                <w:szCs w:val="20"/>
                <w:lang w:eastAsia="pl-PL"/>
              </w:rPr>
            </w:pPr>
            <w:r w:rsidRPr="00EE0C8C">
              <w:rPr>
                <w:rFonts w:ascii="Arial" w:eastAsia="Times New Roman" w:hAnsi="Arial" w:cs="Arial"/>
                <w:b/>
                <w:bCs/>
                <w:color w:val="008080"/>
                <w:sz w:val="20"/>
                <w:szCs w:val="20"/>
                <w:lang w:eastAsia="pl-PL"/>
              </w:rPr>
              <w:t>Korzystający ze świadczeń rodzinnych</w:t>
            </w:r>
          </w:p>
        </w:tc>
      </w:tr>
      <w:tr w:rsidR="00EE0C8C" w:rsidRPr="00EE0C8C" w:rsidTr="00A76BDB">
        <w:trPr>
          <w:trHeight w:val="222"/>
        </w:trPr>
        <w:tc>
          <w:tcPr>
            <w:tcW w:w="2534" w:type="pct"/>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rPr>
                <w:rFonts w:ascii="Arial" w:eastAsia="Times New Roman" w:hAnsi="Arial" w:cs="Arial"/>
                <w:sz w:val="20"/>
                <w:szCs w:val="20"/>
                <w:lang w:eastAsia="pl-PL"/>
              </w:rPr>
            </w:pPr>
            <w:r w:rsidRPr="00EE0C8C">
              <w:rPr>
                <w:rFonts w:ascii="Arial" w:eastAsia="Times New Roman" w:hAnsi="Arial" w:cs="Arial"/>
                <w:sz w:val="20"/>
                <w:szCs w:val="20"/>
                <w:lang w:eastAsia="pl-PL"/>
              </w:rPr>
              <w:t>rodziny otrzymujące zasiłki rodzinne na dzieci</w:t>
            </w:r>
          </w:p>
        </w:tc>
        <w:tc>
          <w:tcPr>
            <w:tcW w:w="853" w:type="pct"/>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w:t>
            </w:r>
          </w:p>
        </w:tc>
        <w:tc>
          <w:tcPr>
            <w:tcW w:w="538" w:type="pct"/>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357</w:t>
            </w:r>
          </w:p>
        </w:tc>
        <w:tc>
          <w:tcPr>
            <w:tcW w:w="538" w:type="pct"/>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311</w:t>
            </w:r>
          </w:p>
        </w:tc>
        <w:tc>
          <w:tcPr>
            <w:tcW w:w="536" w:type="pct"/>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283</w:t>
            </w:r>
          </w:p>
        </w:tc>
      </w:tr>
      <w:tr w:rsidR="00EE0C8C" w:rsidRPr="00EE0C8C" w:rsidTr="00A76BDB">
        <w:trPr>
          <w:trHeight w:val="444"/>
        </w:trPr>
        <w:tc>
          <w:tcPr>
            <w:tcW w:w="2534" w:type="pct"/>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rPr>
                <w:rFonts w:ascii="Arial" w:eastAsia="Times New Roman" w:hAnsi="Arial" w:cs="Arial"/>
                <w:sz w:val="20"/>
                <w:szCs w:val="20"/>
                <w:lang w:eastAsia="pl-PL"/>
              </w:rPr>
            </w:pPr>
            <w:r w:rsidRPr="00EE0C8C">
              <w:rPr>
                <w:rFonts w:ascii="Arial" w:eastAsia="Times New Roman" w:hAnsi="Arial" w:cs="Arial"/>
                <w:sz w:val="20"/>
                <w:szCs w:val="20"/>
                <w:lang w:eastAsia="pl-PL"/>
              </w:rPr>
              <w:t>dzieci, na które rodzice otrzymują zasiłek rodzinny - ogółem</w:t>
            </w:r>
          </w:p>
        </w:tc>
        <w:tc>
          <w:tcPr>
            <w:tcW w:w="853" w:type="pct"/>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osoba</w:t>
            </w:r>
          </w:p>
        </w:tc>
        <w:tc>
          <w:tcPr>
            <w:tcW w:w="538" w:type="pct"/>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701</w:t>
            </w:r>
          </w:p>
        </w:tc>
        <w:tc>
          <w:tcPr>
            <w:tcW w:w="538" w:type="pct"/>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608</w:t>
            </w:r>
          </w:p>
        </w:tc>
        <w:tc>
          <w:tcPr>
            <w:tcW w:w="536" w:type="pct"/>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556</w:t>
            </w:r>
          </w:p>
        </w:tc>
      </w:tr>
      <w:tr w:rsidR="00EE0C8C" w:rsidRPr="00EE0C8C" w:rsidTr="00A76BDB">
        <w:trPr>
          <w:trHeight w:val="444"/>
        </w:trPr>
        <w:tc>
          <w:tcPr>
            <w:tcW w:w="2534" w:type="pct"/>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rPr>
                <w:rFonts w:ascii="Arial" w:eastAsia="Times New Roman" w:hAnsi="Arial" w:cs="Arial"/>
                <w:sz w:val="20"/>
                <w:szCs w:val="20"/>
                <w:lang w:eastAsia="pl-PL"/>
              </w:rPr>
            </w:pPr>
            <w:r w:rsidRPr="00EE0C8C">
              <w:rPr>
                <w:rFonts w:ascii="Arial" w:eastAsia="Times New Roman" w:hAnsi="Arial" w:cs="Arial"/>
                <w:sz w:val="20"/>
                <w:szCs w:val="20"/>
                <w:lang w:eastAsia="pl-PL"/>
              </w:rPr>
              <w:t>dzieci w wieku do lat 17, na które rodzice otrzymują zasiłek rodzinny</w:t>
            </w:r>
          </w:p>
        </w:tc>
        <w:tc>
          <w:tcPr>
            <w:tcW w:w="853" w:type="pct"/>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osoba</w:t>
            </w:r>
          </w:p>
        </w:tc>
        <w:tc>
          <w:tcPr>
            <w:tcW w:w="538" w:type="pct"/>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621</w:t>
            </w:r>
          </w:p>
        </w:tc>
        <w:tc>
          <w:tcPr>
            <w:tcW w:w="538" w:type="pct"/>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535</w:t>
            </w:r>
          </w:p>
        </w:tc>
        <w:tc>
          <w:tcPr>
            <w:tcW w:w="536" w:type="pct"/>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492</w:t>
            </w:r>
          </w:p>
        </w:tc>
      </w:tr>
      <w:tr w:rsidR="00EE0C8C" w:rsidRPr="00EE0C8C" w:rsidTr="00A76BDB">
        <w:trPr>
          <w:trHeight w:val="665"/>
        </w:trPr>
        <w:tc>
          <w:tcPr>
            <w:tcW w:w="2534" w:type="pct"/>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rPr>
                <w:rFonts w:ascii="Arial" w:eastAsia="Times New Roman" w:hAnsi="Arial" w:cs="Arial"/>
                <w:sz w:val="20"/>
                <w:szCs w:val="20"/>
                <w:lang w:eastAsia="pl-PL"/>
              </w:rPr>
            </w:pPr>
            <w:r w:rsidRPr="00EE0C8C">
              <w:rPr>
                <w:rFonts w:ascii="Arial" w:eastAsia="Times New Roman" w:hAnsi="Arial" w:cs="Arial"/>
                <w:sz w:val="20"/>
                <w:szCs w:val="20"/>
                <w:lang w:eastAsia="pl-PL"/>
              </w:rPr>
              <w:t>udział dzieci w wieku do lat 17, na które rodzice otrzymują zasiłek rodzinny w ogólnej liczbie dzieci w tym wieku</w:t>
            </w:r>
          </w:p>
        </w:tc>
        <w:tc>
          <w:tcPr>
            <w:tcW w:w="853" w:type="pct"/>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w:t>
            </w:r>
          </w:p>
        </w:tc>
        <w:tc>
          <w:tcPr>
            <w:tcW w:w="538" w:type="pct"/>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38,3</w:t>
            </w:r>
          </w:p>
        </w:tc>
        <w:tc>
          <w:tcPr>
            <w:tcW w:w="538" w:type="pct"/>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33,4</w:t>
            </w:r>
          </w:p>
        </w:tc>
        <w:tc>
          <w:tcPr>
            <w:tcW w:w="536" w:type="pct"/>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31,5</w:t>
            </w:r>
          </w:p>
        </w:tc>
      </w:tr>
      <w:tr w:rsidR="00EE0C8C" w:rsidRPr="00EE0C8C" w:rsidTr="00A76BDB">
        <w:trPr>
          <w:trHeight w:val="222"/>
        </w:trPr>
        <w:tc>
          <w:tcPr>
            <w:tcW w:w="5000" w:type="pct"/>
            <w:gridSpan w:val="5"/>
            <w:tcBorders>
              <w:top w:val="single" w:sz="4" w:space="0" w:color="000000"/>
              <w:left w:val="single" w:sz="4" w:space="0" w:color="000000"/>
              <w:bottom w:val="single" w:sz="4" w:space="0" w:color="000000"/>
              <w:right w:val="single" w:sz="4" w:space="0" w:color="000000"/>
            </w:tcBorders>
            <w:shd w:val="clear" w:color="000000" w:fill="33CCCC"/>
            <w:noWrap/>
            <w:vAlign w:val="center"/>
            <w:hideMark/>
          </w:tcPr>
          <w:p w:rsidR="00EE0C8C" w:rsidRPr="00EE0C8C" w:rsidRDefault="00EE0C8C" w:rsidP="00EE0C8C">
            <w:pPr>
              <w:spacing w:after="0" w:line="240" w:lineRule="auto"/>
              <w:rPr>
                <w:rFonts w:ascii="Arial" w:eastAsia="Times New Roman" w:hAnsi="Arial" w:cs="Arial"/>
                <w:b/>
                <w:bCs/>
                <w:color w:val="008080"/>
                <w:sz w:val="20"/>
                <w:szCs w:val="20"/>
                <w:lang w:eastAsia="pl-PL"/>
              </w:rPr>
            </w:pPr>
            <w:r w:rsidRPr="00EE0C8C">
              <w:rPr>
                <w:rFonts w:ascii="Arial" w:eastAsia="Times New Roman" w:hAnsi="Arial" w:cs="Arial"/>
                <w:b/>
                <w:bCs/>
                <w:color w:val="008080"/>
                <w:sz w:val="20"/>
                <w:szCs w:val="20"/>
                <w:lang w:eastAsia="pl-PL"/>
              </w:rPr>
              <w:t>Kwoty świadczeń rodzinnych wypłaconych w roku - ogółem</w:t>
            </w:r>
          </w:p>
        </w:tc>
      </w:tr>
      <w:tr w:rsidR="00EE0C8C" w:rsidRPr="00EE0C8C" w:rsidTr="00A76BDB">
        <w:trPr>
          <w:trHeight w:val="222"/>
        </w:trPr>
        <w:tc>
          <w:tcPr>
            <w:tcW w:w="2534" w:type="pct"/>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rPr>
                <w:rFonts w:ascii="Arial" w:eastAsia="Times New Roman" w:hAnsi="Arial" w:cs="Arial"/>
                <w:sz w:val="20"/>
                <w:szCs w:val="20"/>
                <w:lang w:eastAsia="pl-PL"/>
              </w:rPr>
            </w:pPr>
            <w:r w:rsidRPr="00EE0C8C">
              <w:rPr>
                <w:rFonts w:ascii="Arial" w:eastAsia="Times New Roman" w:hAnsi="Arial" w:cs="Arial"/>
                <w:sz w:val="20"/>
                <w:szCs w:val="20"/>
                <w:lang w:eastAsia="pl-PL"/>
              </w:rPr>
              <w:t>kwota świadczeń rodzinnych</w:t>
            </w:r>
          </w:p>
        </w:tc>
        <w:tc>
          <w:tcPr>
            <w:tcW w:w="853" w:type="pct"/>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tys. zł</w:t>
            </w:r>
          </w:p>
        </w:tc>
        <w:tc>
          <w:tcPr>
            <w:tcW w:w="538" w:type="pct"/>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2642</w:t>
            </w:r>
          </w:p>
        </w:tc>
        <w:tc>
          <w:tcPr>
            <w:tcW w:w="538" w:type="pct"/>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2494</w:t>
            </w:r>
          </w:p>
        </w:tc>
        <w:tc>
          <w:tcPr>
            <w:tcW w:w="536" w:type="pct"/>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2284</w:t>
            </w:r>
          </w:p>
        </w:tc>
      </w:tr>
      <w:tr w:rsidR="00EE0C8C" w:rsidRPr="00EE0C8C" w:rsidTr="00A76BDB">
        <w:trPr>
          <w:trHeight w:val="222"/>
        </w:trPr>
        <w:tc>
          <w:tcPr>
            <w:tcW w:w="2534" w:type="pct"/>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rPr>
                <w:rFonts w:ascii="Arial" w:eastAsia="Times New Roman" w:hAnsi="Arial" w:cs="Arial"/>
                <w:sz w:val="20"/>
                <w:szCs w:val="20"/>
                <w:lang w:eastAsia="pl-PL"/>
              </w:rPr>
            </w:pPr>
            <w:r w:rsidRPr="00EE0C8C">
              <w:rPr>
                <w:rFonts w:ascii="Arial" w:eastAsia="Times New Roman" w:hAnsi="Arial" w:cs="Arial"/>
                <w:sz w:val="20"/>
                <w:szCs w:val="20"/>
                <w:lang w:eastAsia="pl-PL"/>
              </w:rPr>
              <w:t>kwota zasiłków rodzinnych (wraz z dodatkami)</w:t>
            </w:r>
          </w:p>
        </w:tc>
        <w:tc>
          <w:tcPr>
            <w:tcW w:w="853" w:type="pct"/>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tys. zł</w:t>
            </w:r>
          </w:p>
        </w:tc>
        <w:tc>
          <w:tcPr>
            <w:tcW w:w="538" w:type="pct"/>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1342</w:t>
            </w:r>
          </w:p>
        </w:tc>
        <w:tc>
          <w:tcPr>
            <w:tcW w:w="538" w:type="pct"/>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1264</w:t>
            </w:r>
          </w:p>
        </w:tc>
        <w:tc>
          <w:tcPr>
            <w:tcW w:w="536" w:type="pct"/>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1139</w:t>
            </w:r>
          </w:p>
        </w:tc>
      </w:tr>
      <w:tr w:rsidR="00EE0C8C" w:rsidRPr="00EE0C8C" w:rsidTr="00A76BDB">
        <w:trPr>
          <w:trHeight w:val="222"/>
        </w:trPr>
        <w:tc>
          <w:tcPr>
            <w:tcW w:w="2534" w:type="pct"/>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rPr>
                <w:rFonts w:ascii="Arial" w:eastAsia="Times New Roman" w:hAnsi="Arial" w:cs="Arial"/>
                <w:sz w:val="20"/>
                <w:szCs w:val="20"/>
                <w:lang w:eastAsia="pl-PL"/>
              </w:rPr>
            </w:pPr>
            <w:r w:rsidRPr="00EE0C8C">
              <w:rPr>
                <w:rFonts w:ascii="Arial" w:eastAsia="Times New Roman" w:hAnsi="Arial" w:cs="Arial"/>
                <w:sz w:val="20"/>
                <w:szCs w:val="20"/>
                <w:lang w:eastAsia="pl-PL"/>
              </w:rPr>
              <w:t>kwota zasiłków pielęgnacyjnych</w:t>
            </w:r>
          </w:p>
        </w:tc>
        <w:tc>
          <w:tcPr>
            <w:tcW w:w="853" w:type="pct"/>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tys. zł</w:t>
            </w:r>
          </w:p>
        </w:tc>
        <w:tc>
          <w:tcPr>
            <w:tcW w:w="538" w:type="pct"/>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756</w:t>
            </w:r>
          </w:p>
        </w:tc>
        <w:tc>
          <w:tcPr>
            <w:tcW w:w="538" w:type="pct"/>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765</w:t>
            </w:r>
          </w:p>
        </w:tc>
        <w:tc>
          <w:tcPr>
            <w:tcW w:w="536" w:type="pct"/>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751</w:t>
            </w:r>
          </w:p>
        </w:tc>
      </w:tr>
    </w:tbl>
    <w:p w:rsidR="00A76BDB" w:rsidRDefault="00A76BDB" w:rsidP="00A76BDB">
      <w:pPr>
        <w:pStyle w:val="Nagwek2"/>
        <w:rPr>
          <w:lang w:eastAsia="pl-PL"/>
        </w:rPr>
      </w:pPr>
      <w:bookmarkStart w:id="86" w:name="_Toc439077769"/>
    </w:p>
    <w:p w:rsidR="00EE0C8C" w:rsidRPr="00EE0C8C" w:rsidRDefault="00EE0C8C" w:rsidP="00A76BDB">
      <w:pPr>
        <w:pStyle w:val="Nagwek2"/>
        <w:rPr>
          <w:lang w:eastAsia="pl-PL"/>
        </w:rPr>
      </w:pPr>
      <w:bookmarkStart w:id="87" w:name="_Toc450562497"/>
      <w:r w:rsidRPr="00EE0C8C">
        <w:rPr>
          <w:lang w:eastAsia="pl-PL"/>
        </w:rPr>
        <w:t>2.3.5. EDUKACJA</w:t>
      </w:r>
      <w:bookmarkEnd w:id="86"/>
      <w:bookmarkEnd w:id="87"/>
    </w:p>
    <w:p w:rsidR="00EE0C8C" w:rsidRPr="00EE0C8C" w:rsidRDefault="00EE0C8C" w:rsidP="00EE0C8C">
      <w:pPr>
        <w:spacing w:after="0"/>
        <w:rPr>
          <w:rFonts w:ascii="Calibri" w:eastAsia="Times New Roman" w:hAnsi="Calibri" w:cs="Times New Roman"/>
          <w:lang w:eastAsia="pl-PL"/>
        </w:rPr>
      </w:pPr>
    </w:p>
    <w:p w:rsidR="00EE0C8C" w:rsidRPr="00EE0C8C" w:rsidRDefault="00EE0C8C" w:rsidP="00EE0C8C">
      <w:pPr>
        <w:jc w:val="both"/>
        <w:rPr>
          <w:rFonts w:ascii="Calibri" w:eastAsia="Times New Roman" w:hAnsi="Calibri" w:cs="Times New Roman"/>
          <w:lang w:eastAsia="pl-PL"/>
        </w:rPr>
      </w:pPr>
      <w:r w:rsidRPr="00EE0C8C">
        <w:rPr>
          <w:rFonts w:ascii="Calibri" w:eastAsia="Times New Roman" w:hAnsi="Calibri" w:cs="Times New Roman"/>
          <w:lang w:eastAsia="pl-PL"/>
        </w:rPr>
        <w:t>Na terenie Gminy Mirzec działają 2 placówki przedszkolne, 8 szkół podstawowych i 1 gimnazjum. Niestety na terenie Gminy nie funkcjonuje żaden żłobek.</w:t>
      </w:r>
    </w:p>
    <w:p w:rsidR="00EE0C8C" w:rsidRPr="00EE0C8C" w:rsidRDefault="00EE0C8C" w:rsidP="00EE0C8C">
      <w:pPr>
        <w:jc w:val="center"/>
        <w:rPr>
          <w:rFonts w:ascii="Calibri" w:eastAsia="Times New Roman" w:hAnsi="Calibri" w:cs="Times New Roman"/>
          <w:lang w:eastAsia="pl-PL"/>
        </w:rPr>
      </w:pPr>
      <w:r w:rsidRPr="00EE0C8C">
        <w:rPr>
          <w:rFonts w:ascii="Calibri" w:eastAsia="Times New Roman" w:hAnsi="Calibri" w:cs="Times New Roman"/>
          <w:noProof/>
          <w:lang w:eastAsia="pl-PL"/>
        </w:rPr>
        <w:lastRenderedPageBreak/>
        <w:drawing>
          <wp:inline distT="0" distB="0" distL="0" distR="0" wp14:anchorId="233B5D8F" wp14:editId="3781015B">
            <wp:extent cx="3562350" cy="3827119"/>
            <wp:effectExtent l="0" t="0" r="0" b="254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62350" cy="3827119"/>
                    </a:xfrm>
                    <a:prstGeom prst="rect">
                      <a:avLst/>
                    </a:prstGeom>
                    <a:noFill/>
                    <a:ln>
                      <a:noFill/>
                    </a:ln>
                  </pic:spPr>
                </pic:pic>
              </a:graphicData>
            </a:graphic>
          </wp:inline>
        </w:drawing>
      </w:r>
      <w:r w:rsidRPr="00EE0C8C">
        <w:rPr>
          <w:rFonts w:ascii="Calibri" w:eastAsia="Times New Roman" w:hAnsi="Calibri" w:cs="Times New Roman"/>
          <w:lang w:eastAsia="pl-PL"/>
        </w:rPr>
        <w:br/>
      </w:r>
      <w:r w:rsidRPr="00EE0C8C">
        <w:rPr>
          <w:rFonts w:ascii="Calibri" w:eastAsia="Times New Roman" w:hAnsi="Calibri" w:cs="Times New Roman"/>
          <w:i/>
          <w:lang w:eastAsia="pl-PL"/>
        </w:rPr>
        <w:t>Źródło: http://kielce.stat.gov.pl</w:t>
      </w:r>
    </w:p>
    <w:tbl>
      <w:tblPr>
        <w:tblW w:w="9044" w:type="dxa"/>
        <w:tblInd w:w="55" w:type="dxa"/>
        <w:tblCellMar>
          <w:left w:w="70" w:type="dxa"/>
          <w:right w:w="70" w:type="dxa"/>
        </w:tblCellMar>
        <w:tblLook w:val="04A0" w:firstRow="1" w:lastRow="0" w:firstColumn="1" w:lastColumn="0" w:noHBand="0" w:noVBand="1"/>
      </w:tblPr>
      <w:tblGrid>
        <w:gridCol w:w="5308"/>
        <w:gridCol w:w="1698"/>
        <w:gridCol w:w="1019"/>
        <w:gridCol w:w="1019"/>
      </w:tblGrid>
      <w:tr w:rsidR="00EE0C8C" w:rsidRPr="00EE0C8C" w:rsidTr="00A76BDB">
        <w:trPr>
          <w:trHeight w:val="255"/>
        </w:trPr>
        <w:tc>
          <w:tcPr>
            <w:tcW w:w="5308" w:type="dxa"/>
            <w:tcBorders>
              <w:top w:val="single" w:sz="4" w:space="0" w:color="000000"/>
              <w:left w:val="single" w:sz="4" w:space="0" w:color="000000"/>
              <w:bottom w:val="single" w:sz="4" w:space="0" w:color="000000"/>
              <w:right w:val="single" w:sz="4" w:space="0" w:color="000000"/>
            </w:tcBorders>
            <w:shd w:val="clear" w:color="000000" w:fill="008080"/>
            <w:noWrap/>
            <w:vAlign w:val="center"/>
            <w:hideMark/>
          </w:tcPr>
          <w:p w:rsidR="00EE0C8C" w:rsidRPr="00EE0C8C" w:rsidRDefault="00EE0C8C" w:rsidP="00EE0C8C">
            <w:pPr>
              <w:spacing w:after="0" w:line="240" w:lineRule="auto"/>
              <w:jc w:val="center"/>
              <w:rPr>
                <w:rFonts w:ascii="Arial" w:eastAsia="Times New Roman" w:hAnsi="Arial" w:cs="Arial"/>
                <w:b/>
                <w:bCs/>
                <w:color w:val="FFFFFF"/>
                <w:sz w:val="20"/>
                <w:szCs w:val="20"/>
                <w:lang w:eastAsia="pl-PL"/>
              </w:rPr>
            </w:pPr>
            <w:r w:rsidRPr="00EE0C8C">
              <w:rPr>
                <w:rFonts w:ascii="Arial" w:eastAsia="Times New Roman" w:hAnsi="Arial" w:cs="Arial"/>
                <w:b/>
                <w:bCs/>
                <w:color w:val="FFFFFF"/>
                <w:sz w:val="20"/>
                <w:szCs w:val="20"/>
                <w:lang w:eastAsia="pl-PL"/>
              </w:rPr>
              <w:t> </w:t>
            </w:r>
          </w:p>
        </w:tc>
        <w:tc>
          <w:tcPr>
            <w:tcW w:w="1698" w:type="dxa"/>
            <w:tcBorders>
              <w:top w:val="single" w:sz="4" w:space="0" w:color="000000"/>
              <w:left w:val="nil"/>
              <w:bottom w:val="single" w:sz="4" w:space="0" w:color="000000"/>
              <w:right w:val="single" w:sz="4" w:space="0" w:color="000000"/>
            </w:tcBorders>
            <w:shd w:val="clear" w:color="000000" w:fill="008080"/>
            <w:noWrap/>
            <w:vAlign w:val="center"/>
            <w:hideMark/>
          </w:tcPr>
          <w:p w:rsidR="00EE0C8C" w:rsidRPr="00EE0C8C" w:rsidRDefault="00EE0C8C" w:rsidP="00EE0C8C">
            <w:pPr>
              <w:spacing w:after="0" w:line="240" w:lineRule="auto"/>
              <w:jc w:val="center"/>
              <w:rPr>
                <w:rFonts w:ascii="Arial" w:eastAsia="Times New Roman" w:hAnsi="Arial" w:cs="Arial"/>
                <w:b/>
                <w:bCs/>
                <w:color w:val="FFFFFF"/>
                <w:sz w:val="20"/>
                <w:szCs w:val="20"/>
                <w:lang w:eastAsia="pl-PL"/>
              </w:rPr>
            </w:pPr>
            <w:r w:rsidRPr="00EE0C8C">
              <w:rPr>
                <w:rFonts w:ascii="Arial" w:eastAsia="Times New Roman" w:hAnsi="Arial" w:cs="Arial"/>
                <w:b/>
                <w:bCs/>
                <w:color w:val="FFFFFF"/>
                <w:sz w:val="20"/>
                <w:szCs w:val="20"/>
                <w:lang w:eastAsia="pl-PL"/>
              </w:rPr>
              <w:t>Jednostka miary</w:t>
            </w:r>
          </w:p>
        </w:tc>
        <w:tc>
          <w:tcPr>
            <w:tcW w:w="1019" w:type="dxa"/>
            <w:tcBorders>
              <w:top w:val="single" w:sz="4" w:space="0" w:color="000000"/>
              <w:left w:val="nil"/>
              <w:bottom w:val="single" w:sz="4" w:space="0" w:color="000000"/>
              <w:right w:val="single" w:sz="4" w:space="0" w:color="000000"/>
            </w:tcBorders>
            <w:shd w:val="clear" w:color="000000" w:fill="008080"/>
            <w:noWrap/>
            <w:vAlign w:val="center"/>
            <w:hideMark/>
          </w:tcPr>
          <w:p w:rsidR="00EE0C8C" w:rsidRPr="00EE0C8C" w:rsidRDefault="00EE0C8C" w:rsidP="00EE0C8C">
            <w:pPr>
              <w:spacing w:after="0" w:line="240" w:lineRule="auto"/>
              <w:jc w:val="center"/>
              <w:rPr>
                <w:rFonts w:ascii="Arial" w:eastAsia="Times New Roman" w:hAnsi="Arial" w:cs="Arial"/>
                <w:b/>
                <w:bCs/>
                <w:color w:val="FFFFFF"/>
                <w:sz w:val="20"/>
                <w:szCs w:val="20"/>
                <w:lang w:eastAsia="pl-PL"/>
              </w:rPr>
            </w:pPr>
            <w:r w:rsidRPr="00EE0C8C">
              <w:rPr>
                <w:rFonts w:ascii="Arial" w:eastAsia="Times New Roman" w:hAnsi="Arial" w:cs="Arial"/>
                <w:b/>
                <w:bCs/>
                <w:color w:val="FFFFFF"/>
                <w:sz w:val="20"/>
                <w:szCs w:val="20"/>
                <w:lang w:eastAsia="pl-PL"/>
              </w:rPr>
              <w:t>2013</w:t>
            </w:r>
          </w:p>
        </w:tc>
        <w:tc>
          <w:tcPr>
            <w:tcW w:w="1019" w:type="dxa"/>
            <w:tcBorders>
              <w:top w:val="single" w:sz="4" w:space="0" w:color="000000"/>
              <w:left w:val="nil"/>
              <w:bottom w:val="single" w:sz="4" w:space="0" w:color="000000"/>
              <w:right w:val="single" w:sz="4" w:space="0" w:color="000000"/>
            </w:tcBorders>
            <w:shd w:val="clear" w:color="000000" w:fill="008080"/>
            <w:noWrap/>
            <w:vAlign w:val="center"/>
            <w:hideMark/>
          </w:tcPr>
          <w:p w:rsidR="00EE0C8C" w:rsidRPr="00EE0C8C" w:rsidRDefault="00EE0C8C" w:rsidP="00EE0C8C">
            <w:pPr>
              <w:spacing w:after="0" w:line="240" w:lineRule="auto"/>
              <w:jc w:val="center"/>
              <w:rPr>
                <w:rFonts w:ascii="Arial" w:eastAsia="Times New Roman" w:hAnsi="Arial" w:cs="Arial"/>
                <w:b/>
                <w:bCs/>
                <w:color w:val="FFFFFF"/>
                <w:sz w:val="20"/>
                <w:szCs w:val="20"/>
                <w:lang w:eastAsia="pl-PL"/>
              </w:rPr>
            </w:pPr>
            <w:r w:rsidRPr="00EE0C8C">
              <w:rPr>
                <w:rFonts w:ascii="Arial" w:eastAsia="Times New Roman" w:hAnsi="Arial" w:cs="Arial"/>
                <w:b/>
                <w:bCs/>
                <w:color w:val="FFFFFF"/>
                <w:sz w:val="20"/>
                <w:szCs w:val="20"/>
                <w:lang w:eastAsia="pl-PL"/>
              </w:rPr>
              <w:t>2014</w:t>
            </w:r>
          </w:p>
        </w:tc>
      </w:tr>
      <w:tr w:rsidR="00EE0C8C" w:rsidRPr="00EE0C8C" w:rsidTr="00A76BDB">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008080"/>
            <w:noWrap/>
            <w:vAlign w:val="center"/>
            <w:hideMark/>
          </w:tcPr>
          <w:p w:rsidR="00EE0C8C" w:rsidRPr="00EE0C8C" w:rsidRDefault="00EE0C8C" w:rsidP="00EE0C8C">
            <w:pPr>
              <w:spacing w:after="0" w:line="240" w:lineRule="auto"/>
              <w:rPr>
                <w:rFonts w:ascii="Arial" w:eastAsia="Times New Roman" w:hAnsi="Arial" w:cs="Arial"/>
                <w:b/>
                <w:bCs/>
                <w:color w:val="FFFFFF"/>
                <w:sz w:val="20"/>
                <w:szCs w:val="20"/>
                <w:lang w:eastAsia="pl-PL"/>
              </w:rPr>
            </w:pPr>
            <w:r w:rsidRPr="00EE0C8C">
              <w:rPr>
                <w:rFonts w:ascii="Arial" w:eastAsia="Times New Roman" w:hAnsi="Arial" w:cs="Arial"/>
                <w:b/>
                <w:bCs/>
                <w:color w:val="FFFFFF"/>
                <w:sz w:val="20"/>
                <w:szCs w:val="20"/>
                <w:lang w:eastAsia="pl-PL"/>
              </w:rPr>
              <w:t>SZKOLNICTWO PODSTAWOWE</w:t>
            </w:r>
          </w:p>
        </w:tc>
      </w:tr>
      <w:tr w:rsidR="00EE0C8C" w:rsidRPr="00EE0C8C" w:rsidTr="00A76BDB">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33CCCC"/>
            <w:noWrap/>
            <w:vAlign w:val="center"/>
            <w:hideMark/>
          </w:tcPr>
          <w:p w:rsidR="00EE0C8C" w:rsidRPr="00EE0C8C" w:rsidRDefault="00EE0C8C" w:rsidP="00EE0C8C">
            <w:pPr>
              <w:spacing w:after="0" w:line="240" w:lineRule="auto"/>
              <w:rPr>
                <w:rFonts w:ascii="Arial" w:eastAsia="Times New Roman" w:hAnsi="Arial" w:cs="Arial"/>
                <w:b/>
                <w:bCs/>
                <w:color w:val="008080"/>
                <w:sz w:val="20"/>
                <w:szCs w:val="20"/>
                <w:lang w:eastAsia="pl-PL"/>
              </w:rPr>
            </w:pPr>
            <w:r w:rsidRPr="00EE0C8C">
              <w:rPr>
                <w:rFonts w:ascii="Arial" w:eastAsia="Times New Roman" w:hAnsi="Arial" w:cs="Arial"/>
                <w:b/>
                <w:bCs/>
                <w:color w:val="008080"/>
                <w:sz w:val="20"/>
                <w:szCs w:val="20"/>
                <w:lang w:eastAsia="pl-PL"/>
              </w:rPr>
              <w:t>Szkoły podstawowe ogółem</w:t>
            </w:r>
          </w:p>
        </w:tc>
      </w:tr>
      <w:tr w:rsidR="00EE0C8C" w:rsidRPr="00EE0C8C" w:rsidTr="00A76BDB">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rPr>
                <w:rFonts w:ascii="Arial" w:eastAsia="Times New Roman" w:hAnsi="Arial" w:cs="Arial"/>
                <w:sz w:val="20"/>
                <w:szCs w:val="20"/>
                <w:lang w:eastAsia="pl-PL"/>
              </w:rPr>
            </w:pPr>
            <w:r w:rsidRPr="00EE0C8C">
              <w:rPr>
                <w:rFonts w:ascii="Arial" w:eastAsia="Times New Roman" w:hAnsi="Arial" w:cs="Arial"/>
                <w:sz w:val="20"/>
                <w:szCs w:val="20"/>
                <w:lang w:eastAsia="pl-PL"/>
              </w:rPr>
              <w:t>ogółem</w:t>
            </w:r>
          </w:p>
        </w:tc>
        <w:tc>
          <w:tcPr>
            <w:tcW w:w="1698"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ob.</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8</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8</w:t>
            </w:r>
          </w:p>
        </w:tc>
      </w:tr>
      <w:tr w:rsidR="00EE0C8C" w:rsidRPr="00EE0C8C" w:rsidTr="00A76BDB">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rPr>
                <w:rFonts w:ascii="Arial" w:eastAsia="Times New Roman" w:hAnsi="Arial" w:cs="Arial"/>
                <w:sz w:val="20"/>
                <w:szCs w:val="20"/>
                <w:lang w:eastAsia="pl-PL"/>
              </w:rPr>
            </w:pPr>
            <w:r w:rsidRPr="00EE0C8C">
              <w:rPr>
                <w:rFonts w:ascii="Arial" w:eastAsia="Times New Roman" w:hAnsi="Arial" w:cs="Arial"/>
                <w:sz w:val="20"/>
                <w:szCs w:val="20"/>
                <w:lang w:eastAsia="pl-PL"/>
              </w:rPr>
              <w:t>oddziały w szkołach</w:t>
            </w:r>
          </w:p>
        </w:tc>
        <w:tc>
          <w:tcPr>
            <w:tcW w:w="1698"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48,00</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50,00</w:t>
            </w:r>
          </w:p>
        </w:tc>
      </w:tr>
      <w:tr w:rsidR="00EE0C8C" w:rsidRPr="00EE0C8C" w:rsidTr="00A76BDB">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rPr>
                <w:rFonts w:ascii="Arial" w:eastAsia="Times New Roman" w:hAnsi="Arial" w:cs="Arial"/>
                <w:sz w:val="20"/>
                <w:szCs w:val="20"/>
                <w:lang w:eastAsia="pl-PL"/>
              </w:rPr>
            </w:pPr>
            <w:r w:rsidRPr="00EE0C8C">
              <w:rPr>
                <w:rFonts w:ascii="Arial" w:eastAsia="Times New Roman" w:hAnsi="Arial" w:cs="Arial"/>
                <w:sz w:val="20"/>
                <w:szCs w:val="20"/>
                <w:lang w:eastAsia="pl-PL"/>
              </w:rPr>
              <w:t>uczniowie</w:t>
            </w:r>
          </w:p>
        </w:tc>
        <w:tc>
          <w:tcPr>
            <w:tcW w:w="1698"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504</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527</w:t>
            </w:r>
          </w:p>
        </w:tc>
      </w:tr>
      <w:tr w:rsidR="00EE0C8C" w:rsidRPr="00EE0C8C" w:rsidTr="00A76BDB">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rPr>
                <w:rFonts w:ascii="Arial" w:eastAsia="Times New Roman" w:hAnsi="Arial" w:cs="Arial"/>
                <w:sz w:val="20"/>
                <w:szCs w:val="20"/>
                <w:lang w:eastAsia="pl-PL"/>
              </w:rPr>
            </w:pPr>
            <w:r w:rsidRPr="00EE0C8C">
              <w:rPr>
                <w:rFonts w:ascii="Arial" w:eastAsia="Times New Roman" w:hAnsi="Arial" w:cs="Arial"/>
                <w:sz w:val="20"/>
                <w:szCs w:val="20"/>
                <w:lang w:eastAsia="pl-PL"/>
              </w:rPr>
              <w:t>absolwenci</w:t>
            </w:r>
          </w:p>
        </w:tc>
        <w:tc>
          <w:tcPr>
            <w:tcW w:w="1698"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101</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77</w:t>
            </w:r>
          </w:p>
        </w:tc>
      </w:tr>
      <w:tr w:rsidR="00EE0C8C" w:rsidRPr="00EE0C8C" w:rsidTr="00A76BDB">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33CCCC"/>
            <w:noWrap/>
            <w:vAlign w:val="center"/>
            <w:hideMark/>
          </w:tcPr>
          <w:p w:rsidR="00EE0C8C" w:rsidRPr="00EE0C8C" w:rsidRDefault="00EE0C8C" w:rsidP="00EE0C8C">
            <w:pPr>
              <w:spacing w:after="0" w:line="240" w:lineRule="auto"/>
              <w:rPr>
                <w:rFonts w:ascii="Arial" w:eastAsia="Times New Roman" w:hAnsi="Arial" w:cs="Arial"/>
                <w:b/>
                <w:bCs/>
                <w:color w:val="008080"/>
                <w:sz w:val="20"/>
                <w:szCs w:val="20"/>
                <w:lang w:eastAsia="pl-PL"/>
              </w:rPr>
            </w:pPr>
            <w:r w:rsidRPr="00EE0C8C">
              <w:rPr>
                <w:rFonts w:ascii="Arial" w:eastAsia="Times New Roman" w:hAnsi="Arial" w:cs="Arial"/>
                <w:b/>
                <w:bCs/>
                <w:color w:val="008080"/>
                <w:sz w:val="20"/>
                <w:szCs w:val="20"/>
                <w:lang w:eastAsia="pl-PL"/>
              </w:rPr>
              <w:t>Szkoły podstawowe dla dzieci, młodzieży i dorosłych wg gestora</w:t>
            </w:r>
          </w:p>
        </w:tc>
      </w:tr>
      <w:tr w:rsidR="00EE0C8C" w:rsidRPr="00EE0C8C" w:rsidTr="00A76BDB">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808080"/>
            <w:noWrap/>
            <w:vAlign w:val="center"/>
            <w:hideMark/>
          </w:tcPr>
          <w:p w:rsidR="00EE0C8C" w:rsidRPr="00EE0C8C" w:rsidRDefault="00EE0C8C" w:rsidP="00EE0C8C">
            <w:pPr>
              <w:spacing w:after="0" w:line="240" w:lineRule="auto"/>
              <w:rPr>
                <w:rFonts w:ascii="Arial" w:eastAsia="Times New Roman" w:hAnsi="Arial" w:cs="Arial"/>
                <w:color w:val="000000"/>
                <w:sz w:val="20"/>
                <w:szCs w:val="20"/>
                <w:lang w:eastAsia="pl-PL"/>
              </w:rPr>
            </w:pPr>
            <w:r w:rsidRPr="00EE0C8C">
              <w:rPr>
                <w:rFonts w:ascii="Arial" w:eastAsia="Times New Roman" w:hAnsi="Arial" w:cs="Arial"/>
                <w:color w:val="000000"/>
                <w:sz w:val="20"/>
                <w:szCs w:val="20"/>
                <w:lang w:eastAsia="pl-PL"/>
              </w:rPr>
              <w:t>szkoły podstawowe dla dzieci i młodzieży bez specjalnych</w:t>
            </w:r>
          </w:p>
        </w:tc>
      </w:tr>
      <w:tr w:rsidR="00EE0C8C" w:rsidRPr="00EE0C8C" w:rsidTr="00A76BDB">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969696"/>
            <w:noWrap/>
            <w:vAlign w:val="center"/>
            <w:hideMark/>
          </w:tcPr>
          <w:p w:rsidR="00EE0C8C" w:rsidRPr="00EE0C8C" w:rsidRDefault="008F01FE" w:rsidP="00EE0C8C">
            <w:pPr>
              <w:spacing w:after="0" w:line="240" w:lineRule="auto"/>
              <w:rPr>
                <w:rFonts w:ascii="Arial" w:eastAsia="Times New Roman" w:hAnsi="Arial" w:cs="Arial"/>
                <w:color w:val="000000"/>
                <w:sz w:val="20"/>
                <w:szCs w:val="20"/>
                <w:lang w:eastAsia="pl-PL"/>
              </w:rPr>
            </w:pPr>
            <w:r w:rsidRPr="00EE0C8C">
              <w:rPr>
                <w:rFonts w:ascii="Arial" w:eastAsia="Times New Roman" w:hAnsi="Arial" w:cs="Arial"/>
                <w:color w:val="000000"/>
                <w:sz w:val="20"/>
                <w:szCs w:val="20"/>
                <w:lang w:eastAsia="pl-PL"/>
              </w:rPr>
              <w:t>O</w:t>
            </w:r>
            <w:r w:rsidR="00EE0C8C" w:rsidRPr="00EE0C8C">
              <w:rPr>
                <w:rFonts w:ascii="Arial" w:eastAsia="Times New Roman" w:hAnsi="Arial" w:cs="Arial"/>
                <w:color w:val="000000"/>
                <w:sz w:val="20"/>
                <w:szCs w:val="20"/>
                <w:lang w:eastAsia="pl-PL"/>
              </w:rPr>
              <w:t>gółem</w:t>
            </w:r>
          </w:p>
        </w:tc>
      </w:tr>
      <w:tr w:rsidR="00EE0C8C" w:rsidRPr="00EE0C8C" w:rsidTr="00A76BDB">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200" w:firstLine="400"/>
              <w:rPr>
                <w:rFonts w:ascii="Arial" w:eastAsia="Times New Roman" w:hAnsi="Arial" w:cs="Arial"/>
                <w:sz w:val="20"/>
                <w:szCs w:val="20"/>
                <w:lang w:eastAsia="pl-PL"/>
              </w:rPr>
            </w:pPr>
            <w:r w:rsidRPr="00EE0C8C">
              <w:rPr>
                <w:rFonts w:ascii="Arial" w:eastAsia="Times New Roman" w:hAnsi="Arial" w:cs="Arial"/>
                <w:sz w:val="20"/>
                <w:szCs w:val="20"/>
                <w:lang w:eastAsia="pl-PL"/>
              </w:rPr>
              <w:t>ogółem</w:t>
            </w:r>
          </w:p>
        </w:tc>
        <w:tc>
          <w:tcPr>
            <w:tcW w:w="1698"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ob.</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8</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8</w:t>
            </w:r>
          </w:p>
        </w:tc>
      </w:tr>
      <w:tr w:rsidR="00EE0C8C" w:rsidRPr="00EE0C8C" w:rsidTr="00A76BDB">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200" w:firstLine="400"/>
              <w:rPr>
                <w:rFonts w:ascii="Arial" w:eastAsia="Times New Roman" w:hAnsi="Arial" w:cs="Arial"/>
                <w:sz w:val="20"/>
                <w:szCs w:val="20"/>
                <w:lang w:eastAsia="pl-PL"/>
              </w:rPr>
            </w:pPr>
            <w:r w:rsidRPr="00EE0C8C">
              <w:rPr>
                <w:rFonts w:ascii="Arial" w:eastAsia="Times New Roman" w:hAnsi="Arial" w:cs="Arial"/>
                <w:sz w:val="20"/>
                <w:szCs w:val="20"/>
                <w:lang w:eastAsia="pl-PL"/>
              </w:rPr>
              <w:t>prowadzone przez jednostki samorządu gminnego</w:t>
            </w:r>
          </w:p>
        </w:tc>
        <w:tc>
          <w:tcPr>
            <w:tcW w:w="1698"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ob.</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8</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8</w:t>
            </w:r>
          </w:p>
        </w:tc>
      </w:tr>
      <w:tr w:rsidR="00EE0C8C" w:rsidRPr="00EE0C8C" w:rsidTr="00A76BDB">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969696"/>
            <w:noWrap/>
            <w:vAlign w:val="center"/>
            <w:hideMark/>
          </w:tcPr>
          <w:p w:rsidR="00EE0C8C" w:rsidRPr="00EE0C8C" w:rsidRDefault="00EE0C8C" w:rsidP="00EE0C8C">
            <w:pPr>
              <w:spacing w:after="0" w:line="240" w:lineRule="auto"/>
              <w:rPr>
                <w:rFonts w:ascii="Arial" w:eastAsia="Times New Roman" w:hAnsi="Arial" w:cs="Arial"/>
                <w:color w:val="000000"/>
                <w:sz w:val="20"/>
                <w:szCs w:val="20"/>
                <w:lang w:eastAsia="pl-PL"/>
              </w:rPr>
            </w:pPr>
            <w:r w:rsidRPr="00EE0C8C">
              <w:rPr>
                <w:rFonts w:ascii="Arial" w:eastAsia="Times New Roman" w:hAnsi="Arial" w:cs="Arial"/>
                <w:color w:val="000000"/>
                <w:sz w:val="20"/>
                <w:szCs w:val="20"/>
                <w:lang w:eastAsia="pl-PL"/>
              </w:rPr>
              <w:t>oddziały w szkołach</w:t>
            </w:r>
          </w:p>
        </w:tc>
      </w:tr>
      <w:tr w:rsidR="00EE0C8C" w:rsidRPr="00EE0C8C" w:rsidTr="00A76BDB">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200" w:firstLine="400"/>
              <w:rPr>
                <w:rFonts w:ascii="Arial" w:eastAsia="Times New Roman" w:hAnsi="Arial" w:cs="Arial"/>
                <w:sz w:val="20"/>
                <w:szCs w:val="20"/>
                <w:lang w:eastAsia="pl-PL"/>
              </w:rPr>
            </w:pPr>
            <w:r w:rsidRPr="00EE0C8C">
              <w:rPr>
                <w:rFonts w:ascii="Arial" w:eastAsia="Times New Roman" w:hAnsi="Arial" w:cs="Arial"/>
                <w:sz w:val="20"/>
                <w:szCs w:val="20"/>
                <w:lang w:eastAsia="pl-PL"/>
              </w:rPr>
              <w:t>ogółem</w:t>
            </w:r>
          </w:p>
        </w:tc>
        <w:tc>
          <w:tcPr>
            <w:tcW w:w="1698"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48,00</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50,00</w:t>
            </w:r>
          </w:p>
        </w:tc>
      </w:tr>
      <w:tr w:rsidR="00EE0C8C" w:rsidRPr="00EE0C8C" w:rsidTr="00A76BDB">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200" w:firstLine="400"/>
              <w:rPr>
                <w:rFonts w:ascii="Arial" w:eastAsia="Times New Roman" w:hAnsi="Arial" w:cs="Arial"/>
                <w:sz w:val="20"/>
                <w:szCs w:val="20"/>
                <w:lang w:eastAsia="pl-PL"/>
              </w:rPr>
            </w:pPr>
            <w:r w:rsidRPr="00EE0C8C">
              <w:rPr>
                <w:rFonts w:ascii="Arial" w:eastAsia="Times New Roman" w:hAnsi="Arial" w:cs="Arial"/>
                <w:sz w:val="20"/>
                <w:szCs w:val="20"/>
                <w:lang w:eastAsia="pl-PL"/>
              </w:rPr>
              <w:t>prowadzone przez jednostki samorządu gminnego</w:t>
            </w:r>
          </w:p>
        </w:tc>
        <w:tc>
          <w:tcPr>
            <w:tcW w:w="1698"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48,00</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50,00</w:t>
            </w:r>
          </w:p>
        </w:tc>
      </w:tr>
      <w:tr w:rsidR="00EE0C8C" w:rsidRPr="00EE0C8C" w:rsidTr="00A76BDB">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969696"/>
            <w:noWrap/>
            <w:vAlign w:val="center"/>
            <w:hideMark/>
          </w:tcPr>
          <w:p w:rsidR="00EE0C8C" w:rsidRPr="00EE0C8C" w:rsidRDefault="00EE0C8C" w:rsidP="00EE0C8C">
            <w:pPr>
              <w:spacing w:after="0" w:line="240" w:lineRule="auto"/>
              <w:rPr>
                <w:rFonts w:ascii="Arial" w:eastAsia="Times New Roman" w:hAnsi="Arial" w:cs="Arial"/>
                <w:color w:val="000000"/>
                <w:sz w:val="20"/>
                <w:szCs w:val="20"/>
                <w:lang w:eastAsia="pl-PL"/>
              </w:rPr>
            </w:pPr>
            <w:r w:rsidRPr="00EE0C8C">
              <w:rPr>
                <w:rFonts w:ascii="Arial" w:eastAsia="Times New Roman" w:hAnsi="Arial" w:cs="Arial"/>
                <w:color w:val="000000"/>
                <w:sz w:val="20"/>
                <w:szCs w:val="20"/>
                <w:lang w:eastAsia="pl-PL"/>
              </w:rPr>
              <w:t>uczniowie</w:t>
            </w:r>
          </w:p>
        </w:tc>
      </w:tr>
      <w:tr w:rsidR="00EE0C8C" w:rsidRPr="00EE0C8C" w:rsidTr="00A76BDB">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200" w:firstLine="400"/>
              <w:rPr>
                <w:rFonts w:ascii="Arial" w:eastAsia="Times New Roman" w:hAnsi="Arial" w:cs="Arial"/>
                <w:sz w:val="20"/>
                <w:szCs w:val="20"/>
                <w:lang w:eastAsia="pl-PL"/>
              </w:rPr>
            </w:pPr>
            <w:r w:rsidRPr="00EE0C8C">
              <w:rPr>
                <w:rFonts w:ascii="Arial" w:eastAsia="Times New Roman" w:hAnsi="Arial" w:cs="Arial"/>
                <w:sz w:val="20"/>
                <w:szCs w:val="20"/>
                <w:lang w:eastAsia="pl-PL"/>
              </w:rPr>
              <w:t>ogółem</w:t>
            </w:r>
          </w:p>
        </w:tc>
        <w:tc>
          <w:tcPr>
            <w:tcW w:w="1698"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504</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527</w:t>
            </w:r>
          </w:p>
        </w:tc>
      </w:tr>
      <w:tr w:rsidR="00EE0C8C" w:rsidRPr="00EE0C8C" w:rsidTr="00A76BDB">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200" w:firstLine="400"/>
              <w:rPr>
                <w:rFonts w:ascii="Arial" w:eastAsia="Times New Roman" w:hAnsi="Arial" w:cs="Arial"/>
                <w:sz w:val="20"/>
                <w:szCs w:val="20"/>
                <w:lang w:eastAsia="pl-PL"/>
              </w:rPr>
            </w:pPr>
            <w:r w:rsidRPr="00EE0C8C">
              <w:rPr>
                <w:rFonts w:ascii="Arial" w:eastAsia="Times New Roman" w:hAnsi="Arial" w:cs="Arial"/>
                <w:sz w:val="20"/>
                <w:szCs w:val="20"/>
                <w:lang w:eastAsia="pl-PL"/>
              </w:rPr>
              <w:t>prowadzone przez jednostki samorządu gminnego</w:t>
            </w:r>
          </w:p>
        </w:tc>
        <w:tc>
          <w:tcPr>
            <w:tcW w:w="1698"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504</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527</w:t>
            </w:r>
          </w:p>
        </w:tc>
      </w:tr>
      <w:tr w:rsidR="00EE0C8C" w:rsidRPr="00EE0C8C" w:rsidTr="00A76BDB">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969696"/>
            <w:noWrap/>
            <w:vAlign w:val="center"/>
            <w:hideMark/>
          </w:tcPr>
          <w:p w:rsidR="00EE0C8C" w:rsidRPr="00EE0C8C" w:rsidRDefault="00EE0C8C" w:rsidP="00EE0C8C">
            <w:pPr>
              <w:spacing w:after="0" w:line="240" w:lineRule="auto"/>
              <w:rPr>
                <w:rFonts w:ascii="Arial" w:eastAsia="Times New Roman" w:hAnsi="Arial" w:cs="Arial"/>
                <w:color w:val="000000"/>
                <w:sz w:val="20"/>
                <w:szCs w:val="20"/>
                <w:lang w:eastAsia="pl-PL"/>
              </w:rPr>
            </w:pPr>
            <w:r w:rsidRPr="00EE0C8C">
              <w:rPr>
                <w:rFonts w:ascii="Arial" w:eastAsia="Times New Roman" w:hAnsi="Arial" w:cs="Arial"/>
                <w:color w:val="000000"/>
                <w:sz w:val="20"/>
                <w:szCs w:val="20"/>
                <w:lang w:eastAsia="pl-PL"/>
              </w:rPr>
              <w:t>uczniowie - mężczyźni</w:t>
            </w:r>
          </w:p>
        </w:tc>
      </w:tr>
      <w:tr w:rsidR="00EE0C8C" w:rsidRPr="00EE0C8C" w:rsidTr="00A76BDB">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200" w:firstLine="400"/>
              <w:rPr>
                <w:rFonts w:ascii="Arial" w:eastAsia="Times New Roman" w:hAnsi="Arial" w:cs="Arial"/>
                <w:sz w:val="20"/>
                <w:szCs w:val="20"/>
                <w:lang w:eastAsia="pl-PL"/>
              </w:rPr>
            </w:pPr>
            <w:r w:rsidRPr="00EE0C8C">
              <w:rPr>
                <w:rFonts w:ascii="Arial" w:eastAsia="Times New Roman" w:hAnsi="Arial" w:cs="Arial"/>
                <w:sz w:val="20"/>
                <w:szCs w:val="20"/>
                <w:lang w:eastAsia="pl-PL"/>
              </w:rPr>
              <w:t>ogółem</w:t>
            </w:r>
          </w:p>
        </w:tc>
        <w:tc>
          <w:tcPr>
            <w:tcW w:w="1698"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253</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266</w:t>
            </w:r>
          </w:p>
        </w:tc>
      </w:tr>
      <w:tr w:rsidR="00EE0C8C" w:rsidRPr="00EE0C8C" w:rsidTr="00A76BDB">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200" w:firstLine="400"/>
              <w:rPr>
                <w:rFonts w:ascii="Arial" w:eastAsia="Times New Roman" w:hAnsi="Arial" w:cs="Arial"/>
                <w:sz w:val="20"/>
                <w:szCs w:val="20"/>
                <w:lang w:eastAsia="pl-PL"/>
              </w:rPr>
            </w:pPr>
            <w:r w:rsidRPr="00EE0C8C">
              <w:rPr>
                <w:rFonts w:ascii="Arial" w:eastAsia="Times New Roman" w:hAnsi="Arial" w:cs="Arial"/>
                <w:sz w:val="20"/>
                <w:szCs w:val="20"/>
                <w:lang w:eastAsia="pl-PL"/>
              </w:rPr>
              <w:t>prowadzone przez jednostki samorządu gminnego</w:t>
            </w:r>
          </w:p>
        </w:tc>
        <w:tc>
          <w:tcPr>
            <w:tcW w:w="1698"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253</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266</w:t>
            </w:r>
          </w:p>
        </w:tc>
      </w:tr>
      <w:tr w:rsidR="00EE0C8C" w:rsidRPr="00EE0C8C" w:rsidTr="00A76BDB">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969696"/>
            <w:noWrap/>
            <w:vAlign w:val="center"/>
            <w:hideMark/>
          </w:tcPr>
          <w:p w:rsidR="00EE0C8C" w:rsidRPr="00EE0C8C" w:rsidRDefault="00EE0C8C" w:rsidP="00EE0C8C">
            <w:pPr>
              <w:spacing w:after="0" w:line="240" w:lineRule="auto"/>
              <w:rPr>
                <w:rFonts w:ascii="Arial" w:eastAsia="Times New Roman" w:hAnsi="Arial" w:cs="Arial"/>
                <w:color w:val="000000"/>
                <w:sz w:val="20"/>
                <w:szCs w:val="20"/>
                <w:lang w:eastAsia="pl-PL"/>
              </w:rPr>
            </w:pPr>
            <w:r w:rsidRPr="00EE0C8C">
              <w:rPr>
                <w:rFonts w:ascii="Arial" w:eastAsia="Times New Roman" w:hAnsi="Arial" w:cs="Arial"/>
                <w:color w:val="000000"/>
                <w:sz w:val="20"/>
                <w:szCs w:val="20"/>
                <w:lang w:eastAsia="pl-PL"/>
              </w:rPr>
              <w:t>uczniowie - kobiety</w:t>
            </w:r>
          </w:p>
        </w:tc>
      </w:tr>
      <w:tr w:rsidR="00EE0C8C" w:rsidRPr="00EE0C8C" w:rsidTr="00A76BDB">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200" w:firstLine="400"/>
              <w:rPr>
                <w:rFonts w:ascii="Arial" w:eastAsia="Times New Roman" w:hAnsi="Arial" w:cs="Arial"/>
                <w:sz w:val="20"/>
                <w:szCs w:val="20"/>
                <w:lang w:eastAsia="pl-PL"/>
              </w:rPr>
            </w:pPr>
            <w:r w:rsidRPr="00EE0C8C">
              <w:rPr>
                <w:rFonts w:ascii="Arial" w:eastAsia="Times New Roman" w:hAnsi="Arial" w:cs="Arial"/>
                <w:sz w:val="20"/>
                <w:szCs w:val="20"/>
                <w:lang w:eastAsia="pl-PL"/>
              </w:rPr>
              <w:t>ogółem</w:t>
            </w:r>
          </w:p>
        </w:tc>
        <w:tc>
          <w:tcPr>
            <w:tcW w:w="1698"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251</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261</w:t>
            </w:r>
          </w:p>
        </w:tc>
      </w:tr>
      <w:tr w:rsidR="00EE0C8C" w:rsidRPr="00EE0C8C" w:rsidTr="00A76BDB">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200" w:firstLine="400"/>
              <w:rPr>
                <w:rFonts w:ascii="Arial" w:eastAsia="Times New Roman" w:hAnsi="Arial" w:cs="Arial"/>
                <w:sz w:val="20"/>
                <w:szCs w:val="20"/>
                <w:lang w:eastAsia="pl-PL"/>
              </w:rPr>
            </w:pPr>
            <w:r w:rsidRPr="00EE0C8C">
              <w:rPr>
                <w:rFonts w:ascii="Arial" w:eastAsia="Times New Roman" w:hAnsi="Arial" w:cs="Arial"/>
                <w:sz w:val="20"/>
                <w:szCs w:val="20"/>
                <w:lang w:eastAsia="pl-PL"/>
              </w:rPr>
              <w:t>prowadzone przez jednostki samorządu gminnego</w:t>
            </w:r>
          </w:p>
        </w:tc>
        <w:tc>
          <w:tcPr>
            <w:tcW w:w="1698"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251</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261</w:t>
            </w:r>
          </w:p>
        </w:tc>
      </w:tr>
      <w:tr w:rsidR="00EE0C8C" w:rsidRPr="00EE0C8C" w:rsidTr="00A76BDB">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969696"/>
            <w:noWrap/>
            <w:vAlign w:val="center"/>
            <w:hideMark/>
          </w:tcPr>
          <w:p w:rsidR="00EE0C8C" w:rsidRPr="00EE0C8C" w:rsidRDefault="00EE0C8C" w:rsidP="00EE0C8C">
            <w:pPr>
              <w:spacing w:after="0" w:line="240" w:lineRule="auto"/>
              <w:rPr>
                <w:rFonts w:ascii="Arial" w:eastAsia="Times New Roman" w:hAnsi="Arial" w:cs="Arial"/>
                <w:color w:val="000000"/>
                <w:sz w:val="20"/>
                <w:szCs w:val="20"/>
                <w:lang w:eastAsia="pl-PL"/>
              </w:rPr>
            </w:pPr>
            <w:r w:rsidRPr="00EE0C8C">
              <w:rPr>
                <w:rFonts w:ascii="Arial" w:eastAsia="Times New Roman" w:hAnsi="Arial" w:cs="Arial"/>
                <w:color w:val="000000"/>
                <w:sz w:val="20"/>
                <w:szCs w:val="20"/>
                <w:lang w:eastAsia="pl-PL"/>
              </w:rPr>
              <w:t>uczniowie w 1 klasie</w:t>
            </w:r>
          </w:p>
        </w:tc>
      </w:tr>
      <w:tr w:rsidR="00EE0C8C" w:rsidRPr="00EE0C8C" w:rsidTr="00A76BDB">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200" w:firstLine="400"/>
              <w:rPr>
                <w:rFonts w:ascii="Arial" w:eastAsia="Times New Roman" w:hAnsi="Arial" w:cs="Arial"/>
                <w:sz w:val="20"/>
                <w:szCs w:val="20"/>
                <w:lang w:eastAsia="pl-PL"/>
              </w:rPr>
            </w:pPr>
            <w:r w:rsidRPr="00EE0C8C">
              <w:rPr>
                <w:rFonts w:ascii="Arial" w:eastAsia="Times New Roman" w:hAnsi="Arial" w:cs="Arial"/>
                <w:sz w:val="20"/>
                <w:szCs w:val="20"/>
                <w:lang w:eastAsia="pl-PL"/>
              </w:rPr>
              <w:t>ogółem</w:t>
            </w:r>
          </w:p>
        </w:tc>
        <w:tc>
          <w:tcPr>
            <w:tcW w:w="1698"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80</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102</w:t>
            </w:r>
          </w:p>
        </w:tc>
      </w:tr>
      <w:tr w:rsidR="00EE0C8C" w:rsidRPr="00EE0C8C" w:rsidTr="00A76BDB">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200" w:firstLine="400"/>
              <w:rPr>
                <w:rFonts w:ascii="Arial" w:eastAsia="Times New Roman" w:hAnsi="Arial" w:cs="Arial"/>
                <w:sz w:val="20"/>
                <w:szCs w:val="20"/>
                <w:lang w:eastAsia="pl-PL"/>
              </w:rPr>
            </w:pPr>
            <w:r w:rsidRPr="00EE0C8C">
              <w:rPr>
                <w:rFonts w:ascii="Arial" w:eastAsia="Times New Roman" w:hAnsi="Arial" w:cs="Arial"/>
                <w:sz w:val="20"/>
                <w:szCs w:val="20"/>
                <w:lang w:eastAsia="pl-PL"/>
              </w:rPr>
              <w:lastRenderedPageBreak/>
              <w:t>prowadzone przez jednostki samorządu gminnego</w:t>
            </w:r>
          </w:p>
        </w:tc>
        <w:tc>
          <w:tcPr>
            <w:tcW w:w="1698"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80</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102</w:t>
            </w:r>
          </w:p>
        </w:tc>
      </w:tr>
      <w:tr w:rsidR="00EE0C8C" w:rsidRPr="00EE0C8C" w:rsidTr="00A76BDB">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969696"/>
            <w:noWrap/>
            <w:vAlign w:val="center"/>
            <w:hideMark/>
          </w:tcPr>
          <w:p w:rsidR="00EE0C8C" w:rsidRPr="00EE0C8C" w:rsidRDefault="00EE0C8C" w:rsidP="00EE0C8C">
            <w:pPr>
              <w:spacing w:after="0" w:line="240" w:lineRule="auto"/>
              <w:rPr>
                <w:rFonts w:ascii="Arial" w:eastAsia="Times New Roman" w:hAnsi="Arial" w:cs="Arial"/>
                <w:color w:val="000000"/>
                <w:sz w:val="20"/>
                <w:szCs w:val="20"/>
                <w:lang w:eastAsia="pl-PL"/>
              </w:rPr>
            </w:pPr>
            <w:r w:rsidRPr="00EE0C8C">
              <w:rPr>
                <w:rFonts w:ascii="Arial" w:eastAsia="Times New Roman" w:hAnsi="Arial" w:cs="Arial"/>
                <w:color w:val="000000"/>
                <w:sz w:val="20"/>
                <w:szCs w:val="20"/>
                <w:lang w:eastAsia="pl-PL"/>
              </w:rPr>
              <w:t>uczniowie w 1 klasie - kobiety</w:t>
            </w:r>
          </w:p>
        </w:tc>
      </w:tr>
      <w:tr w:rsidR="00EE0C8C" w:rsidRPr="00EE0C8C" w:rsidTr="00A76BDB">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200" w:firstLine="400"/>
              <w:rPr>
                <w:rFonts w:ascii="Arial" w:eastAsia="Times New Roman" w:hAnsi="Arial" w:cs="Arial"/>
                <w:sz w:val="20"/>
                <w:szCs w:val="20"/>
                <w:lang w:eastAsia="pl-PL"/>
              </w:rPr>
            </w:pPr>
            <w:r w:rsidRPr="00EE0C8C">
              <w:rPr>
                <w:rFonts w:ascii="Arial" w:eastAsia="Times New Roman" w:hAnsi="Arial" w:cs="Arial"/>
                <w:sz w:val="20"/>
                <w:szCs w:val="20"/>
                <w:lang w:eastAsia="pl-PL"/>
              </w:rPr>
              <w:t>ogółem</w:t>
            </w:r>
          </w:p>
        </w:tc>
        <w:tc>
          <w:tcPr>
            <w:tcW w:w="1698"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42</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47</w:t>
            </w:r>
          </w:p>
        </w:tc>
      </w:tr>
      <w:tr w:rsidR="00EE0C8C" w:rsidRPr="00EE0C8C" w:rsidTr="00A76BDB">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200" w:firstLine="400"/>
              <w:rPr>
                <w:rFonts w:ascii="Arial" w:eastAsia="Times New Roman" w:hAnsi="Arial" w:cs="Arial"/>
                <w:sz w:val="20"/>
                <w:szCs w:val="20"/>
                <w:lang w:eastAsia="pl-PL"/>
              </w:rPr>
            </w:pPr>
            <w:r w:rsidRPr="00EE0C8C">
              <w:rPr>
                <w:rFonts w:ascii="Arial" w:eastAsia="Times New Roman" w:hAnsi="Arial" w:cs="Arial"/>
                <w:sz w:val="20"/>
                <w:szCs w:val="20"/>
                <w:lang w:eastAsia="pl-PL"/>
              </w:rPr>
              <w:t>prowadzone przez jednostki samorządu gminnego</w:t>
            </w:r>
          </w:p>
        </w:tc>
        <w:tc>
          <w:tcPr>
            <w:tcW w:w="1698"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42</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47</w:t>
            </w:r>
          </w:p>
        </w:tc>
      </w:tr>
      <w:tr w:rsidR="00EE0C8C" w:rsidRPr="00EE0C8C" w:rsidTr="00A76BDB">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969696"/>
            <w:noWrap/>
            <w:vAlign w:val="center"/>
            <w:hideMark/>
          </w:tcPr>
          <w:p w:rsidR="00EE0C8C" w:rsidRPr="00EE0C8C" w:rsidRDefault="00EE0C8C" w:rsidP="00EE0C8C">
            <w:pPr>
              <w:spacing w:after="0" w:line="240" w:lineRule="auto"/>
              <w:rPr>
                <w:rFonts w:ascii="Arial" w:eastAsia="Times New Roman" w:hAnsi="Arial" w:cs="Arial"/>
                <w:color w:val="000000"/>
                <w:sz w:val="20"/>
                <w:szCs w:val="20"/>
                <w:lang w:eastAsia="pl-PL"/>
              </w:rPr>
            </w:pPr>
            <w:r w:rsidRPr="00EE0C8C">
              <w:rPr>
                <w:rFonts w:ascii="Arial" w:eastAsia="Times New Roman" w:hAnsi="Arial" w:cs="Arial"/>
                <w:color w:val="000000"/>
                <w:sz w:val="20"/>
                <w:szCs w:val="20"/>
                <w:lang w:eastAsia="pl-PL"/>
              </w:rPr>
              <w:t>uczniowie w 1 klasie - mężczyźni</w:t>
            </w:r>
          </w:p>
        </w:tc>
      </w:tr>
      <w:tr w:rsidR="00EE0C8C" w:rsidRPr="00EE0C8C" w:rsidTr="00A76BDB">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200" w:firstLine="400"/>
              <w:rPr>
                <w:rFonts w:ascii="Arial" w:eastAsia="Times New Roman" w:hAnsi="Arial" w:cs="Arial"/>
                <w:sz w:val="20"/>
                <w:szCs w:val="20"/>
                <w:lang w:eastAsia="pl-PL"/>
              </w:rPr>
            </w:pPr>
            <w:r w:rsidRPr="00EE0C8C">
              <w:rPr>
                <w:rFonts w:ascii="Arial" w:eastAsia="Times New Roman" w:hAnsi="Arial" w:cs="Arial"/>
                <w:sz w:val="20"/>
                <w:szCs w:val="20"/>
                <w:lang w:eastAsia="pl-PL"/>
              </w:rPr>
              <w:t>ogółem</w:t>
            </w:r>
          </w:p>
        </w:tc>
        <w:tc>
          <w:tcPr>
            <w:tcW w:w="1698"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38</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55</w:t>
            </w:r>
          </w:p>
        </w:tc>
      </w:tr>
      <w:tr w:rsidR="00EE0C8C" w:rsidRPr="00EE0C8C" w:rsidTr="00A76BDB">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200" w:firstLine="400"/>
              <w:rPr>
                <w:rFonts w:ascii="Arial" w:eastAsia="Times New Roman" w:hAnsi="Arial" w:cs="Arial"/>
                <w:sz w:val="20"/>
                <w:szCs w:val="20"/>
                <w:lang w:eastAsia="pl-PL"/>
              </w:rPr>
            </w:pPr>
            <w:r w:rsidRPr="00EE0C8C">
              <w:rPr>
                <w:rFonts w:ascii="Arial" w:eastAsia="Times New Roman" w:hAnsi="Arial" w:cs="Arial"/>
                <w:sz w:val="20"/>
                <w:szCs w:val="20"/>
                <w:lang w:eastAsia="pl-PL"/>
              </w:rPr>
              <w:t>prowadzone przez jednostki samorządu gminnego</w:t>
            </w:r>
          </w:p>
        </w:tc>
        <w:tc>
          <w:tcPr>
            <w:tcW w:w="1698"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38</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55</w:t>
            </w:r>
          </w:p>
        </w:tc>
      </w:tr>
      <w:tr w:rsidR="00EE0C8C" w:rsidRPr="00EE0C8C" w:rsidTr="00A76BDB">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969696"/>
            <w:noWrap/>
            <w:vAlign w:val="center"/>
            <w:hideMark/>
          </w:tcPr>
          <w:p w:rsidR="00EE0C8C" w:rsidRPr="00EE0C8C" w:rsidRDefault="00EE0C8C" w:rsidP="00EE0C8C">
            <w:pPr>
              <w:spacing w:after="0" w:line="240" w:lineRule="auto"/>
              <w:rPr>
                <w:rFonts w:ascii="Arial" w:eastAsia="Times New Roman" w:hAnsi="Arial" w:cs="Arial"/>
                <w:color w:val="000000"/>
                <w:sz w:val="20"/>
                <w:szCs w:val="20"/>
                <w:lang w:eastAsia="pl-PL"/>
              </w:rPr>
            </w:pPr>
            <w:r w:rsidRPr="00EE0C8C">
              <w:rPr>
                <w:rFonts w:ascii="Arial" w:eastAsia="Times New Roman" w:hAnsi="Arial" w:cs="Arial"/>
                <w:color w:val="000000"/>
                <w:sz w:val="20"/>
                <w:szCs w:val="20"/>
                <w:lang w:eastAsia="pl-PL"/>
              </w:rPr>
              <w:t>absolwenci</w:t>
            </w:r>
          </w:p>
        </w:tc>
      </w:tr>
      <w:tr w:rsidR="00EE0C8C" w:rsidRPr="00EE0C8C" w:rsidTr="00A76BDB">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200" w:firstLine="400"/>
              <w:rPr>
                <w:rFonts w:ascii="Arial" w:eastAsia="Times New Roman" w:hAnsi="Arial" w:cs="Arial"/>
                <w:sz w:val="20"/>
                <w:szCs w:val="20"/>
                <w:lang w:eastAsia="pl-PL"/>
              </w:rPr>
            </w:pPr>
            <w:r w:rsidRPr="00EE0C8C">
              <w:rPr>
                <w:rFonts w:ascii="Arial" w:eastAsia="Times New Roman" w:hAnsi="Arial" w:cs="Arial"/>
                <w:sz w:val="20"/>
                <w:szCs w:val="20"/>
                <w:lang w:eastAsia="pl-PL"/>
              </w:rPr>
              <w:t>ogółem</w:t>
            </w:r>
          </w:p>
        </w:tc>
        <w:tc>
          <w:tcPr>
            <w:tcW w:w="1698"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101</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77</w:t>
            </w:r>
          </w:p>
        </w:tc>
      </w:tr>
      <w:tr w:rsidR="00EE0C8C" w:rsidRPr="00EE0C8C" w:rsidTr="00A76BDB">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200" w:firstLine="400"/>
              <w:rPr>
                <w:rFonts w:ascii="Arial" w:eastAsia="Times New Roman" w:hAnsi="Arial" w:cs="Arial"/>
                <w:sz w:val="20"/>
                <w:szCs w:val="20"/>
                <w:lang w:eastAsia="pl-PL"/>
              </w:rPr>
            </w:pPr>
            <w:r w:rsidRPr="00EE0C8C">
              <w:rPr>
                <w:rFonts w:ascii="Arial" w:eastAsia="Times New Roman" w:hAnsi="Arial" w:cs="Arial"/>
                <w:sz w:val="20"/>
                <w:szCs w:val="20"/>
                <w:lang w:eastAsia="pl-PL"/>
              </w:rPr>
              <w:t>prowadzone przez jednostki samorządu gminnego</w:t>
            </w:r>
          </w:p>
        </w:tc>
        <w:tc>
          <w:tcPr>
            <w:tcW w:w="1698"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101</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77</w:t>
            </w:r>
          </w:p>
        </w:tc>
      </w:tr>
      <w:tr w:rsidR="00EE0C8C" w:rsidRPr="00EE0C8C" w:rsidTr="00A76BDB">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969696"/>
            <w:noWrap/>
            <w:vAlign w:val="center"/>
            <w:hideMark/>
          </w:tcPr>
          <w:p w:rsidR="00EE0C8C" w:rsidRPr="00EE0C8C" w:rsidRDefault="00EE0C8C" w:rsidP="00EE0C8C">
            <w:pPr>
              <w:spacing w:after="0" w:line="240" w:lineRule="auto"/>
              <w:rPr>
                <w:rFonts w:ascii="Arial" w:eastAsia="Times New Roman" w:hAnsi="Arial" w:cs="Arial"/>
                <w:color w:val="000000"/>
                <w:sz w:val="20"/>
                <w:szCs w:val="20"/>
                <w:lang w:eastAsia="pl-PL"/>
              </w:rPr>
            </w:pPr>
            <w:r w:rsidRPr="00EE0C8C">
              <w:rPr>
                <w:rFonts w:ascii="Arial" w:eastAsia="Times New Roman" w:hAnsi="Arial" w:cs="Arial"/>
                <w:color w:val="000000"/>
                <w:sz w:val="20"/>
                <w:szCs w:val="20"/>
                <w:lang w:eastAsia="pl-PL"/>
              </w:rPr>
              <w:t>absolwenci - mężczyźni</w:t>
            </w:r>
          </w:p>
        </w:tc>
      </w:tr>
      <w:tr w:rsidR="00EE0C8C" w:rsidRPr="00EE0C8C" w:rsidTr="00A76BDB">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200" w:firstLine="400"/>
              <w:rPr>
                <w:rFonts w:ascii="Arial" w:eastAsia="Times New Roman" w:hAnsi="Arial" w:cs="Arial"/>
                <w:sz w:val="20"/>
                <w:szCs w:val="20"/>
                <w:lang w:eastAsia="pl-PL"/>
              </w:rPr>
            </w:pPr>
            <w:r w:rsidRPr="00EE0C8C">
              <w:rPr>
                <w:rFonts w:ascii="Arial" w:eastAsia="Times New Roman" w:hAnsi="Arial" w:cs="Arial"/>
                <w:sz w:val="20"/>
                <w:szCs w:val="20"/>
                <w:lang w:eastAsia="pl-PL"/>
              </w:rPr>
              <w:t>ogółem</w:t>
            </w:r>
          </w:p>
        </w:tc>
        <w:tc>
          <w:tcPr>
            <w:tcW w:w="1698"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53</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40</w:t>
            </w:r>
          </w:p>
        </w:tc>
      </w:tr>
      <w:tr w:rsidR="00EE0C8C" w:rsidRPr="00EE0C8C" w:rsidTr="00A76BDB">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200" w:firstLine="400"/>
              <w:rPr>
                <w:rFonts w:ascii="Arial" w:eastAsia="Times New Roman" w:hAnsi="Arial" w:cs="Arial"/>
                <w:sz w:val="20"/>
                <w:szCs w:val="20"/>
                <w:lang w:eastAsia="pl-PL"/>
              </w:rPr>
            </w:pPr>
            <w:r w:rsidRPr="00EE0C8C">
              <w:rPr>
                <w:rFonts w:ascii="Arial" w:eastAsia="Times New Roman" w:hAnsi="Arial" w:cs="Arial"/>
                <w:sz w:val="20"/>
                <w:szCs w:val="20"/>
                <w:lang w:eastAsia="pl-PL"/>
              </w:rPr>
              <w:t>prowadzone przez jednostki samorządu gminnego</w:t>
            </w:r>
          </w:p>
        </w:tc>
        <w:tc>
          <w:tcPr>
            <w:tcW w:w="1698"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53</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40</w:t>
            </w:r>
          </w:p>
        </w:tc>
      </w:tr>
      <w:tr w:rsidR="00EE0C8C" w:rsidRPr="00EE0C8C" w:rsidTr="00A76BDB">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969696"/>
            <w:noWrap/>
            <w:vAlign w:val="center"/>
            <w:hideMark/>
          </w:tcPr>
          <w:p w:rsidR="00EE0C8C" w:rsidRPr="00EE0C8C" w:rsidRDefault="00EE0C8C" w:rsidP="00EE0C8C">
            <w:pPr>
              <w:spacing w:after="0" w:line="240" w:lineRule="auto"/>
              <w:rPr>
                <w:rFonts w:ascii="Arial" w:eastAsia="Times New Roman" w:hAnsi="Arial" w:cs="Arial"/>
                <w:color w:val="000000"/>
                <w:sz w:val="20"/>
                <w:szCs w:val="20"/>
                <w:lang w:eastAsia="pl-PL"/>
              </w:rPr>
            </w:pPr>
            <w:r w:rsidRPr="00EE0C8C">
              <w:rPr>
                <w:rFonts w:ascii="Arial" w:eastAsia="Times New Roman" w:hAnsi="Arial" w:cs="Arial"/>
                <w:color w:val="000000"/>
                <w:sz w:val="20"/>
                <w:szCs w:val="20"/>
                <w:lang w:eastAsia="pl-PL"/>
              </w:rPr>
              <w:t>absolwenci - kobiety</w:t>
            </w:r>
          </w:p>
        </w:tc>
      </w:tr>
      <w:tr w:rsidR="00EE0C8C" w:rsidRPr="00EE0C8C" w:rsidTr="00A76BDB">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200" w:firstLine="400"/>
              <w:rPr>
                <w:rFonts w:ascii="Arial" w:eastAsia="Times New Roman" w:hAnsi="Arial" w:cs="Arial"/>
                <w:sz w:val="20"/>
                <w:szCs w:val="20"/>
                <w:lang w:eastAsia="pl-PL"/>
              </w:rPr>
            </w:pPr>
            <w:r w:rsidRPr="00EE0C8C">
              <w:rPr>
                <w:rFonts w:ascii="Arial" w:eastAsia="Times New Roman" w:hAnsi="Arial" w:cs="Arial"/>
                <w:sz w:val="20"/>
                <w:szCs w:val="20"/>
                <w:lang w:eastAsia="pl-PL"/>
              </w:rPr>
              <w:t>ogółem</w:t>
            </w:r>
          </w:p>
        </w:tc>
        <w:tc>
          <w:tcPr>
            <w:tcW w:w="1698"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48</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37</w:t>
            </w:r>
          </w:p>
        </w:tc>
      </w:tr>
      <w:tr w:rsidR="00EE0C8C" w:rsidRPr="00EE0C8C" w:rsidTr="00A76BDB">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200" w:firstLine="400"/>
              <w:rPr>
                <w:rFonts w:ascii="Arial" w:eastAsia="Times New Roman" w:hAnsi="Arial" w:cs="Arial"/>
                <w:sz w:val="20"/>
                <w:szCs w:val="20"/>
                <w:lang w:eastAsia="pl-PL"/>
              </w:rPr>
            </w:pPr>
            <w:r w:rsidRPr="00EE0C8C">
              <w:rPr>
                <w:rFonts w:ascii="Arial" w:eastAsia="Times New Roman" w:hAnsi="Arial" w:cs="Arial"/>
                <w:sz w:val="20"/>
                <w:szCs w:val="20"/>
                <w:lang w:eastAsia="pl-PL"/>
              </w:rPr>
              <w:t>prowadzone przez jednostki samorządu gminnego</w:t>
            </w:r>
          </w:p>
        </w:tc>
        <w:tc>
          <w:tcPr>
            <w:tcW w:w="1698"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48</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37</w:t>
            </w:r>
          </w:p>
        </w:tc>
      </w:tr>
      <w:tr w:rsidR="00EE0C8C" w:rsidRPr="00EE0C8C" w:rsidTr="00A76BDB">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33CCCC"/>
            <w:noWrap/>
            <w:vAlign w:val="center"/>
            <w:hideMark/>
          </w:tcPr>
          <w:p w:rsidR="00EE0C8C" w:rsidRPr="00EE0C8C" w:rsidRDefault="00EE0C8C" w:rsidP="00EE0C8C">
            <w:pPr>
              <w:spacing w:after="0" w:line="240" w:lineRule="auto"/>
              <w:rPr>
                <w:rFonts w:ascii="Arial" w:eastAsia="Times New Roman" w:hAnsi="Arial" w:cs="Arial"/>
                <w:b/>
                <w:bCs/>
                <w:color w:val="008080"/>
                <w:sz w:val="20"/>
                <w:szCs w:val="20"/>
                <w:lang w:eastAsia="pl-PL"/>
              </w:rPr>
            </w:pPr>
            <w:r w:rsidRPr="00EE0C8C">
              <w:rPr>
                <w:rFonts w:ascii="Arial" w:eastAsia="Times New Roman" w:hAnsi="Arial" w:cs="Arial"/>
                <w:b/>
                <w:bCs/>
                <w:color w:val="008080"/>
                <w:sz w:val="20"/>
                <w:szCs w:val="20"/>
                <w:lang w:eastAsia="pl-PL"/>
              </w:rPr>
              <w:t>Uczniowie przypadający na 1 oddział w szkołach podstawowych</w:t>
            </w:r>
          </w:p>
        </w:tc>
      </w:tr>
      <w:tr w:rsidR="00EE0C8C" w:rsidRPr="00EE0C8C" w:rsidTr="00A76BDB">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rPr>
                <w:rFonts w:ascii="Arial" w:eastAsia="Times New Roman" w:hAnsi="Arial" w:cs="Arial"/>
                <w:sz w:val="20"/>
                <w:szCs w:val="20"/>
                <w:lang w:eastAsia="pl-PL"/>
              </w:rPr>
            </w:pPr>
            <w:r w:rsidRPr="00EE0C8C">
              <w:rPr>
                <w:rFonts w:ascii="Arial" w:eastAsia="Times New Roman" w:hAnsi="Arial" w:cs="Arial"/>
                <w:sz w:val="20"/>
                <w:szCs w:val="20"/>
                <w:lang w:eastAsia="pl-PL"/>
              </w:rPr>
              <w:t>szkoły podstawowe ogółem</w:t>
            </w:r>
          </w:p>
        </w:tc>
        <w:tc>
          <w:tcPr>
            <w:tcW w:w="1698"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11</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11</w:t>
            </w:r>
          </w:p>
        </w:tc>
      </w:tr>
      <w:tr w:rsidR="00EE0C8C" w:rsidRPr="00EE0C8C" w:rsidTr="00A76BDB">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rPr>
                <w:rFonts w:ascii="Arial" w:eastAsia="Times New Roman" w:hAnsi="Arial" w:cs="Arial"/>
                <w:sz w:val="20"/>
                <w:szCs w:val="20"/>
                <w:lang w:eastAsia="pl-PL"/>
              </w:rPr>
            </w:pPr>
            <w:r w:rsidRPr="00EE0C8C">
              <w:rPr>
                <w:rFonts w:ascii="Arial" w:eastAsia="Times New Roman" w:hAnsi="Arial" w:cs="Arial"/>
                <w:sz w:val="20"/>
                <w:szCs w:val="20"/>
                <w:lang w:eastAsia="pl-PL"/>
              </w:rPr>
              <w:t>szkoły podstawowe dla dzieci i młodzieży ogółem</w:t>
            </w:r>
          </w:p>
        </w:tc>
        <w:tc>
          <w:tcPr>
            <w:tcW w:w="1698"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11</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11</w:t>
            </w:r>
          </w:p>
        </w:tc>
      </w:tr>
      <w:tr w:rsidR="00EE0C8C" w:rsidRPr="00EE0C8C" w:rsidTr="00A76BDB">
        <w:trPr>
          <w:trHeight w:val="510"/>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rPr>
                <w:rFonts w:ascii="Arial" w:eastAsia="Times New Roman" w:hAnsi="Arial" w:cs="Arial"/>
                <w:sz w:val="20"/>
                <w:szCs w:val="20"/>
                <w:lang w:eastAsia="pl-PL"/>
              </w:rPr>
            </w:pPr>
            <w:r w:rsidRPr="00EE0C8C">
              <w:rPr>
                <w:rFonts w:ascii="Arial" w:eastAsia="Times New Roman" w:hAnsi="Arial" w:cs="Arial"/>
                <w:sz w:val="20"/>
                <w:szCs w:val="20"/>
                <w:lang w:eastAsia="pl-PL"/>
              </w:rPr>
              <w:t>szkoły podstawowe dla dzieci i młodzieży bez specjalnych</w:t>
            </w:r>
          </w:p>
        </w:tc>
        <w:tc>
          <w:tcPr>
            <w:tcW w:w="1698"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11</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11</w:t>
            </w:r>
          </w:p>
        </w:tc>
      </w:tr>
      <w:tr w:rsidR="00EE0C8C" w:rsidRPr="00EE0C8C" w:rsidTr="00A76BDB">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33CCCC"/>
            <w:noWrap/>
            <w:vAlign w:val="center"/>
            <w:hideMark/>
          </w:tcPr>
          <w:p w:rsidR="00EE0C8C" w:rsidRPr="00EE0C8C" w:rsidRDefault="00EE0C8C" w:rsidP="00EE0C8C">
            <w:pPr>
              <w:spacing w:after="0" w:line="240" w:lineRule="auto"/>
              <w:rPr>
                <w:rFonts w:ascii="Arial" w:eastAsia="Times New Roman" w:hAnsi="Arial" w:cs="Arial"/>
                <w:b/>
                <w:bCs/>
                <w:color w:val="008080"/>
                <w:sz w:val="20"/>
                <w:szCs w:val="20"/>
                <w:lang w:eastAsia="pl-PL"/>
              </w:rPr>
            </w:pPr>
            <w:r w:rsidRPr="00EE0C8C">
              <w:rPr>
                <w:rFonts w:ascii="Arial" w:eastAsia="Times New Roman" w:hAnsi="Arial" w:cs="Arial"/>
                <w:b/>
                <w:bCs/>
                <w:color w:val="008080"/>
                <w:sz w:val="20"/>
                <w:szCs w:val="20"/>
                <w:lang w:eastAsia="pl-PL"/>
              </w:rPr>
              <w:t>Nauczyciele pełnozatrudnieni i niepełnozatrudnieni w przeliczeniu na etaty</w:t>
            </w:r>
          </w:p>
        </w:tc>
      </w:tr>
      <w:tr w:rsidR="00EE0C8C" w:rsidRPr="00EE0C8C" w:rsidTr="00A76BDB">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808080"/>
            <w:noWrap/>
            <w:vAlign w:val="center"/>
            <w:hideMark/>
          </w:tcPr>
          <w:p w:rsidR="00EE0C8C" w:rsidRPr="00EE0C8C" w:rsidRDefault="00EE0C8C" w:rsidP="00EE0C8C">
            <w:pPr>
              <w:spacing w:after="0" w:line="240" w:lineRule="auto"/>
              <w:rPr>
                <w:rFonts w:ascii="Arial" w:eastAsia="Times New Roman" w:hAnsi="Arial" w:cs="Arial"/>
                <w:color w:val="000000"/>
                <w:sz w:val="20"/>
                <w:szCs w:val="20"/>
                <w:lang w:eastAsia="pl-PL"/>
              </w:rPr>
            </w:pPr>
            <w:r w:rsidRPr="00EE0C8C">
              <w:rPr>
                <w:rFonts w:ascii="Arial" w:eastAsia="Times New Roman" w:hAnsi="Arial" w:cs="Arial"/>
                <w:color w:val="000000"/>
                <w:sz w:val="20"/>
                <w:szCs w:val="20"/>
                <w:lang w:eastAsia="pl-PL"/>
              </w:rPr>
              <w:t>szkoły podstawowe dla dzieci i młodzieży bez specjalnych</w:t>
            </w:r>
          </w:p>
        </w:tc>
      </w:tr>
      <w:tr w:rsidR="00EE0C8C" w:rsidRPr="00EE0C8C" w:rsidTr="00A76BDB">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100" w:firstLine="200"/>
              <w:rPr>
                <w:rFonts w:ascii="Arial" w:eastAsia="Times New Roman" w:hAnsi="Arial" w:cs="Arial"/>
                <w:sz w:val="20"/>
                <w:szCs w:val="20"/>
                <w:lang w:eastAsia="pl-PL"/>
              </w:rPr>
            </w:pPr>
            <w:r w:rsidRPr="00EE0C8C">
              <w:rPr>
                <w:rFonts w:ascii="Arial" w:eastAsia="Times New Roman" w:hAnsi="Arial" w:cs="Arial"/>
                <w:sz w:val="20"/>
                <w:szCs w:val="20"/>
                <w:lang w:eastAsia="pl-PL"/>
              </w:rPr>
              <w:t>ogółem</w:t>
            </w:r>
          </w:p>
        </w:tc>
        <w:tc>
          <w:tcPr>
            <w:tcW w:w="1698"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etat</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56,84</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57,32</w:t>
            </w:r>
          </w:p>
        </w:tc>
      </w:tr>
      <w:tr w:rsidR="00EE0C8C" w:rsidRPr="00EE0C8C" w:rsidTr="00A76BDB">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100" w:firstLine="200"/>
              <w:rPr>
                <w:rFonts w:ascii="Arial" w:eastAsia="Times New Roman" w:hAnsi="Arial" w:cs="Arial"/>
                <w:sz w:val="20"/>
                <w:szCs w:val="20"/>
                <w:lang w:eastAsia="pl-PL"/>
              </w:rPr>
            </w:pPr>
            <w:r w:rsidRPr="00EE0C8C">
              <w:rPr>
                <w:rFonts w:ascii="Arial" w:eastAsia="Times New Roman" w:hAnsi="Arial" w:cs="Arial"/>
                <w:sz w:val="20"/>
                <w:szCs w:val="20"/>
                <w:lang w:eastAsia="pl-PL"/>
              </w:rPr>
              <w:t>mężczyźni</w:t>
            </w:r>
          </w:p>
        </w:tc>
        <w:tc>
          <w:tcPr>
            <w:tcW w:w="1698"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etat</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9,34</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8,95</w:t>
            </w:r>
          </w:p>
        </w:tc>
      </w:tr>
      <w:tr w:rsidR="00EE0C8C" w:rsidRPr="00EE0C8C" w:rsidTr="00A76BDB">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100" w:firstLine="200"/>
              <w:rPr>
                <w:rFonts w:ascii="Arial" w:eastAsia="Times New Roman" w:hAnsi="Arial" w:cs="Arial"/>
                <w:sz w:val="20"/>
                <w:szCs w:val="20"/>
                <w:lang w:eastAsia="pl-PL"/>
              </w:rPr>
            </w:pPr>
            <w:r w:rsidRPr="00EE0C8C">
              <w:rPr>
                <w:rFonts w:ascii="Arial" w:eastAsia="Times New Roman" w:hAnsi="Arial" w:cs="Arial"/>
                <w:sz w:val="20"/>
                <w:szCs w:val="20"/>
                <w:lang w:eastAsia="pl-PL"/>
              </w:rPr>
              <w:t>kobiety</w:t>
            </w:r>
          </w:p>
        </w:tc>
        <w:tc>
          <w:tcPr>
            <w:tcW w:w="1698"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etat</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47,50</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48,37</w:t>
            </w:r>
          </w:p>
        </w:tc>
      </w:tr>
      <w:tr w:rsidR="00EE0C8C" w:rsidRPr="00EE0C8C" w:rsidTr="00A76BDB">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008080"/>
            <w:noWrap/>
            <w:vAlign w:val="center"/>
            <w:hideMark/>
          </w:tcPr>
          <w:p w:rsidR="00EE0C8C" w:rsidRPr="00EE0C8C" w:rsidRDefault="00EE0C8C" w:rsidP="00EE0C8C">
            <w:pPr>
              <w:spacing w:after="0" w:line="240" w:lineRule="auto"/>
              <w:rPr>
                <w:rFonts w:ascii="Arial" w:eastAsia="Times New Roman" w:hAnsi="Arial" w:cs="Arial"/>
                <w:b/>
                <w:bCs/>
                <w:color w:val="FFFFFF"/>
                <w:sz w:val="20"/>
                <w:szCs w:val="20"/>
                <w:lang w:eastAsia="pl-PL"/>
              </w:rPr>
            </w:pPr>
            <w:r w:rsidRPr="00EE0C8C">
              <w:rPr>
                <w:rFonts w:ascii="Arial" w:eastAsia="Times New Roman" w:hAnsi="Arial" w:cs="Arial"/>
                <w:b/>
                <w:bCs/>
                <w:color w:val="FFFFFF"/>
                <w:sz w:val="20"/>
                <w:szCs w:val="20"/>
                <w:lang w:eastAsia="pl-PL"/>
              </w:rPr>
              <w:t>EDUKACJA DZIECI I MŁODZIEŻY ZE SPECJALNYMI POTRZEBAMI EDUKACYJNYMI</w:t>
            </w:r>
          </w:p>
        </w:tc>
      </w:tr>
      <w:tr w:rsidR="00EE0C8C" w:rsidRPr="00EE0C8C" w:rsidTr="00A76BDB">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33CCCC"/>
            <w:noWrap/>
            <w:vAlign w:val="center"/>
            <w:hideMark/>
          </w:tcPr>
          <w:p w:rsidR="00EE0C8C" w:rsidRPr="00EE0C8C" w:rsidRDefault="00EE0C8C" w:rsidP="00EE0C8C">
            <w:pPr>
              <w:spacing w:after="0" w:line="240" w:lineRule="auto"/>
              <w:rPr>
                <w:rFonts w:ascii="Arial" w:eastAsia="Times New Roman" w:hAnsi="Arial" w:cs="Arial"/>
                <w:b/>
                <w:bCs/>
                <w:color w:val="008080"/>
                <w:sz w:val="20"/>
                <w:szCs w:val="20"/>
                <w:lang w:eastAsia="pl-PL"/>
              </w:rPr>
            </w:pPr>
            <w:r w:rsidRPr="00EE0C8C">
              <w:rPr>
                <w:rFonts w:ascii="Arial" w:eastAsia="Times New Roman" w:hAnsi="Arial" w:cs="Arial"/>
                <w:b/>
                <w:bCs/>
                <w:color w:val="008080"/>
                <w:sz w:val="20"/>
                <w:szCs w:val="20"/>
                <w:lang w:eastAsia="pl-PL"/>
              </w:rPr>
              <w:t>Szkoły podstawowe i gimnazja dla dzieci i młodzieży niepełnosprawnej (bez szkół specjalnych)</w:t>
            </w:r>
          </w:p>
        </w:tc>
      </w:tr>
      <w:tr w:rsidR="00EE0C8C" w:rsidRPr="00EE0C8C" w:rsidTr="00A76BDB">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808080"/>
            <w:noWrap/>
            <w:vAlign w:val="center"/>
            <w:hideMark/>
          </w:tcPr>
          <w:p w:rsidR="00EE0C8C" w:rsidRPr="00EE0C8C" w:rsidRDefault="00EE0C8C" w:rsidP="00EE0C8C">
            <w:pPr>
              <w:spacing w:after="0" w:line="240" w:lineRule="auto"/>
              <w:rPr>
                <w:rFonts w:ascii="Arial" w:eastAsia="Times New Roman" w:hAnsi="Arial" w:cs="Arial"/>
                <w:color w:val="000000"/>
                <w:sz w:val="20"/>
                <w:szCs w:val="20"/>
                <w:lang w:eastAsia="pl-PL"/>
              </w:rPr>
            </w:pPr>
            <w:r w:rsidRPr="00EE0C8C">
              <w:rPr>
                <w:rFonts w:ascii="Arial" w:eastAsia="Times New Roman" w:hAnsi="Arial" w:cs="Arial"/>
                <w:color w:val="000000"/>
                <w:sz w:val="20"/>
                <w:szCs w:val="20"/>
                <w:lang w:eastAsia="pl-PL"/>
              </w:rPr>
              <w:t>szkoły podstawowe bez specjalnych</w:t>
            </w:r>
          </w:p>
        </w:tc>
      </w:tr>
      <w:tr w:rsidR="00EE0C8C" w:rsidRPr="00EE0C8C" w:rsidTr="00A76BDB">
        <w:trPr>
          <w:trHeight w:val="510"/>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100" w:firstLine="200"/>
              <w:rPr>
                <w:rFonts w:ascii="Arial" w:eastAsia="Times New Roman" w:hAnsi="Arial" w:cs="Arial"/>
                <w:sz w:val="20"/>
                <w:szCs w:val="20"/>
                <w:lang w:eastAsia="pl-PL"/>
              </w:rPr>
            </w:pPr>
            <w:r w:rsidRPr="00EE0C8C">
              <w:rPr>
                <w:rFonts w:ascii="Arial" w:eastAsia="Times New Roman" w:hAnsi="Arial" w:cs="Arial"/>
                <w:sz w:val="20"/>
                <w:szCs w:val="20"/>
                <w:lang w:eastAsia="pl-PL"/>
              </w:rPr>
              <w:t>uczniowie w oddziałach specjalnych, integracyjnych, ogólnodostępnych</w:t>
            </w:r>
          </w:p>
        </w:tc>
        <w:tc>
          <w:tcPr>
            <w:tcW w:w="1698"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20</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18</w:t>
            </w:r>
          </w:p>
        </w:tc>
      </w:tr>
      <w:tr w:rsidR="00EE0C8C" w:rsidRPr="00EE0C8C" w:rsidTr="00A76BDB">
        <w:trPr>
          <w:trHeight w:val="510"/>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100" w:firstLine="200"/>
              <w:rPr>
                <w:rFonts w:ascii="Arial" w:eastAsia="Times New Roman" w:hAnsi="Arial" w:cs="Arial"/>
                <w:sz w:val="20"/>
                <w:szCs w:val="20"/>
                <w:lang w:eastAsia="pl-PL"/>
              </w:rPr>
            </w:pPr>
            <w:r w:rsidRPr="00EE0C8C">
              <w:rPr>
                <w:rFonts w:ascii="Arial" w:eastAsia="Times New Roman" w:hAnsi="Arial" w:cs="Arial"/>
                <w:sz w:val="20"/>
                <w:szCs w:val="20"/>
                <w:lang w:eastAsia="pl-PL"/>
              </w:rPr>
              <w:t>uczniowie - dziewczęta w oddziałach specjalnych, integracyjnych, ogólnodostępnych</w:t>
            </w:r>
          </w:p>
        </w:tc>
        <w:tc>
          <w:tcPr>
            <w:tcW w:w="1698"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11</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8</w:t>
            </w:r>
          </w:p>
        </w:tc>
      </w:tr>
      <w:tr w:rsidR="00EE0C8C" w:rsidRPr="00EE0C8C" w:rsidTr="00A76BDB">
        <w:trPr>
          <w:trHeight w:val="510"/>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100" w:firstLine="200"/>
              <w:rPr>
                <w:rFonts w:ascii="Arial" w:eastAsia="Times New Roman" w:hAnsi="Arial" w:cs="Arial"/>
                <w:sz w:val="20"/>
                <w:szCs w:val="20"/>
                <w:lang w:eastAsia="pl-PL"/>
              </w:rPr>
            </w:pPr>
            <w:r w:rsidRPr="00EE0C8C">
              <w:rPr>
                <w:rFonts w:ascii="Arial" w:eastAsia="Times New Roman" w:hAnsi="Arial" w:cs="Arial"/>
                <w:sz w:val="20"/>
                <w:szCs w:val="20"/>
                <w:lang w:eastAsia="pl-PL"/>
              </w:rPr>
              <w:t>absolwenci w oddziałach specjalnych, integracyjnych, ogólnodostępnych</w:t>
            </w:r>
          </w:p>
        </w:tc>
        <w:tc>
          <w:tcPr>
            <w:tcW w:w="1698"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7</w:t>
            </w:r>
          </w:p>
        </w:tc>
      </w:tr>
      <w:tr w:rsidR="00EE0C8C" w:rsidRPr="00EE0C8C" w:rsidTr="00A76BDB">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100" w:firstLine="200"/>
              <w:rPr>
                <w:rFonts w:ascii="Arial" w:eastAsia="Times New Roman" w:hAnsi="Arial" w:cs="Arial"/>
                <w:sz w:val="20"/>
                <w:szCs w:val="20"/>
                <w:lang w:eastAsia="pl-PL"/>
              </w:rPr>
            </w:pPr>
            <w:r w:rsidRPr="00EE0C8C">
              <w:rPr>
                <w:rFonts w:ascii="Arial" w:eastAsia="Times New Roman" w:hAnsi="Arial" w:cs="Arial"/>
                <w:sz w:val="20"/>
                <w:szCs w:val="20"/>
                <w:lang w:eastAsia="pl-PL"/>
              </w:rPr>
              <w:t>uczniowie niepełnosprawni indywidualnie nauczani</w:t>
            </w:r>
          </w:p>
        </w:tc>
        <w:tc>
          <w:tcPr>
            <w:tcW w:w="1698"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w:t>
            </w:r>
          </w:p>
        </w:tc>
      </w:tr>
      <w:tr w:rsidR="00EE0C8C" w:rsidRPr="00EE0C8C" w:rsidTr="00A76BDB">
        <w:trPr>
          <w:trHeight w:val="510"/>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100" w:firstLine="200"/>
              <w:rPr>
                <w:rFonts w:ascii="Arial" w:eastAsia="Times New Roman" w:hAnsi="Arial" w:cs="Arial"/>
                <w:sz w:val="20"/>
                <w:szCs w:val="20"/>
                <w:lang w:eastAsia="pl-PL"/>
              </w:rPr>
            </w:pPr>
            <w:r w:rsidRPr="00EE0C8C">
              <w:rPr>
                <w:rFonts w:ascii="Arial" w:eastAsia="Times New Roman" w:hAnsi="Arial" w:cs="Arial"/>
                <w:sz w:val="20"/>
                <w:szCs w:val="20"/>
                <w:lang w:eastAsia="pl-PL"/>
              </w:rPr>
              <w:t>uczniowie niepełnosprawni indywidualnie nauczani - dziewczęta</w:t>
            </w:r>
          </w:p>
        </w:tc>
        <w:tc>
          <w:tcPr>
            <w:tcW w:w="1698"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0</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w:t>
            </w:r>
          </w:p>
        </w:tc>
      </w:tr>
      <w:tr w:rsidR="00EE0C8C" w:rsidRPr="00EE0C8C" w:rsidTr="00A76BDB">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808080"/>
            <w:noWrap/>
            <w:vAlign w:val="center"/>
            <w:hideMark/>
          </w:tcPr>
          <w:p w:rsidR="00EE0C8C" w:rsidRPr="00EE0C8C" w:rsidRDefault="00EE0C8C" w:rsidP="00EE0C8C">
            <w:pPr>
              <w:spacing w:after="0" w:line="240" w:lineRule="auto"/>
              <w:rPr>
                <w:rFonts w:ascii="Arial" w:eastAsia="Times New Roman" w:hAnsi="Arial" w:cs="Arial"/>
                <w:color w:val="000000"/>
                <w:sz w:val="20"/>
                <w:szCs w:val="20"/>
                <w:lang w:eastAsia="pl-PL"/>
              </w:rPr>
            </w:pPr>
            <w:r w:rsidRPr="00EE0C8C">
              <w:rPr>
                <w:rFonts w:ascii="Arial" w:eastAsia="Times New Roman" w:hAnsi="Arial" w:cs="Arial"/>
                <w:color w:val="000000"/>
                <w:sz w:val="20"/>
                <w:szCs w:val="20"/>
                <w:lang w:eastAsia="pl-PL"/>
              </w:rPr>
              <w:t>gimnazja bez specjalnych</w:t>
            </w:r>
          </w:p>
        </w:tc>
      </w:tr>
      <w:tr w:rsidR="00EE0C8C" w:rsidRPr="00EE0C8C" w:rsidTr="00A76BDB">
        <w:trPr>
          <w:trHeight w:val="510"/>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100" w:firstLine="200"/>
              <w:rPr>
                <w:rFonts w:ascii="Arial" w:eastAsia="Times New Roman" w:hAnsi="Arial" w:cs="Arial"/>
                <w:sz w:val="20"/>
                <w:szCs w:val="20"/>
                <w:lang w:eastAsia="pl-PL"/>
              </w:rPr>
            </w:pPr>
            <w:r w:rsidRPr="00EE0C8C">
              <w:rPr>
                <w:rFonts w:ascii="Arial" w:eastAsia="Times New Roman" w:hAnsi="Arial" w:cs="Arial"/>
                <w:sz w:val="20"/>
                <w:szCs w:val="20"/>
                <w:lang w:eastAsia="pl-PL"/>
              </w:rPr>
              <w:t>uczniowie w oddziałach specjalnych, integracyjnych, ogólnodostępnych</w:t>
            </w:r>
          </w:p>
        </w:tc>
        <w:tc>
          <w:tcPr>
            <w:tcW w:w="1698"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8</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11</w:t>
            </w:r>
          </w:p>
        </w:tc>
      </w:tr>
      <w:tr w:rsidR="00EE0C8C" w:rsidRPr="00EE0C8C" w:rsidTr="00A76BDB">
        <w:trPr>
          <w:trHeight w:val="510"/>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100" w:firstLine="200"/>
              <w:rPr>
                <w:rFonts w:ascii="Arial" w:eastAsia="Times New Roman" w:hAnsi="Arial" w:cs="Arial"/>
                <w:sz w:val="20"/>
                <w:szCs w:val="20"/>
                <w:lang w:eastAsia="pl-PL"/>
              </w:rPr>
            </w:pPr>
            <w:r w:rsidRPr="00EE0C8C">
              <w:rPr>
                <w:rFonts w:ascii="Arial" w:eastAsia="Times New Roman" w:hAnsi="Arial" w:cs="Arial"/>
                <w:sz w:val="20"/>
                <w:szCs w:val="20"/>
                <w:lang w:eastAsia="pl-PL"/>
              </w:rPr>
              <w:t>uczniowie - dziewczęta w oddziałach specjalnych, integracyjnych, ogólnodostępnych</w:t>
            </w:r>
          </w:p>
        </w:tc>
        <w:tc>
          <w:tcPr>
            <w:tcW w:w="1698"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4</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5</w:t>
            </w:r>
          </w:p>
        </w:tc>
      </w:tr>
      <w:tr w:rsidR="00EE0C8C" w:rsidRPr="00EE0C8C" w:rsidTr="00A76BDB">
        <w:trPr>
          <w:trHeight w:val="510"/>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100" w:firstLine="200"/>
              <w:rPr>
                <w:rFonts w:ascii="Arial" w:eastAsia="Times New Roman" w:hAnsi="Arial" w:cs="Arial"/>
                <w:sz w:val="20"/>
                <w:szCs w:val="20"/>
                <w:lang w:eastAsia="pl-PL"/>
              </w:rPr>
            </w:pPr>
            <w:r w:rsidRPr="00EE0C8C">
              <w:rPr>
                <w:rFonts w:ascii="Arial" w:eastAsia="Times New Roman" w:hAnsi="Arial" w:cs="Arial"/>
                <w:sz w:val="20"/>
                <w:szCs w:val="20"/>
                <w:lang w:eastAsia="pl-PL"/>
              </w:rPr>
              <w:t>absolwenci w oddziałach specjalnych, integracyjnych, ogólnodostępnych</w:t>
            </w:r>
          </w:p>
        </w:tc>
        <w:tc>
          <w:tcPr>
            <w:tcW w:w="1698"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3</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4</w:t>
            </w:r>
          </w:p>
        </w:tc>
      </w:tr>
      <w:tr w:rsidR="00EE0C8C" w:rsidRPr="00EE0C8C" w:rsidTr="00A76BDB">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100" w:firstLine="200"/>
              <w:rPr>
                <w:rFonts w:ascii="Arial" w:eastAsia="Times New Roman" w:hAnsi="Arial" w:cs="Arial"/>
                <w:sz w:val="20"/>
                <w:szCs w:val="20"/>
                <w:lang w:eastAsia="pl-PL"/>
              </w:rPr>
            </w:pPr>
            <w:r w:rsidRPr="00EE0C8C">
              <w:rPr>
                <w:rFonts w:ascii="Arial" w:eastAsia="Times New Roman" w:hAnsi="Arial" w:cs="Arial"/>
                <w:sz w:val="20"/>
                <w:szCs w:val="20"/>
                <w:lang w:eastAsia="pl-PL"/>
              </w:rPr>
              <w:t>uczniowie niepełnosprawni indywidualnie nauczani</w:t>
            </w:r>
          </w:p>
        </w:tc>
        <w:tc>
          <w:tcPr>
            <w:tcW w:w="1698"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w:t>
            </w:r>
          </w:p>
        </w:tc>
      </w:tr>
      <w:tr w:rsidR="00EE0C8C" w:rsidRPr="00EE0C8C" w:rsidTr="00A76BDB">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008080"/>
            <w:noWrap/>
            <w:vAlign w:val="center"/>
            <w:hideMark/>
          </w:tcPr>
          <w:p w:rsidR="00EE0C8C" w:rsidRPr="00EE0C8C" w:rsidRDefault="00EE0C8C" w:rsidP="00EE0C8C">
            <w:pPr>
              <w:spacing w:after="0" w:line="240" w:lineRule="auto"/>
              <w:rPr>
                <w:rFonts w:ascii="Arial" w:eastAsia="Times New Roman" w:hAnsi="Arial" w:cs="Arial"/>
                <w:b/>
                <w:bCs/>
                <w:color w:val="FFFFFF"/>
                <w:sz w:val="20"/>
                <w:szCs w:val="20"/>
                <w:lang w:eastAsia="pl-PL"/>
              </w:rPr>
            </w:pPr>
            <w:r w:rsidRPr="00EE0C8C">
              <w:rPr>
                <w:rFonts w:ascii="Arial" w:eastAsia="Times New Roman" w:hAnsi="Arial" w:cs="Arial"/>
                <w:b/>
                <w:bCs/>
                <w:color w:val="FFFFFF"/>
                <w:sz w:val="20"/>
                <w:szCs w:val="20"/>
                <w:lang w:eastAsia="pl-PL"/>
              </w:rPr>
              <w:t>NAUCZANIE JĘZYKÓW OBCYCH W SZKOŁACH DLA DZIECI I MŁODZIEŻY</w:t>
            </w:r>
          </w:p>
        </w:tc>
      </w:tr>
      <w:tr w:rsidR="00EE0C8C" w:rsidRPr="00EE0C8C" w:rsidTr="00A76BDB">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33CCCC"/>
            <w:noWrap/>
            <w:vAlign w:val="center"/>
            <w:hideMark/>
          </w:tcPr>
          <w:p w:rsidR="00EE0C8C" w:rsidRPr="00EE0C8C" w:rsidRDefault="00EE0C8C" w:rsidP="00EE0C8C">
            <w:pPr>
              <w:spacing w:after="0" w:line="240" w:lineRule="auto"/>
              <w:rPr>
                <w:rFonts w:ascii="Arial" w:eastAsia="Times New Roman" w:hAnsi="Arial" w:cs="Arial"/>
                <w:b/>
                <w:bCs/>
                <w:color w:val="008080"/>
                <w:sz w:val="20"/>
                <w:szCs w:val="20"/>
                <w:lang w:eastAsia="pl-PL"/>
              </w:rPr>
            </w:pPr>
            <w:r w:rsidRPr="00EE0C8C">
              <w:rPr>
                <w:rFonts w:ascii="Arial" w:eastAsia="Times New Roman" w:hAnsi="Arial" w:cs="Arial"/>
                <w:b/>
                <w:bCs/>
                <w:color w:val="008080"/>
                <w:sz w:val="20"/>
                <w:szCs w:val="20"/>
                <w:lang w:eastAsia="pl-PL"/>
              </w:rPr>
              <w:t>Obowiązkowo uczący się języka obcego wg typu szkoły</w:t>
            </w:r>
          </w:p>
        </w:tc>
      </w:tr>
      <w:tr w:rsidR="00EE0C8C" w:rsidRPr="00EE0C8C" w:rsidTr="00A76BDB">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808080"/>
            <w:noWrap/>
            <w:vAlign w:val="center"/>
            <w:hideMark/>
          </w:tcPr>
          <w:p w:rsidR="00EE0C8C" w:rsidRPr="00EE0C8C" w:rsidRDefault="00EE0C8C" w:rsidP="00EE0C8C">
            <w:pPr>
              <w:spacing w:after="0" w:line="240" w:lineRule="auto"/>
              <w:rPr>
                <w:rFonts w:ascii="Arial" w:eastAsia="Times New Roman" w:hAnsi="Arial" w:cs="Arial"/>
                <w:color w:val="000000"/>
                <w:sz w:val="20"/>
                <w:szCs w:val="20"/>
                <w:lang w:eastAsia="pl-PL"/>
              </w:rPr>
            </w:pPr>
            <w:r w:rsidRPr="00EE0C8C">
              <w:rPr>
                <w:rFonts w:ascii="Arial" w:eastAsia="Times New Roman" w:hAnsi="Arial" w:cs="Arial"/>
                <w:color w:val="000000"/>
                <w:sz w:val="20"/>
                <w:szCs w:val="20"/>
                <w:lang w:eastAsia="pl-PL"/>
              </w:rPr>
              <w:t>szkoły podstawowe</w:t>
            </w:r>
          </w:p>
        </w:tc>
      </w:tr>
      <w:tr w:rsidR="00EE0C8C" w:rsidRPr="00EE0C8C" w:rsidTr="00A76BDB">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100" w:firstLine="200"/>
              <w:rPr>
                <w:rFonts w:ascii="Arial" w:eastAsia="Times New Roman" w:hAnsi="Arial" w:cs="Arial"/>
                <w:sz w:val="20"/>
                <w:szCs w:val="20"/>
                <w:lang w:eastAsia="pl-PL"/>
              </w:rPr>
            </w:pPr>
            <w:r w:rsidRPr="00EE0C8C">
              <w:rPr>
                <w:rFonts w:ascii="Arial" w:eastAsia="Times New Roman" w:hAnsi="Arial" w:cs="Arial"/>
                <w:sz w:val="20"/>
                <w:szCs w:val="20"/>
                <w:lang w:eastAsia="pl-PL"/>
              </w:rPr>
              <w:t>ogółem</w:t>
            </w:r>
          </w:p>
        </w:tc>
        <w:tc>
          <w:tcPr>
            <w:tcW w:w="1698"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504</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527</w:t>
            </w:r>
          </w:p>
        </w:tc>
      </w:tr>
      <w:tr w:rsidR="00EE0C8C" w:rsidRPr="00EE0C8C" w:rsidTr="00A76BDB">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100" w:firstLine="200"/>
              <w:rPr>
                <w:rFonts w:ascii="Arial" w:eastAsia="Times New Roman" w:hAnsi="Arial" w:cs="Arial"/>
                <w:sz w:val="20"/>
                <w:szCs w:val="20"/>
                <w:lang w:eastAsia="pl-PL"/>
              </w:rPr>
            </w:pPr>
            <w:r w:rsidRPr="00EE0C8C">
              <w:rPr>
                <w:rFonts w:ascii="Arial" w:eastAsia="Times New Roman" w:hAnsi="Arial" w:cs="Arial"/>
                <w:sz w:val="20"/>
                <w:szCs w:val="20"/>
                <w:lang w:eastAsia="pl-PL"/>
              </w:rPr>
              <w:t>angielski</w:t>
            </w:r>
          </w:p>
        </w:tc>
        <w:tc>
          <w:tcPr>
            <w:tcW w:w="1698"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504</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527</w:t>
            </w:r>
          </w:p>
        </w:tc>
      </w:tr>
      <w:tr w:rsidR="00EE0C8C" w:rsidRPr="00EE0C8C" w:rsidTr="00A76BDB">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808080"/>
            <w:noWrap/>
            <w:vAlign w:val="center"/>
            <w:hideMark/>
          </w:tcPr>
          <w:p w:rsidR="00EE0C8C" w:rsidRPr="00EE0C8C" w:rsidRDefault="00EE0C8C" w:rsidP="00EE0C8C">
            <w:pPr>
              <w:spacing w:after="0" w:line="240" w:lineRule="auto"/>
              <w:rPr>
                <w:rFonts w:ascii="Arial" w:eastAsia="Times New Roman" w:hAnsi="Arial" w:cs="Arial"/>
                <w:color w:val="000000"/>
                <w:sz w:val="20"/>
                <w:szCs w:val="20"/>
                <w:lang w:eastAsia="pl-PL"/>
              </w:rPr>
            </w:pPr>
            <w:r w:rsidRPr="00EE0C8C">
              <w:rPr>
                <w:rFonts w:ascii="Arial" w:eastAsia="Times New Roman" w:hAnsi="Arial" w:cs="Arial"/>
                <w:color w:val="000000"/>
                <w:sz w:val="20"/>
                <w:szCs w:val="20"/>
                <w:lang w:eastAsia="pl-PL"/>
              </w:rPr>
              <w:lastRenderedPageBreak/>
              <w:t>gimnazja</w:t>
            </w:r>
          </w:p>
        </w:tc>
      </w:tr>
      <w:tr w:rsidR="00EE0C8C" w:rsidRPr="00EE0C8C" w:rsidTr="00A76BDB">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100" w:firstLine="200"/>
              <w:rPr>
                <w:rFonts w:ascii="Arial" w:eastAsia="Times New Roman" w:hAnsi="Arial" w:cs="Arial"/>
                <w:sz w:val="20"/>
                <w:szCs w:val="20"/>
                <w:lang w:eastAsia="pl-PL"/>
              </w:rPr>
            </w:pPr>
            <w:r w:rsidRPr="00EE0C8C">
              <w:rPr>
                <w:rFonts w:ascii="Arial" w:eastAsia="Times New Roman" w:hAnsi="Arial" w:cs="Arial"/>
                <w:sz w:val="20"/>
                <w:szCs w:val="20"/>
                <w:lang w:eastAsia="pl-PL"/>
              </w:rPr>
              <w:t>ogółem</w:t>
            </w:r>
          </w:p>
        </w:tc>
        <w:tc>
          <w:tcPr>
            <w:tcW w:w="1698"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466</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431</w:t>
            </w:r>
          </w:p>
        </w:tc>
      </w:tr>
      <w:tr w:rsidR="00EE0C8C" w:rsidRPr="00EE0C8C" w:rsidTr="00A76BDB">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100" w:firstLine="200"/>
              <w:rPr>
                <w:rFonts w:ascii="Arial" w:eastAsia="Times New Roman" w:hAnsi="Arial" w:cs="Arial"/>
                <w:sz w:val="20"/>
                <w:szCs w:val="20"/>
                <w:lang w:eastAsia="pl-PL"/>
              </w:rPr>
            </w:pPr>
            <w:r w:rsidRPr="00EE0C8C">
              <w:rPr>
                <w:rFonts w:ascii="Arial" w:eastAsia="Times New Roman" w:hAnsi="Arial" w:cs="Arial"/>
                <w:sz w:val="20"/>
                <w:szCs w:val="20"/>
                <w:lang w:eastAsia="pl-PL"/>
              </w:rPr>
              <w:t>angielski</w:t>
            </w:r>
          </w:p>
        </w:tc>
        <w:tc>
          <w:tcPr>
            <w:tcW w:w="1698"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236</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219</w:t>
            </w:r>
          </w:p>
        </w:tc>
      </w:tr>
      <w:tr w:rsidR="00EE0C8C" w:rsidRPr="00EE0C8C" w:rsidTr="00A76BDB">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100" w:firstLine="200"/>
              <w:rPr>
                <w:rFonts w:ascii="Arial" w:eastAsia="Times New Roman" w:hAnsi="Arial" w:cs="Arial"/>
                <w:sz w:val="20"/>
                <w:szCs w:val="20"/>
                <w:lang w:eastAsia="pl-PL"/>
              </w:rPr>
            </w:pPr>
            <w:r w:rsidRPr="00EE0C8C">
              <w:rPr>
                <w:rFonts w:ascii="Arial" w:eastAsia="Times New Roman" w:hAnsi="Arial" w:cs="Arial"/>
                <w:sz w:val="20"/>
                <w:szCs w:val="20"/>
                <w:lang w:eastAsia="pl-PL"/>
              </w:rPr>
              <w:t>niemiecki</w:t>
            </w:r>
          </w:p>
        </w:tc>
        <w:tc>
          <w:tcPr>
            <w:tcW w:w="1698"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149</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126</w:t>
            </w:r>
          </w:p>
        </w:tc>
      </w:tr>
      <w:tr w:rsidR="00EE0C8C" w:rsidRPr="00EE0C8C" w:rsidTr="00A76BDB">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100" w:firstLine="200"/>
              <w:rPr>
                <w:rFonts w:ascii="Arial" w:eastAsia="Times New Roman" w:hAnsi="Arial" w:cs="Arial"/>
                <w:sz w:val="20"/>
                <w:szCs w:val="20"/>
                <w:lang w:eastAsia="pl-PL"/>
              </w:rPr>
            </w:pPr>
            <w:r w:rsidRPr="00EE0C8C">
              <w:rPr>
                <w:rFonts w:ascii="Arial" w:eastAsia="Times New Roman" w:hAnsi="Arial" w:cs="Arial"/>
                <w:sz w:val="20"/>
                <w:szCs w:val="20"/>
                <w:lang w:eastAsia="pl-PL"/>
              </w:rPr>
              <w:t>rosyjski</w:t>
            </w:r>
          </w:p>
        </w:tc>
        <w:tc>
          <w:tcPr>
            <w:tcW w:w="1698"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81</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86</w:t>
            </w:r>
          </w:p>
        </w:tc>
      </w:tr>
      <w:tr w:rsidR="00EE0C8C" w:rsidRPr="00EE0C8C" w:rsidTr="00A76BDB">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008080"/>
            <w:noWrap/>
            <w:vAlign w:val="center"/>
            <w:hideMark/>
          </w:tcPr>
          <w:p w:rsidR="00EE0C8C" w:rsidRPr="00EE0C8C" w:rsidRDefault="00EE0C8C" w:rsidP="00EE0C8C">
            <w:pPr>
              <w:spacing w:after="0" w:line="240" w:lineRule="auto"/>
              <w:rPr>
                <w:rFonts w:ascii="Arial" w:eastAsia="Times New Roman" w:hAnsi="Arial" w:cs="Arial"/>
                <w:b/>
                <w:bCs/>
                <w:color w:val="FFFFFF"/>
                <w:sz w:val="20"/>
                <w:szCs w:val="20"/>
                <w:lang w:eastAsia="pl-PL"/>
              </w:rPr>
            </w:pPr>
            <w:r w:rsidRPr="00EE0C8C">
              <w:rPr>
                <w:rFonts w:ascii="Arial" w:eastAsia="Times New Roman" w:hAnsi="Arial" w:cs="Arial"/>
                <w:b/>
                <w:bCs/>
                <w:color w:val="FFFFFF"/>
                <w:sz w:val="20"/>
                <w:szCs w:val="20"/>
                <w:lang w:eastAsia="pl-PL"/>
              </w:rPr>
              <w:t>SZKOLNICTWO GIMNAZJALNE</w:t>
            </w:r>
          </w:p>
        </w:tc>
      </w:tr>
      <w:tr w:rsidR="00EE0C8C" w:rsidRPr="00EE0C8C" w:rsidTr="00A76BDB">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33CCCC"/>
            <w:noWrap/>
            <w:vAlign w:val="center"/>
            <w:hideMark/>
          </w:tcPr>
          <w:p w:rsidR="00EE0C8C" w:rsidRPr="00EE0C8C" w:rsidRDefault="00EE0C8C" w:rsidP="00EE0C8C">
            <w:pPr>
              <w:spacing w:after="0" w:line="240" w:lineRule="auto"/>
              <w:rPr>
                <w:rFonts w:ascii="Arial" w:eastAsia="Times New Roman" w:hAnsi="Arial" w:cs="Arial"/>
                <w:b/>
                <w:bCs/>
                <w:color w:val="008080"/>
                <w:sz w:val="20"/>
                <w:szCs w:val="20"/>
                <w:lang w:eastAsia="pl-PL"/>
              </w:rPr>
            </w:pPr>
            <w:r w:rsidRPr="00EE0C8C">
              <w:rPr>
                <w:rFonts w:ascii="Arial" w:eastAsia="Times New Roman" w:hAnsi="Arial" w:cs="Arial"/>
                <w:b/>
                <w:bCs/>
                <w:color w:val="008080"/>
                <w:sz w:val="20"/>
                <w:szCs w:val="20"/>
                <w:lang w:eastAsia="pl-PL"/>
              </w:rPr>
              <w:t>Gimnazja ogółem</w:t>
            </w:r>
          </w:p>
        </w:tc>
      </w:tr>
      <w:tr w:rsidR="00EE0C8C" w:rsidRPr="00EE0C8C" w:rsidTr="00A76BDB">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rPr>
                <w:rFonts w:ascii="Arial" w:eastAsia="Times New Roman" w:hAnsi="Arial" w:cs="Arial"/>
                <w:sz w:val="20"/>
                <w:szCs w:val="20"/>
                <w:lang w:eastAsia="pl-PL"/>
              </w:rPr>
            </w:pPr>
            <w:r w:rsidRPr="00EE0C8C">
              <w:rPr>
                <w:rFonts w:ascii="Arial" w:eastAsia="Times New Roman" w:hAnsi="Arial" w:cs="Arial"/>
                <w:sz w:val="20"/>
                <w:szCs w:val="20"/>
                <w:lang w:eastAsia="pl-PL"/>
              </w:rPr>
              <w:t>ogółem</w:t>
            </w:r>
          </w:p>
        </w:tc>
        <w:tc>
          <w:tcPr>
            <w:tcW w:w="1698"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ob.</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w:t>
            </w:r>
          </w:p>
        </w:tc>
      </w:tr>
      <w:tr w:rsidR="00EE0C8C" w:rsidRPr="00EE0C8C" w:rsidTr="00A76BDB">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rPr>
                <w:rFonts w:ascii="Arial" w:eastAsia="Times New Roman" w:hAnsi="Arial" w:cs="Arial"/>
                <w:sz w:val="20"/>
                <w:szCs w:val="20"/>
                <w:lang w:eastAsia="pl-PL"/>
              </w:rPr>
            </w:pPr>
            <w:r w:rsidRPr="00EE0C8C">
              <w:rPr>
                <w:rFonts w:ascii="Arial" w:eastAsia="Times New Roman" w:hAnsi="Arial" w:cs="Arial"/>
                <w:sz w:val="20"/>
                <w:szCs w:val="20"/>
                <w:lang w:eastAsia="pl-PL"/>
              </w:rPr>
              <w:t>oddziały w szkołach</w:t>
            </w:r>
          </w:p>
        </w:tc>
        <w:tc>
          <w:tcPr>
            <w:tcW w:w="1698"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11,00</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10,00</w:t>
            </w:r>
          </w:p>
        </w:tc>
      </w:tr>
      <w:tr w:rsidR="00EE0C8C" w:rsidRPr="00EE0C8C" w:rsidTr="00A76BDB">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rPr>
                <w:rFonts w:ascii="Arial" w:eastAsia="Times New Roman" w:hAnsi="Arial" w:cs="Arial"/>
                <w:sz w:val="20"/>
                <w:szCs w:val="20"/>
                <w:lang w:eastAsia="pl-PL"/>
              </w:rPr>
            </w:pPr>
            <w:r w:rsidRPr="00EE0C8C">
              <w:rPr>
                <w:rFonts w:ascii="Arial" w:eastAsia="Times New Roman" w:hAnsi="Arial" w:cs="Arial"/>
                <w:sz w:val="20"/>
                <w:szCs w:val="20"/>
                <w:lang w:eastAsia="pl-PL"/>
              </w:rPr>
              <w:t>uczniowie</w:t>
            </w:r>
          </w:p>
        </w:tc>
        <w:tc>
          <w:tcPr>
            <w:tcW w:w="1698"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238</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222</w:t>
            </w:r>
          </w:p>
        </w:tc>
      </w:tr>
      <w:tr w:rsidR="00EE0C8C" w:rsidRPr="00EE0C8C" w:rsidTr="00A76BDB">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rPr>
                <w:rFonts w:ascii="Arial" w:eastAsia="Times New Roman" w:hAnsi="Arial" w:cs="Arial"/>
                <w:sz w:val="20"/>
                <w:szCs w:val="20"/>
                <w:lang w:eastAsia="pl-PL"/>
              </w:rPr>
            </w:pPr>
            <w:r w:rsidRPr="00EE0C8C">
              <w:rPr>
                <w:rFonts w:ascii="Arial" w:eastAsia="Times New Roman" w:hAnsi="Arial" w:cs="Arial"/>
                <w:sz w:val="20"/>
                <w:szCs w:val="20"/>
                <w:lang w:eastAsia="pl-PL"/>
              </w:rPr>
              <w:t>absolwenci</w:t>
            </w:r>
          </w:p>
        </w:tc>
        <w:tc>
          <w:tcPr>
            <w:tcW w:w="1698"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95</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86</w:t>
            </w:r>
          </w:p>
        </w:tc>
      </w:tr>
      <w:tr w:rsidR="00EE0C8C" w:rsidRPr="00EE0C8C" w:rsidTr="00A76BDB">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33CCCC"/>
            <w:noWrap/>
            <w:vAlign w:val="center"/>
            <w:hideMark/>
          </w:tcPr>
          <w:p w:rsidR="00EE0C8C" w:rsidRPr="00EE0C8C" w:rsidRDefault="00EE0C8C" w:rsidP="00EE0C8C">
            <w:pPr>
              <w:spacing w:after="0" w:line="240" w:lineRule="auto"/>
              <w:rPr>
                <w:rFonts w:ascii="Arial" w:eastAsia="Times New Roman" w:hAnsi="Arial" w:cs="Arial"/>
                <w:b/>
                <w:bCs/>
                <w:color w:val="008080"/>
                <w:sz w:val="20"/>
                <w:szCs w:val="20"/>
                <w:lang w:eastAsia="pl-PL"/>
              </w:rPr>
            </w:pPr>
            <w:r w:rsidRPr="00EE0C8C">
              <w:rPr>
                <w:rFonts w:ascii="Arial" w:eastAsia="Times New Roman" w:hAnsi="Arial" w:cs="Arial"/>
                <w:b/>
                <w:bCs/>
                <w:color w:val="008080"/>
                <w:sz w:val="20"/>
                <w:szCs w:val="20"/>
                <w:lang w:eastAsia="pl-PL"/>
              </w:rPr>
              <w:t>Gimnazja dla dzieci, młodzieży i dorosłych</w:t>
            </w:r>
          </w:p>
        </w:tc>
      </w:tr>
      <w:tr w:rsidR="00EE0C8C" w:rsidRPr="00EE0C8C" w:rsidTr="00A76BDB">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808080"/>
            <w:noWrap/>
            <w:vAlign w:val="center"/>
            <w:hideMark/>
          </w:tcPr>
          <w:p w:rsidR="00EE0C8C" w:rsidRPr="00EE0C8C" w:rsidRDefault="00EE0C8C" w:rsidP="00EE0C8C">
            <w:pPr>
              <w:spacing w:after="0" w:line="240" w:lineRule="auto"/>
              <w:rPr>
                <w:rFonts w:ascii="Arial" w:eastAsia="Times New Roman" w:hAnsi="Arial" w:cs="Arial"/>
                <w:color w:val="000000"/>
                <w:sz w:val="20"/>
                <w:szCs w:val="20"/>
                <w:lang w:eastAsia="pl-PL"/>
              </w:rPr>
            </w:pPr>
            <w:r w:rsidRPr="00EE0C8C">
              <w:rPr>
                <w:rFonts w:ascii="Arial" w:eastAsia="Times New Roman" w:hAnsi="Arial" w:cs="Arial"/>
                <w:color w:val="000000"/>
                <w:sz w:val="20"/>
                <w:szCs w:val="20"/>
                <w:lang w:eastAsia="pl-PL"/>
              </w:rPr>
              <w:t>gimnazja dla dzieci i młodzieży bez specjalnych</w:t>
            </w:r>
          </w:p>
        </w:tc>
      </w:tr>
      <w:tr w:rsidR="00EE0C8C" w:rsidRPr="00EE0C8C" w:rsidTr="00A76BDB">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969696"/>
            <w:noWrap/>
            <w:vAlign w:val="center"/>
            <w:hideMark/>
          </w:tcPr>
          <w:p w:rsidR="00EE0C8C" w:rsidRPr="00EE0C8C" w:rsidRDefault="00EE0C8C" w:rsidP="00EE0C8C">
            <w:pPr>
              <w:spacing w:after="0" w:line="240" w:lineRule="auto"/>
              <w:rPr>
                <w:rFonts w:ascii="Arial" w:eastAsia="Times New Roman" w:hAnsi="Arial" w:cs="Arial"/>
                <w:color w:val="000000"/>
                <w:sz w:val="20"/>
                <w:szCs w:val="20"/>
                <w:lang w:eastAsia="pl-PL"/>
              </w:rPr>
            </w:pPr>
            <w:r w:rsidRPr="00EE0C8C">
              <w:rPr>
                <w:rFonts w:ascii="Arial" w:eastAsia="Times New Roman" w:hAnsi="Arial" w:cs="Arial"/>
                <w:color w:val="000000"/>
                <w:sz w:val="20"/>
                <w:szCs w:val="20"/>
                <w:lang w:eastAsia="pl-PL"/>
              </w:rPr>
              <w:t>ogółem</w:t>
            </w:r>
          </w:p>
        </w:tc>
      </w:tr>
      <w:tr w:rsidR="00EE0C8C" w:rsidRPr="00EE0C8C" w:rsidTr="00A76BDB">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200" w:firstLine="400"/>
              <w:rPr>
                <w:rFonts w:ascii="Arial" w:eastAsia="Times New Roman" w:hAnsi="Arial" w:cs="Arial"/>
                <w:sz w:val="20"/>
                <w:szCs w:val="20"/>
                <w:lang w:eastAsia="pl-PL"/>
              </w:rPr>
            </w:pPr>
            <w:r w:rsidRPr="00EE0C8C">
              <w:rPr>
                <w:rFonts w:ascii="Arial" w:eastAsia="Times New Roman" w:hAnsi="Arial" w:cs="Arial"/>
                <w:sz w:val="20"/>
                <w:szCs w:val="20"/>
                <w:lang w:eastAsia="pl-PL"/>
              </w:rPr>
              <w:t>ogółem</w:t>
            </w:r>
          </w:p>
        </w:tc>
        <w:tc>
          <w:tcPr>
            <w:tcW w:w="1698"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ob.</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w:t>
            </w:r>
          </w:p>
        </w:tc>
      </w:tr>
      <w:tr w:rsidR="00EE0C8C" w:rsidRPr="00EE0C8C" w:rsidTr="00A76BDB">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200" w:firstLine="400"/>
              <w:rPr>
                <w:rFonts w:ascii="Arial" w:eastAsia="Times New Roman" w:hAnsi="Arial" w:cs="Arial"/>
                <w:sz w:val="20"/>
                <w:szCs w:val="20"/>
                <w:lang w:eastAsia="pl-PL"/>
              </w:rPr>
            </w:pPr>
            <w:r w:rsidRPr="00EE0C8C">
              <w:rPr>
                <w:rFonts w:ascii="Arial" w:eastAsia="Times New Roman" w:hAnsi="Arial" w:cs="Arial"/>
                <w:sz w:val="20"/>
                <w:szCs w:val="20"/>
                <w:lang w:eastAsia="pl-PL"/>
              </w:rPr>
              <w:t>prowadzone przez jednostki samorządu gminnego</w:t>
            </w:r>
          </w:p>
        </w:tc>
        <w:tc>
          <w:tcPr>
            <w:tcW w:w="1698"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ob.</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w:t>
            </w:r>
          </w:p>
        </w:tc>
      </w:tr>
      <w:tr w:rsidR="00EE0C8C" w:rsidRPr="00EE0C8C" w:rsidTr="00A76BDB">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969696"/>
            <w:noWrap/>
            <w:vAlign w:val="center"/>
            <w:hideMark/>
          </w:tcPr>
          <w:p w:rsidR="00EE0C8C" w:rsidRPr="00EE0C8C" w:rsidRDefault="00EE0C8C" w:rsidP="00EE0C8C">
            <w:pPr>
              <w:spacing w:after="0" w:line="240" w:lineRule="auto"/>
              <w:rPr>
                <w:rFonts w:ascii="Arial" w:eastAsia="Times New Roman" w:hAnsi="Arial" w:cs="Arial"/>
                <w:color w:val="000000"/>
                <w:sz w:val="20"/>
                <w:szCs w:val="20"/>
                <w:lang w:eastAsia="pl-PL"/>
              </w:rPr>
            </w:pPr>
            <w:r w:rsidRPr="00EE0C8C">
              <w:rPr>
                <w:rFonts w:ascii="Arial" w:eastAsia="Times New Roman" w:hAnsi="Arial" w:cs="Arial"/>
                <w:color w:val="000000"/>
                <w:sz w:val="20"/>
                <w:szCs w:val="20"/>
                <w:lang w:eastAsia="pl-PL"/>
              </w:rPr>
              <w:t>oddziały w szkołach</w:t>
            </w:r>
          </w:p>
        </w:tc>
      </w:tr>
      <w:tr w:rsidR="00EE0C8C" w:rsidRPr="00EE0C8C" w:rsidTr="00A76BDB">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200" w:firstLine="400"/>
              <w:rPr>
                <w:rFonts w:ascii="Arial" w:eastAsia="Times New Roman" w:hAnsi="Arial" w:cs="Arial"/>
                <w:sz w:val="20"/>
                <w:szCs w:val="20"/>
                <w:lang w:eastAsia="pl-PL"/>
              </w:rPr>
            </w:pPr>
            <w:r w:rsidRPr="00EE0C8C">
              <w:rPr>
                <w:rFonts w:ascii="Arial" w:eastAsia="Times New Roman" w:hAnsi="Arial" w:cs="Arial"/>
                <w:sz w:val="20"/>
                <w:szCs w:val="20"/>
                <w:lang w:eastAsia="pl-PL"/>
              </w:rPr>
              <w:t>ogółem</w:t>
            </w:r>
          </w:p>
        </w:tc>
        <w:tc>
          <w:tcPr>
            <w:tcW w:w="1698"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11,00</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10,00</w:t>
            </w:r>
          </w:p>
        </w:tc>
      </w:tr>
      <w:tr w:rsidR="00EE0C8C" w:rsidRPr="00EE0C8C" w:rsidTr="00A76BDB">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200" w:firstLine="400"/>
              <w:rPr>
                <w:rFonts w:ascii="Arial" w:eastAsia="Times New Roman" w:hAnsi="Arial" w:cs="Arial"/>
                <w:sz w:val="20"/>
                <w:szCs w:val="20"/>
                <w:lang w:eastAsia="pl-PL"/>
              </w:rPr>
            </w:pPr>
            <w:r w:rsidRPr="00EE0C8C">
              <w:rPr>
                <w:rFonts w:ascii="Arial" w:eastAsia="Times New Roman" w:hAnsi="Arial" w:cs="Arial"/>
                <w:sz w:val="20"/>
                <w:szCs w:val="20"/>
                <w:lang w:eastAsia="pl-PL"/>
              </w:rPr>
              <w:t>prowadzone przez jednostki samorządu gminnego</w:t>
            </w:r>
          </w:p>
        </w:tc>
        <w:tc>
          <w:tcPr>
            <w:tcW w:w="1698"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11,00</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10,00</w:t>
            </w:r>
          </w:p>
        </w:tc>
      </w:tr>
      <w:tr w:rsidR="00EE0C8C" w:rsidRPr="00EE0C8C" w:rsidTr="00A76BDB">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969696"/>
            <w:noWrap/>
            <w:vAlign w:val="center"/>
            <w:hideMark/>
          </w:tcPr>
          <w:p w:rsidR="00EE0C8C" w:rsidRPr="00EE0C8C" w:rsidRDefault="00EE0C8C" w:rsidP="00EE0C8C">
            <w:pPr>
              <w:spacing w:after="0" w:line="240" w:lineRule="auto"/>
              <w:rPr>
                <w:rFonts w:ascii="Arial" w:eastAsia="Times New Roman" w:hAnsi="Arial" w:cs="Arial"/>
                <w:color w:val="000000"/>
                <w:sz w:val="20"/>
                <w:szCs w:val="20"/>
                <w:lang w:eastAsia="pl-PL"/>
              </w:rPr>
            </w:pPr>
            <w:r w:rsidRPr="00EE0C8C">
              <w:rPr>
                <w:rFonts w:ascii="Arial" w:eastAsia="Times New Roman" w:hAnsi="Arial" w:cs="Arial"/>
                <w:color w:val="000000"/>
                <w:sz w:val="20"/>
                <w:szCs w:val="20"/>
                <w:lang w:eastAsia="pl-PL"/>
              </w:rPr>
              <w:t>uczniowie</w:t>
            </w:r>
          </w:p>
        </w:tc>
      </w:tr>
      <w:tr w:rsidR="00EE0C8C" w:rsidRPr="00EE0C8C" w:rsidTr="00A76BDB">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200" w:firstLine="400"/>
              <w:rPr>
                <w:rFonts w:ascii="Arial" w:eastAsia="Times New Roman" w:hAnsi="Arial" w:cs="Arial"/>
                <w:sz w:val="20"/>
                <w:szCs w:val="20"/>
                <w:lang w:eastAsia="pl-PL"/>
              </w:rPr>
            </w:pPr>
            <w:r w:rsidRPr="00EE0C8C">
              <w:rPr>
                <w:rFonts w:ascii="Arial" w:eastAsia="Times New Roman" w:hAnsi="Arial" w:cs="Arial"/>
                <w:sz w:val="20"/>
                <w:szCs w:val="20"/>
                <w:lang w:eastAsia="pl-PL"/>
              </w:rPr>
              <w:t>ogółem</w:t>
            </w:r>
          </w:p>
        </w:tc>
        <w:tc>
          <w:tcPr>
            <w:tcW w:w="1698"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238</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222</w:t>
            </w:r>
          </w:p>
        </w:tc>
      </w:tr>
      <w:tr w:rsidR="00EE0C8C" w:rsidRPr="00EE0C8C" w:rsidTr="00A76BDB">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200" w:firstLine="400"/>
              <w:rPr>
                <w:rFonts w:ascii="Arial" w:eastAsia="Times New Roman" w:hAnsi="Arial" w:cs="Arial"/>
                <w:sz w:val="20"/>
                <w:szCs w:val="20"/>
                <w:lang w:eastAsia="pl-PL"/>
              </w:rPr>
            </w:pPr>
            <w:r w:rsidRPr="00EE0C8C">
              <w:rPr>
                <w:rFonts w:ascii="Arial" w:eastAsia="Times New Roman" w:hAnsi="Arial" w:cs="Arial"/>
                <w:sz w:val="20"/>
                <w:szCs w:val="20"/>
                <w:lang w:eastAsia="pl-PL"/>
              </w:rPr>
              <w:t>prowadzone przez jednostki samorządu gminnego</w:t>
            </w:r>
          </w:p>
        </w:tc>
        <w:tc>
          <w:tcPr>
            <w:tcW w:w="1698"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238</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222</w:t>
            </w:r>
          </w:p>
        </w:tc>
      </w:tr>
      <w:tr w:rsidR="00EE0C8C" w:rsidRPr="00EE0C8C" w:rsidTr="00A76BDB">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969696"/>
            <w:noWrap/>
            <w:vAlign w:val="center"/>
            <w:hideMark/>
          </w:tcPr>
          <w:p w:rsidR="00EE0C8C" w:rsidRPr="00EE0C8C" w:rsidRDefault="00EE0C8C" w:rsidP="00EE0C8C">
            <w:pPr>
              <w:spacing w:after="0" w:line="240" w:lineRule="auto"/>
              <w:rPr>
                <w:rFonts w:ascii="Arial" w:eastAsia="Times New Roman" w:hAnsi="Arial" w:cs="Arial"/>
                <w:color w:val="000000"/>
                <w:sz w:val="20"/>
                <w:szCs w:val="20"/>
                <w:lang w:eastAsia="pl-PL"/>
              </w:rPr>
            </w:pPr>
            <w:r w:rsidRPr="00EE0C8C">
              <w:rPr>
                <w:rFonts w:ascii="Arial" w:eastAsia="Times New Roman" w:hAnsi="Arial" w:cs="Arial"/>
                <w:color w:val="000000"/>
                <w:sz w:val="20"/>
                <w:szCs w:val="20"/>
                <w:lang w:eastAsia="pl-PL"/>
              </w:rPr>
              <w:t>uczniowie - mężczyźni</w:t>
            </w:r>
          </w:p>
        </w:tc>
      </w:tr>
      <w:tr w:rsidR="00EE0C8C" w:rsidRPr="00EE0C8C" w:rsidTr="00A76BDB">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200" w:firstLine="400"/>
              <w:rPr>
                <w:rFonts w:ascii="Arial" w:eastAsia="Times New Roman" w:hAnsi="Arial" w:cs="Arial"/>
                <w:sz w:val="20"/>
                <w:szCs w:val="20"/>
                <w:lang w:eastAsia="pl-PL"/>
              </w:rPr>
            </w:pPr>
            <w:r w:rsidRPr="00EE0C8C">
              <w:rPr>
                <w:rFonts w:ascii="Arial" w:eastAsia="Times New Roman" w:hAnsi="Arial" w:cs="Arial"/>
                <w:sz w:val="20"/>
                <w:szCs w:val="20"/>
                <w:lang w:eastAsia="pl-PL"/>
              </w:rPr>
              <w:t>ogółem</w:t>
            </w:r>
          </w:p>
        </w:tc>
        <w:tc>
          <w:tcPr>
            <w:tcW w:w="1698"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122</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120</w:t>
            </w:r>
          </w:p>
        </w:tc>
      </w:tr>
      <w:tr w:rsidR="00EE0C8C" w:rsidRPr="00EE0C8C" w:rsidTr="00A76BDB">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200" w:firstLine="400"/>
              <w:rPr>
                <w:rFonts w:ascii="Arial" w:eastAsia="Times New Roman" w:hAnsi="Arial" w:cs="Arial"/>
                <w:sz w:val="20"/>
                <w:szCs w:val="20"/>
                <w:lang w:eastAsia="pl-PL"/>
              </w:rPr>
            </w:pPr>
            <w:r w:rsidRPr="00EE0C8C">
              <w:rPr>
                <w:rFonts w:ascii="Arial" w:eastAsia="Times New Roman" w:hAnsi="Arial" w:cs="Arial"/>
                <w:sz w:val="20"/>
                <w:szCs w:val="20"/>
                <w:lang w:eastAsia="pl-PL"/>
              </w:rPr>
              <w:t>prowadzone przez jednostki samorządu gminnego</w:t>
            </w:r>
          </w:p>
        </w:tc>
        <w:tc>
          <w:tcPr>
            <w:tcW w:w="1698"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122</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120</w:t>
            </w:r>
          </w:p>
        </w:tc>
      </w:tr>
      <w:tr w:rsidR="00EE0C8C" w:rsidRPr="00EE0C8C" w:rsidTr="00A76BDB">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969696"/>
            <w:noWrap/>
            <w:vAlign w:val="center"/>
            <w:hideMark/>
          </w:tcPr>
          <w:p w:rsidR="00EE0C8C" w:rsidRPr="00EE0C8C" w:rsidRDefault="00EE0C8C" w:rsidP="00EE0C8C">
            <w:pPr>
              <w:spacing w:after="0" w:line="240" w:lineRule="auto"/>
              <w:rPr>
                <w:rFonts w:ascii="Arial" w:eastAsia="Times New Roman" w:hAnsi="Arial" w:cs="Arial"/>
                <w:color w:val="000000"/>
                <w:sz w:val="20"/>
                <w:szCs w:val="20"/>
                <w:lang w:eastAsia="pl-PL"/>
              </w:rPr>
            </w:pPr>
            <w:r w:rsidRPr="00EE0C8C">
              <w:rPr>
                <w:rFonts w:ascii="Arial" w:eastAsia="Times New Roman" w:hAnsi="Arial" w:cs="Arial"/>
                <w:color w:val="000000"/>
                <w:sz w:val="20"/>
                <w:szCs w:val="20"/>
                <w:lang w:eastAsia="pl-PL"/>
              </w:rPr>
              <w:t>uczniowie - kobiety</w:t>
            </w:r>
          </w:p>
        </w:tc>
      </w:tr>
      <w:tr w:rsidR="00EE0C8C" w:rsidRPr="00EE0C8C" w:rsidTr="00A76BDB">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200" w:firstLine="400"/>
              <w:rPr>
                <w:rFonts w:ascii="Arial" w:eastAsia="Times New Roman" w:hAnsi="Arial" w:cs="Arial"/>
                <w:sz w:val="20"/>
                <w:szCs w:val="20"/>
                <w:lang w:eastAsia="pl-PL"/>
              </w:rPr>
            </w:pPr>
            <w:r w:rsidRPr="00EE0C8C">
              <w:rPr>
                <w:rFonts w:ascii="Arial" w:eastAsia="Times New Roman" w:hAnsi="Arial" w:cs="Arial"/>
                <w:sz w:val="20"/>
                <w:szCs w:val="20"/>
                <w:lang w:eastAsia="pl-PL"/>
              </w:rPr>
              <w:t>ogółem</w:t>
            </w:r>
          </w:p>
        </w:tc>
        <w:tc>
          <w:tcPr>
            <w:tcW w:w="1698"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116</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102</w:t>
            </w:r>
          </w:p>
        </w:tc>
      </w:tr>
      <w:tr w:rsidR="00EE0C8C" w:rsidRPr="00EE0C8C" w:rsidTr="00A76BDB">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200" w:firstLine="400"/>
              <w:rPr>
                <w:rFonts w:ascii="Arial" w:eastAsia="Times New Roman" w:hAnsi="Arial" w:cs="Arial"/>
                <w:sz w:val="20"/>
                <w:szCs w:val="20"/>
                <w:lang w:eastAsia="pl-PL"/>
              </w:rPr>
            </w:pPr>
            <w:r w:rsidRPr="00EE0C8C">
              <w:rPr>
                <w:rFonts w:ascii="Arial" w:eastAsia="Times New Roman" w:hAnsi="Arial" w:cs="Arial"/>
                <w:sz w:val="20"/>
                <w:szCs w:val="20"/>
                <w:lang w:eastAsia="pl-PL"/>
              </w:rPr>
              <w:t>prowadzone przez jednostki samorządu gminnego</w:t>
            </w:r>
          </w:p>
        </w:tc>
        <w:tc>
          <w:tcPr>
            <w:tcW w:w="1698"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116</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102</w:t>
            </w:r>
          </w:p>
        </w:tc>
      </w:tr>
      <w:tr w:rsidR="00EE0C8C" w:rsidRPr="00EE0C8C" w:rsidTr="00A76BDB">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969696"/>
            <w:noWrap/>
            <w:vAlign w:val="center"/>
            <w:hideMark/>
          </w:tcPr>
          <w:p w:rsidR="00EE0C8C" w:rsidRPr="00EE0C8C" w:rsidRDefault="00EE0C8C" w:rsidP="00EE0C8C">
            <w:pPr>
              <w:spacing w:after="0" w:line="240" w:lineRule="auto"/>
              <w:rPr>
                <w:rFonts w:ascii="Arial" w:eastAsia="Times New Roman" w:hAnsi="Arial" w:cs="Arial"/>
                <w:color w:val="000000"/>
                <w:sz w:val="20"/>
                <w:szCs w:val="20"/>
                <w:lang w:eastAsia="pl-PL"/>
              </w:rPr>
            </w:pPr>
            <w:r w:rsidRPr="00EE0C8C">
              <w:rPr>
                <w:rFonts w:ascii="Arial" w:eastAsia="Times New Roman" w:hAnsi="Arial" w:cs="Arial"/>
                <w:color w:val="000000"/>
                <w:sz w:val="20"/>
                <w:szCs w:val="20"/>
                <w:lang w:eastAsia="pl-PL"/>
              </w:rPr>
              <w:t>uczniowie w 1 klasie</w:t>
            </w:r>
          </w:p>
        </w:tc>
      </w:tr>
      <w:tr w:rsidR="00EE0C8C" w:rsidRPr="00EE0C8C" w:rsidTr="00A76BDB">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200" w:firstLine="400"/>
              <w:rPr>
                <w:rFonts w:ascii="Arial" w:eastAsia="Times New Roman" w:hAnsi="Arial" w:cs="Arial"/>
                <w:sz w:val="20"/>
                <w:szCs w:val="20"/>
                <w:lang w:eastAsia="pl-PL"/>
              </w:rPr>
            </w:pPr>
            <w:r w:rsidRPr="00EE0C8C">
              <w:rPr>
                <w:rFonts w:ascii="Arial" w:eastAsia="Times New Roman" w:hAnsi="Arial" w:cs="Arial"/>
                <w:sz w:val="20"/>
                <w:szCs w:val="20"/>
                <w:lang w:eastAsia="pl-PL"/>
              </w:rPr>
              <w:t>ogółem</w:t>
            </w:r>
          </w:p>
        </w:tc>
        <w:tc>
          <w:tcPr>
            <w:tcW w:w="1698"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90</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69</w:t>
            </w:r>
          </w:p>
        </w:tc>
      </w:tr>
      <w:tr w:rsidR="00EE0C8C" w:rsidRPr="00EE0C8C" w:rsidTr="00A76BDB">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200" w:firstLine="400"/>
              <w:rPr>
                <w:rFonts w:ascii="Arial" w:eastAsia="Times New Roman" w:hAnsi="Arial" w:cs="Arial"/>
                <w:sz w:val="20"/>
                <w:szCs w:val="20"/>
                <w:lang w:eastAsia="pl-PL"/>
              </w:rPr>
            </w:pPr>
            <w:r w:rsidRPr="00EE0C8C">
              <w:rPr>
                <w:rFonts w:ascii="Arial" w:eastAsia="Times New Roman" w:hAnsi="Arial" w:cs="Arial"/>
                <w:sz w:val="20"/>
                <w:szCs w:val="20"/>
                <w:lang w:eastAsia="pl-PL"/>
              </w:rPr>
              <w:t>prowadzone przez jednostki samorządu gminnego</w:t>
            </w:r>
          </w:p>
        </w:tc>
        <w:tc>
          <w:tcPr>
            <w:tcW w:w="1698"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90</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69</w:t>
            </w:r>
          </w:p>
        </w:tc>
      </w:tr>
      <w:tr w:rsidR="00EE0C8C" w:rsidRPr="00EE0C8C" w:rsidTr="00A76BDB">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969696"/>
            <w:noWrap/>
            <w:vAlign w:val="center"/>
            <w:hideMark/>
          </w:tcPr>
          <w:p w:rsidR="00EE0C8C" w:rsidRPr="00EE0C8C" w:rsidRDefault="00EE0C8C" w:rsidP="00EE0C8C">
            <w:pPr>
              <w:spacing w:after="0" w:line="240" w:lineRule="auto"/>
              <w:rPr>
                <w:rFonts w:ascii="Arial" w:eastAsia="Times New Roman" w:hAnsi="Arial" w:cs="Arial"/>
                <w:color w:val="000000"/>
                <w:sz w:val="20"/>
                <w:szCs w:val="20"/>
                <w:lang w:eastAsia="pl-PL"/>
              </w:rPr>
            </w:pPr>
            <w:r w:rsidRPr="00EE0C8C">
              <w:rPr>
                <w:rFonts w:ascii="Arial" w:eastAsia="Times New Roman" w:hAnsi="Arial" w:cs="Arial"/>
                <w:color w:val="000000"/>
                <w:sz w:val="20"/>
                <w:szCs w:val="20"/>
                <w:lang w:eastAsia="pl-PL"/>
              </w:rPr>
              <w:t>uczniowie w 1 klasie - kobiety</w:t>
            </w:r>
          </w:p>
        </w:tc>
      </w:tr>
      <w:tr w:rsidR="00EE0C8C" w:rsidRPr="00EE0C8C" w:rsidTr="00A76BDB">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200" w:firstLine="400"/>
              <w:rPr>
                <w:rFonts w:ascii="Arial" w:eastAsia="Times New Roman" w:hAnsi="Arial" w:cs="Arial"/>
                <w:sz w:val="20"/>
                <w:szCs w:val="20"/>
                <w:lang w:eastAsia="pl-PL"/>
              </w:rPr>
            </w:pPr>
            <w:r w:rsidRPr="00EE0C8C">
              <w:rPr>
                <w:rFonts w:ascii="Arial" w:eastAsia="Times New Roman" w:hAnsi="Arial" w:cs="Arial"/>
                <w:sz w:val="20"/>
                <w:szCs w:val="20"/>
                <w:lang w:eastAsia="pl-PL"/>
              </w:rPr>
              <w:t>ogółem</w:t>
            </w:r>
          </w:p>
        </w:tc>
        <w:tc>
          <w:tcPr>
            <w:tcW w:w="1698"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44</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32</w:t>
            </w:r>
          </w:p>
        </w:tc>
      </w:tr>
      <w:tr w:rsidR="00EE0C8C" w:rsidRPr="00EE0C8C" w:rsidTr="00A76BDB">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200" w:firstLine="400"/>
              <w:rPr>
                <w:rFonts w:ascii="Arial" w:eastAsia="Times New Roman" w:hAnsi="Arial" w:cs="Arial"/>
                <w:sz w:val="20"/>
                <w:szCs w:val="20"/>
                <w:lang w:eastAsia="pl-PL"/>
              </w:rPr>
            </w:pPr>
            <w:r w:rsidRPr="00EE0C8C">
              <w:rPr>
                <w:rFonts w:ascii="Arial" w:eastAsia="Times New Roman" w:hAnsi="Arial" w:cs="Arial"/>
                <w:sz w:val="20"/>
                <w:szCs w:val="20"/>
                <w:lang w:eastAsia="pl-PL"/>
              </w:rPr>
              <w:t>prowadzone przez jednostki samorządu gminnego</w:t>
            </w:r>
          </w:p>
        </w:tc>
        <w:tc>
          <w:tcPr>
            <w:tcW w:w="1698"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44</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32</w:t>
            </w:r>
          </w:p>
        </w:tc>
      </w:tr>
      <w:tr w:rsidR="00EE0C8C" w:rsidRPr="00EE0C8C" w:rsidTr="00A76BDB">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969696"/>
            <w:noWrap/>
            <w:vAlign w:val="center"/>
            <w:hideMark/>
          </w:tcPr>
          <w:p w:rsidR="00EE0C8C" w:rsidRPr="00EE0C8C" w:rsidRDefault="00EE0C8C" w:rsidP="00EE0C8C">
            <w:pPr>
              <w:spacing w:after="0" w:line="240" w:lineRule="auto"/>
              <w:rPr>
                <w:rFonts w:ascii="Arial" w:eastAsia="Times New Roman" w:hAnsi="Arial" w:cs="Arial"/>
                <w:color w:val="000000"/>
                <w:sz w:val="20"/>
                <w:szCs w:val="20"/>
                <w:lang w:eastAsia="pl-PL"/>
              </w:rPr>
            </w:pPr>
            <w:r w:rsidRPr="00EE0C8C">
              <w:rPr>
                <w:rFonts w:ascii="Arial" w:eastAsia="Times New Roman" w:hAnsi="Arial" w:cs="Arial"/>
                <w:color w:val="000000"/>
                <w:sz w:val="20"/>
                <w:szCs w:val="20"/>
                <w:lang w:eastAsia="pl-PL"/>
              </w:rPr>
              <w:t>uczniowie w 1 klasie - mężczyźni</w:t>
            </w:r>
          </w:p>
        </w:tc>
      </w:tr>
      <w:tr w:rsidR="00EE0C8C" w:rsidRPr="00EE0C8C" w:rsidTr="00A76BDB">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200" w:firstLine="400"/>
              <w:rPr>
                <w:rFonts w:ascii="Arial" w:eastAsia="Times New Roman" w:hAnsi="Arial" w:cs="Arial"/>
                <w:sz w:val="20"/>
                <w:szCs w:val="20"/>
                <w:lang w:eastAsia="pl-PL"/>
              </w:rPr>
            </w:pPr>
            <w:r w:rsidRPr="00EE0C8C">
              <w:rPr>
                <w:rFonts w:ascii="Arial" w:eastAsia="Times New Roman" w:hAnsi="Arial" w:cs="Arial"/>
                <w:sz w:val="20"/>
                <w:szCs w:val="20"/>
                <w:lang w:eastAsia="pl-PL"/>
              </w:rPr>
              <w:t>ogółem</w:t>
            </w:r>
          </w:p>
        </w:tc>
        <w:tc>
          <w:tcPr>
            <w:tcW w:w="1698"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46</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37</w:t>
            </w:r>
          </w:p>
        </w:tc>
      </w:tr>
      <w:tr w:rsidR="00EE0C8C" w:rsidRPr="00EE0C8C" w:rsidTr="00A76BDB">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200" w:firstLine="400"/>
              <w:rPr>
                <w:rFonts w:ascii="Arial" w:eastAsia="Times New Roman" w:hAnsi="Arial" w:cs="Arial"/>
                <w:sz w:val="20"/>
                <w:szCs w:val="20"/>
                <w:lang w:eastAsia="pl-PL"/>
              </w:rPr>
            </w:pPr>
            <w:r w:rsidRPr="00EE0C8C">
              <w:rPr>
                <w:rFonts w:ascii="Arial" w:eastAsia="Times New Roman" w:hAnsi="Arial" w:cs="Arial"/>
                <w:sz w:val="20"/>
                <w:szCs w:val="20"/>
                <w:lang w:eastAsia="pl-PL"/>
              </w:rPr>
              <w:t>prowadzone przez jednostki samorządu gminnego</w:t>
            </w:r>
          </w:p>
        </w:tc>
        <w:tc>
          <w:tcPr>
            <w:tcW w:w="1698"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46</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37</w:t>
            </w:r>
          </w:p>
        </w:tc>
      </w:tr>
      <w:tr w:rsidR="00EE0C8C" w:rsidRPr="00EE0C8C" w:rsidTr="00A76BDB">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969696"/>
            <w:noWrap/>
            <w:vAlign w:val="center"/>
            <w:hideMark/>
          </w:tcPr>
          <w:p w:rsidR="00EE0C8C" w:rsidRPr="00EE0C8C" w:rsidRDefault="00EE0C8C" w:rsidP="00EE0C8C">
            <w:pPr>
              <w:spacing w:after="0" w:line="240" w:lineRule="auto"/>
              <w:rPr>
                <w:rFonts w:ascii="Arial" w:eastAsia="Times New Roman" w:hAnsi="Arial" w:cs="Arial"/>
                <w:color w:val="000000"/>
                <w:sz w:val="20"/>
                <w:szCs w:val="20"/>
                <w:lang w:eastAsia="pl-PL"/>
              </w:rPr>
            </w:pPr>
            <w:r w:rsidRPr="00EE0C8C">
              <w:rPr>
                <w:rFonts w:ascii="Arial" w:eastAsia="Times New Roman" w:hAnsi="Arial" w:cs="Arial"/>
                <w:color w:val="000000"/>
                <w:sz w:val="20"/>
                <w:szCs w:val="20"/>
                <w:lang w:eastAsia="pl-PL"/>
              </w:rPr>
              <w:t>absolwenci</w:t>
            </w:r>
          </w:p>
        </w:tc>
      </w:tr>
      <w:tr w:rsidR="00EE0C8C" w:rsidRPr="00EE0C8C" w:rsidTr="00A76BDB">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200" w:firstLine="400"/>
              <w:rPr>
                <w:rFonts w:ascii="Arial" w:eastAsia="Times New Roman" w:hAnsi="Arial" w:cs="Arial"/>
                <w:sz w:val="20"/>
                <w:szCs w:val="20"/>
                <w:lang w:eastAsia="pl-PL"/>
              </w:rPr>
            </w:pPr>
            <w:r w:rsidRPr="00EE0C8C">
              <w:rPr>
                <w:rFonts w:ascii="Arial" w:eastAsia="Times New Roman" w:hAnsi="Arial" w:cs="Arial"/>
                <w:sz w:val="20"/>
                <w:szCs w:val="20"/>
                <w:lang w:eastAsia="pl-PL"/>
              </w:rPr>
              <w:t>ogółem</w:t>
            </w:r>
          </w:p>
        </w:tc>
        <w:tc>
          <w:tcPr>
            <w:tcW w:w="1698"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95</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86</w:t>
            </w:r>
          </w:p>
        </w:tc>
      </w:tr>
      <w:tr w:rsidR="00EE0C8C" w:rsidRPr="00EE0C8C" w:rsidTr="00A76BDB">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200" w:firstLine="400"/>
              <w:rPr>
                <w:rFonts w:ascii="Arial" w:eastAsia="Times New Roman" w:hAnsi="Arial" w:cs="Arial"/>
                <w:sz w:val="20"/>
                <w:szCs w:val="20"/>
                <w:lang w:eastAsia="pl-PL"/>
              </w:rPr>
            </w:pPr>
            <w:r w:rsidRPr="00EE0C8C">
              <w:rPr>
                <w:rFonts w:ascii="Arial" w:eastAsia="Times New Roman" w:hAnsi="Arial" w:cs="Arial"/>
                <w:sz w:val="20"/>
                <w:szCs w:val="20"/>
                <w:lang w:eastAsia="pl-PL"/>
              </w:rPr>
              <w:t>prowadzone przez jednostki samorządu gminnego</w:t>
            </w:r>
          </w:p>
        </w:tc>
        <w:tc>
          <w:tcPr>
            <w:tcW w:w="1698"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95</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86</w:t>
            </w:r>
          </w:p>
        </w:tc>
      </w:tr>
      <w:tr w:rsidR="00EE0C8C" w:rsidRPr="00EE0C8C" w:rsidTr="00A76BDB">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969696"/>
            <w:noWrap/>
            <w:vAlign w:val="center"/>
            <w:hideMark/>
          </w:tcPr>
          <w:p w:rsidR="00EE0C8C" w:rsidRPr="00EE0C8C" w:rsidRDefault="00EE0C8C" w:rsidP="00EE0C8C">
            <w:pPr>
              <w:spacing w:after="0" w:line="240" w:lineRule="auto"/>
              <w:rPr>
                <w:rFonts w:ascii="Arial" w:eastAsia="Times New Roman" w:hAnsi="Arial" w:cs="Arial"/>
                <w:color w:val="000000"/>
                <w:sz w:val="20"/>
                <w:szCs w:val="20"/>
                <w:lang w:eastAsia="pl-PL"/>
              </w:rPr>
            </w:pPr>
            <w:r w:rsidRPr="00EE0C8C">
              <w:rPr>
                <w:rFonts w:ascii="Arial" w:eastAsia="Times New Roman" w:hAnsi="Arial" w:cs="Arial"/>
                <w:color w:val="000000"/>
                <w:sz w:val="20"/>
                <w:szCs w:val="20"/>
                <w:lang w:eastAsia="pl-PL"/>
              </w:rPr>
              <w:t>absolwenci - mężczyźni</w:t>
            </w:r>
          </w:p>
        </w:tc>
      </w:tr>
      <w:tr w:rsidR="00EE0C8C" w:rsidRPr="00EE0C8C" w:rsidTr="00A76BDB">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200" w:firstLine="400"/>
              <w:rPr>
                <w:rFonts w:ascii="Arial" w:eastAsia="Times New Roman" w:hAnsi="Arial" w:cs="Arial"/>
                <w:sz w:val="20"/>
                <w:szCs w:val="20"/>
                <w:lang w:eastAsia="pl-PL"/>
              </w:rPr>
            </w:pPr>
            <w:r w:rsidRPr="00EE0C8C">
              <w:rPr>
                <w:rFonts w:ascii="Arial" w:eastAsia="Times New Roman" w:hAnsi="Arial" w:cs="Arial"/>
                <w:sz w:val="20"/>
                <w:szCs w:val="20"/>
                <w:lang w:eastAsia="pl-PL"/>
              </w:rPr>
              <w:t>ogółem</w:t>
            </w:r>
          </w:p>
        </w:tc>
        <w:tc>
          <w:tcPr>
            <w:tcW w:w="1698"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40</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37</w:t>
            </w:r>
          </w:p>
        </w:tc>
      </w:tr>
      <w:tr w:rsidR="00EE0C8C" w:rsidRPr="00EE0C8C" w:rsidTr="00A76BDB">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200" w:firstLine="400"/>
              <w:rPr>
                <w:rFonts w:ascii="Arial" w:eastAsia="Times New Roman" w:hAnsi="Arial" w:cs="Arial"/>
                <w:sz w:val="20"/>
                <w:szCs w:val="20"/>
                <w:lang w:eastAsia="pl-PL"/>
              </w:rPr>
            </w:pPr>
            <w:r w:rsidRPr="00EE0C8C">
              <w:rPr>
                <w:rFonts w:ascii="Arial" w:eastAsia="Times New Roman" w:hAnsi="Arial" w:cs="Arial"/>
                <w:sz w:val="20"/>
                <w:szCs w:val="20"/>
                <w:lang w:eastAsia="pl-PL"/>
              </w:rPr>
              <w:t>prowadzone przez jednostki samorządu gminnego</w:t>
            </w:r>
          </w:p>
        </w:tc>
        <w:tc>
          <w:tcPr>
            <w:tcW w:w="1698"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40</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37</w:t>
            </w:r>
          </w:p>
        </w:tc>
      </w:tr>
      <w:tr w:rsidR="00EE0C8C" w:rsidRPr="00EE0C8C" w:rsidTr="00A76BDB">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969696"/>
            <w:noWrap/>
            <w:vAlign w:val="center"/>
            <w:hideMark/>
          </w:tcPr>
          <w:p w:rsidR="00EE0C8C" w:rsidRPr="00EE0C8C" w:rsidRDefault="00EE0C8C" w:rsidP="00EE0C8C">
            <w:pPr>
              <w:spacing w:after="0" w:line="240" w:lineRule="auto"/>
              <w:rPr>
                <w:rFonts w:ascii="Arial" w:eastAsia="Times New Roman" w:hAnsi="Arial" w:cs="Arial"/>
                <w:color w:val="000000"/>
                <w:sz w:val="20"/>
                <w:szCs w:val="20"/>
                <w:lang w:eastAsia="pl-PL"/>
              </w:rPr>
            </w:pPr>
            <w:r w:rsidRPr="00EE0C8C">
              <w:rPr>
                <w:rFonts w:ascii="Arial" w:eastAsia="Times New Roman" w:hAnsi="Arial" w:cs="Arial"/>
                <w:color w:val="000000"/>
                <w:sz w:val="20"/>
                <w:szCs w:val="20"/>
                <w:lang w:eastAsia="pl-PL"/>
              </w:rPr>
              <w:t>absolwenci - kobiety</w:t>
            </w:r>
          </w:p>
        </w:tc>
      </w:tr>
      <w:tr w:rsidR="00EE0C8C" w:rsidRPr="00EE0C8C" w:rsidTr="00A76BDB">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200" w:firstLine="400"/>
              <w:rPr>
                <w:rFonts w:ascii="Arial" w:eastAsia="Times New Roman" w:hAnsi="Arial" w:cs="Arial"/>
                <w:sz w:val="20"/>
                <w:szCs w:val="20"/>
                <w:lang w:eastAsia="pl-PL"/>
              </w:rPr>
            </w:pPr>
            <w:r w:rsidRPr="00EE0C8C">
              <w:rPr>
                <w:rFonts w:ascii="Arial" w:eastAsia="Times New Roman" w:hAnsi="Arial" w:cs="Arial"/>
                <w:sz w:val="20"/>
                <w:szCs w:val="20"/>
                <w:lang w:eastAsia="pl-PL"/>
              </w:rPr>
              <w:t>ogółem</w:t>
            </w:r>
          </w:p>
        </w:tc>
        <w:tc>
          <w:tcPr>
            <w:tcW w:w="1698"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55</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49</w:t>
            </w:r>
          </w:p>
        </w:tc>
      </w:tr>
      <w:tr w:rsidR="00EE0C8C" w:rsidRPr="00EE0C8C" w:rsidTr="00A76BDB">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200" w:firstLine="400"/>
              <w:rPr>
                <w:rFonts w:ascii="Arial" w:eastAsia="Times New Roman" w:hAnsi="Arial" w:cs="Arial"/>
                <w:sz w:val="20"/>
                <w:szCs w:val="20"/>
                <w:lang w:eastAsia="pl-PL"/>
              </w:rPr>
            </w:pPr>
            <w:r w:rsidRPr="00EE0C8C">
              <w:rPr>
                <w:rFonts w:ascii="Arial" w:eastAsia="Times New Roman" w:hAnsi="Arial" w:cs="Arial"/>
                <w:sz w:val="20"/>
                <w:szCs w:val="20"/>
                <w:lang w:eastAsia="pl-PL"/>
              </w:rPr>
              <w:t>prowadzone przez jednostki samorządu gminnego</w:t>
            </w:r>
          </w:p>
        </w:tc>
        <w:tc>
          <w:tcPr>
            <w:tcW w:w="1698"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55</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49</w:t>
            </w:r>
          </w:p>
        </w:tc>
      </w:tr>
      <w:tr w:rsidR="00EE0C8C" w:rsidRPr="00EE0C8C" w:rsidTr="00A76BDB">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33CCCC"/>
            <w:noWrap/>
            <w:vAlign w:val="center"/>
            <w:hideMark/>
          </w:tcPr>
          <w:p w:rsidR="00EE0C8C" w:rsidRPr="00EE0C8C" w:rsidRDefault="00EE0C8C" w:rsidP="00EE0C8C">
            <w:pPr>
              <w:spacing w:after="0" w:line="240" w:lineRule="auto"/>
              <w:rPr>
                <w:rFonts w:ascii="Arial" w:eastAsia="Times New Roman" w:hAnsi="Arial" w:cs="Arial"/>
                <w:b/>
                <w:bCs/>
                <w:color w:val="008080"/>
                <w:sz w:val="20"/>
                <w:szCs w:val="20"/>
                <w:lang w:eastAsia="pl-PL"/>
              </w:rPr>
            </w:pPr>
            <w:r w:rsidRPr="00EE0C8C">
              <w:rPr>
                <w:rFonts w:ascii="Arial" w:eastAsia="Times New Roman" w:hAnsi="Arial" w:cs="Arial"/>
                <w:b/>
                <w:bCs/>
                <w:color w:val="008080"/>
                <w:sz w:val="20"/>
                <w:szCs w:val="20"/>
                <w:lang w:eastAsia="pl-PL"/>
              </w:rPr>
              <w:t>Uczniowie przypadający na 1 oddział w gimnazjach</w:t>
            </w:r>
          </w:p>
        </w:tc>
      </w:tr>
      <w:tr w:rsidR="00EE0C8C" w:rsidRPr="00EE0C8C" w:rsidTr="00A76BDB">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rPr>
                <w:rFonts w:ascii="Arial" w:eastAsia="Times New Roman" w:hAnsi="Arial" w:cs="Arial"/>
                <w:sz w:val="20"/>
                <w:szCs w:val="20"/>
                <w:lang w:eastAsia="pl-PL"/>
              </w:rPr>
            </w:pPr>
            <w:r w:rsidRPr="00EE0C8C">
              <w:rPr>
                <w:rFonts w:ascii="Arial" w:eastAsia="Times New Roman" w:hAnsi="Arial" w:cs="Arial"/>
                <w:sz w:val="20"/>
                <w:szCs w:val="20"/>
                <w:lang w:eastAsia="pl-PL"/>
              </w:rPr>
              <w:t>gimnazja ogółem</w:t>
            </w:r>
          </w:p>
        </w:tc>
        <w:tc>
          <w:tcPr>
            <w:tcW w:w="1698"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22</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22</w:t>
            </w:r>
          </w:p>
        </w:tc>
      </w:tr>
      <w:tr w:rsidR="00EE0C8C" w:rsidRPr="00EE0C8C" w:rsidTr="00A76BDB">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rPr>
                <w:rFonts w:ascii="Arial" w:eastAsia="Times New Roman" w:hAnsi="Arial" w:cs="Arial"/>
                <w:sz w:val="20"/>
                <w:szCs w:val="20"/>
                <w:lang w:eastAsia="pl-PL"/>
              </w:rPr>
            </w:pPr>
            <w:r w:rsidRPr="00EE0C8C">
              <w:rPr>
                <w:rFonts w:ascii="Arial" w:eastAsia="Times New Roman" w:hAnsi="Arial" w:cs="Arial"/>
                <w:sz w:val="20"/>
                <w:szCs w:val="20"/>
                <w:lang w:eastAsia="pl-PL"/>
              </w:rPr>
              <w:t>gimnazja dla dzieci i młodzieży ogółem</w:t>
            </w:r>
          </w:p>
        </w:tc>
        <w:tc>
          <w:tcPr>
            <w:tcW w:w="1698"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22</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22</w:t>
            </w:r>
          </w:p>
        </w:tc>
      </w:tr>
      <w:tr w:rsidR="00EE0C8C" w:rsidRPr="00EE0C8C" w:rsidTr="00A76BDB">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rPr>
                <w:rFonts w:ascii="Arial" w:eastAsia="Times New Roman" w:hAnsi="Arial" w:cs="Arial"/>
                <w:sz w:val="20"/>
                <w:szCs w:val="20"/>
                <w:lang w:eastAsia="pl-PL"/>
              </w:rPr>
            </w:pPr>
            <w:r w:rsidRPr="00EE0C8C">
              <w:rPr>
                <w:rFonts w:ascii="Arial" w:eastAsia="Times New Roman" w:hAnsi="Arial" w:cs="Arial"/>
                <w:sz w:val="20"/>
                <w:szCs w:val="20"/>
                <w:lang w:eastAsia="pl-PL"/>
              </w:rPr>
              <w:t>gimnazja dla dzieci i młodzieży bez specjalnych</w:t>
            </w:r>
          </w:p>
        </w:tc>
        <w:tc>
          <w:tcPr>
            <w:tcW w:w="1698"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22</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22</w:t>
            </w:r>
          </w:p>
        </w:tc>
      </w:tr>
      <w:tr w:rsidR="00EE0C8C" w:rsidRPr="00EE0C8C" w:rsidTr="00A76BDB">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33CCCC"/>
            <w:noWrap/>
            <w:vAlign w:val="center"/>
            <w:hideMark/>
          </w:tcPr>
          <w:p w:rsidR="00EE0C8C" w:rsidRPr="00EE0C8C" w:rsidRDefault="00EE0C8C" w:rsidP="00EE0C8C">
            <w:pPr>
              <w:spacing w:after="0" w:line="240" w:lineRule="auto"/>
              <w:rPr>
                <w:rFonts w:ascii="Arial" w:eastAsia="Times New Roman" w:hAnsi="Arial" w:cs="Arial"/>
                <w:b/>
                <w:bCs/>
                <w:color w:val="008080"/>
                <w:sz w:val="20"/>
                <w:szCs w:val="20"/>
                <w:lang w:eastAsia="pl-PL"/>
              </w:rPr>
            </w:pPr>
            <w:r w:rsidRPr="00EE0C8C">
              <w:rPr>
                <w:rFonts w:ascii="Arial" w:eastAsia="Times New Roman" w:hAnsi="Arial" w:cs="Arial"/>
                <w:b/>
                <w:bCs/>
                <w:color w:val="008080"/>
                <w:sz w:val="20"/>
                <w:szCs w:val="20"/>
                <w:lang w:eastAsia="pl-PL"/>
              </w:rPr>
              <w:t>Nauczyciele pełnozatrudnieni i niepełnozatrudnieni w przeliczeniu na etaty</w:t>
            </w:r>
          </w:p>
        </w:tc>
      </w:tr>
      <w:tr w:rsidR="00EE0C8C" w:rsidRPr="00EE0C8C" w:rsidTr="00A76BDB">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808080"/>
            <w:noWrap/>
            <w:vAlign w:val="center"/>
            <w:hideMark/>
          </w:tcPr>
          <w:p w:rsidR="00EE0C8C" w:rsidRPr="00EE0C8C" w:rsidRDefault="00EE0C8C" w:rsidP="00EE0C8C">
            <w:pPr>
              <w:spacing w:after="0" w:line="240" w:lineRule="auto"/>
              <w:rPr>
                <w:rFonts w:ascii="Arial" w:eastAsia="Times New Roman" w:hAnsi="Arial" w:cs="Arial"/>
                <w:color w:val="000000"/>
                <w:sz w:val="20"/>
                <w:szCs w:val="20"/>
                <w:lang w:eastAsia="pl-PL"/>
              </w:rPr>
            </w:pPr>
            <w:r w:rsidRPr="00EE0C8C">
              <w:rPr>
                <w:rFonts w:ascii="Arial" w:eastAsia="Times New Roman" w:hAnsi="Arial" w:cs="Arial"/>
                <w:color w:val="000000"/>
                <w:sz w:val="20"/>
                <w:szCs w:val="20"/>
                <w:lang w:eastAsia="pl-PL"/>
              </w:rPr>
              <w:lastRenderedPageBreak/>
              <w:t>gimnazja dla dzieci i młodzieży bez specjalnych</w:t>
            </w:r>
          </w:p>
        </w:tc>
      </w:tr>
      <w:tr w:rsidR="00EE0C8C" w:rsidRPr="00EE0C8C" w:rsidTr="00A76BDB">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100" w:firstLine="200"/>
              <w:rPr>
                <w:rFonts w:ascii="Arial" w:eastAsia="Times New Roman" w:hAnsi="Arial" w:cs="Arial"/>
                <w:sz w:val="20"/>
                <w:szCs w:val="20"/>
                <w:lang w:eastAsia="pl-PL"/>
              </w:rPr>
            </w:pPr>
            <w:r w:rsidRPr="00EE0C8C">
              <w:rPr>
                <w:rFonts w:ascii="Arial" w:eastAsia="Times New Roman" w:hAnsi="Arial" w:cs="Arial"/>
                <w:sz w:val="20"/>
                <w:szCs w:val="20"/>
                <w:lang w:eastAsia="pl-PL"/>
              </w:rPr>
              <w:t>ogółem</w:t>
            </w:r>
          </w:p>
        </w:tc>
        <w:tc>
          <w:tcPr>
            <w:tcW w:w="1698"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etat</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22,18</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20,46</w:t>
            </w:r>
          </w:p>
        </w:tc>
      </w:tr>
      <w:tr w:rsidR="00EE0C8C" w:rsidRPr="00EE0C8C" w:rsidTr="00A76BDB">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100" w:firstLine="200"/>
              <w:rPr>
                <w:rFonts w:ascii="Arial" w:eastAsia="Times New Roman" w:hAnsi="Arial" w:cs="Arial"/>
                <w:sz w:val="20"/>
                <w:szCs w:val="20"/>
                <w:lang w:eastAsia="pl-PL"/>
              </w:rPr>
            </w:pPr>
            <w:r w:rsidRPr="00EE0C8C">
              <w:rPr>
                <w:rFonts w:ascii="Arial" w:eastAsia="Times New Roman" w:hAnsi="Arial" w:cs="Arial"/>
                <w:sz w:val="20"/>
                <w:szCs w:val="20"/>
                <w:lang w:eastAsia="pl-PL"/>
              </w:rPr>
              <w:t>mężczyźni</w:t>
            </w:r>
          </w:p>
        </w:tc>
        <w:tc>
          <w:tcPr>
            <w:tcW w:w="1698"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etat</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3,74</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3,52</w:t>
            </w:r>
          </w:p>
        </w:tc>
      </w:tr>
      <w:tr w:rsidR="00EE0C8C" w:rsidRPr="00EE0C8C" w:rsidTr="00A76BDB">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100" w:firstLine="200"/>
              <w:rPr>
                <w:rFonts w:ascii="Arial" w:eastAsia="Times New Roman" w:hAnsi="Arial" w:cs="Arial"/>
                <w:sz w:val="20"/>
                <w:szCs w:val="20"/>
                <w:lang w:eastAsia="pl-PL"/>
              </w:rPr>
            </w:pPr>
            <w:r w:rsidRPr="00EE0C8C">
              <w:rPr>
                <w:rFonts w:ascii="Arial" w:eastAsia="Times New Roman" w:hAnsi="Arial" w:cs="Arial"/>
                <w:sz w:val="20"/>
                <w:szCs w:val="20"/>
                <w:lang w:eastAsia="pl-PL"/>
              </w:rPr>
              <w:t>kobiety</w:t>
            </w:r>
          </w:p>
        </w:tc>
        <w:tc>
          <w:tcPr>
            <w:tcW w:w="1698"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etat</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18,44</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16,94</w:t>
            </w:r>
          </w:p>
        </w:tc>
      </w:tr>
      <w:tr w:rsidR="00EE0C8C" w:rsidRPr="00EE0C8C" w:rsidTr="00A76BDB">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008080"/>
            <w:noWrap/>
            <w:vAlign w:val="center"/>
            <w:hideMark/>
          </w:tcPr>
          <w:p w:rsidR="00EE0C8C" w:rsidRPr="00EE0C8C" w:rsidRDefault="00EE0C8C" w:rsidP="00EE0C8C">
            <w:pPr>
              <w:spacing w:after="0" w:line="240" w:lineRule="auto"/>
              <w:rPr>
                <w:rFonts w:ascii="Arial" w:eastAsia="Times New Roman" w:hAnsi="Arial" w:cs="Arial"/>
                <w:b/>
                <w:bCs/>
                <w:color w:val="FFFFFF"/>
                <w:sz w:val="20"/>
                <w:szCs w:val="20"/>
                <w:lang w:eastAsia="pl-PL"/>
              </w:rPr>
            </w:pPr>
            <w:r w:rsidRPr="00EE0C8C">
              <w:rPr>
                <w:rFonts w:ascii="Arial" w:eastAsia="Times New Roman" w:hAnsi="Arial" w:cs="Arial"/>
                <w:b/>
                <w:bCs/>
                <w:color w:val="FFFFFF"/>
                <w:sz w:val="20"/>
                <w:szCs w:val="20"/>
                <w:lang w:eastAsia="pl-PL"/>
              </w:rPr>
              <w:t>SKOLARYZACJA</w:t>
            </w:r>
          </w:p>
        </w:tc>
      </w:tr>
      <w:tr w:rsidR="00EE0C8C" w:rsidRPr="00EE0C8C" w:rsidTr="00A76BDB">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33CCCC"/>
            <w:noWrap/>
            <w:vAlign w:val="center"/>
            <w:hideMark/>
          </w:tcPr>
          <w:p w:rsidR="00EE0C8C" w:rsidRPr="00EE0C8C" w:rsidRDefault="00EE0C8C" w:rsidP="00EE0C8C">
            <w:pPr>
              <w:spacing w:after="0" w:line="240" w:lineRule="auto"/>
              <w:rPr>
                <w:rFonts w:ascii="Arial" w:eastAsia="Times New Roman" w:hAnsi="Arial" w:cs="Arial"/>
                <w:b/>
                <w:bCs/>
                <w:color w:val="008080"/>
                <w:sz w:val="20"/>
                <w:szCs w:val="20"/>
                <w:lang w:eastAsia="pl-PL"/>
              </w:rPr>
            </w:pPr>
            <w:r w:rsidRPr="00EE0C8C">
              <w:rPr>
                <w:rFonts w:ascii="Arial" w:eastAsia="Times New Roman" w:hAnsi="Arial" w:cs="Arial"/>
                <w:b/>
                <w:bCs/>
                <w:color w:val="008080"/>
                <w:sz w:val="20"/>
                <w:szCs w:val="20"/>
                <w:lang w:eastAsia="pl-PL"/>
              </w:rPr>
              <w:t>Współczynniki skolaryzacji (szkolnictwo podstawowe i gimnazjalne)</w:t>
            </w:r>
          </w:p>
        </w:tc>
      </w:tr>
      <w:tr w:rsidR="00EE0C8C" w:rsidRPr="00EE0C8C" w:rsidTr="00A76BDB">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808080"/>
            <w:noWrap/>
            <w:vAlign w:val="center"/>
            <w:hideMark/>
          </w:tcPr>
          <w:p w:rsidR="00EE0C8C" w:rsidRPr="00EE0C8C" w:rsidRDefault="00EE0C8C" w:rsidP="00EE0C8C">
            <w:pPr>
              <w:spacing w:after="0" w:line="240" w:lineRule="auto"/>
              <w:rPr>
                <w:rFonts w:ascii="Arial" w:eastAsia="Times New Roman" w:hAnsi="Arial" w:cs="Arial"/>
                <w:color w:val="000000"/>
                <w:sz w:val="20"/>
                <w:szCs w:val="20"/>
                <w:lang w:eastAsia="pl-PL"/>
              </w:rPr>
            </w:pPr>
            <w:r w:rsidRPr="00EE0C8C">
              <w:rPr>
                <w:rFonts w:ascii="Arial" w:eastAsia="Times New Roman" w:hAnsi="Arial" w:cs="Arial"/>
                <w:color w:val="000000"/>
                <w:sz w:val="20"/>
                <w:szCs w:val="20"/>
                <w:lang w:eastAsia="pl-PL"/>
              </w:rPr>
              <w:t>współczynnik skolaryzacji brutto</w:t>
            </w:r>
          </w:p>
        </w:tc>
      </w:tr>
      <w:tr w:rsidR="00EE0C8C" w:rsidRPr="00EE0C8C" w:rsidTr="00A76BDB">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100" w:firstLine="200"/>
              <w:rPr>
                <w:rFonts w:ascii="Arial" w:eastAsia="Times New Roman" w:hAnsi="Arial" w:cs="Arial"/>
                <w:sz w:val="20"/>
                <w:szCs w:val="20"/>
                <w:lang w:eastAsia="pl-PL"/>
              </w:rPr>
            </w:pPr>
            <w:r w:rsidRPr="00EE0C8C">
              <w:rPr>
                <w:rFonts w:ascii="Arial" w:eastAsia="Times New Roman" w:hAnsi="Arial" w:cs="Arial"/>
                <w:sz w:val="20"/>
                <w:szCs w:val="20"/>
                <w:lang w:eastAsia="pl-PL"/>
              </w:rPr>
              <w:t>szkoły podstawowe</w:t>
            </w:r>
          </w:p>
        </w:tc>
        <w:tc>
          <w:tcPr>
            <w:tcW w:w="1698"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100,40</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94,78</w:t>
            </w:r>
          </w:p>
        </w:tc>
      </w:tr>
      <w:tr w:rsidR="00EE0C8C" w:rsidRPr="00EE0C8C" w:rsidTr="00A76BDB">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100" w:firstLine="200"/>
              <w:rPr>
                <w:rFonts w:ascii="Arial" w:eastAsia="Times New Roman" w:hAnsi="Arial" w:cs="Arial"/>
                <w:sz w:val="20"/>
                <w:szCs w:val="20"/>
                <w:lang w:eastAsia="pl-PL"/>
              </w:rPr>
            </w:pPr>
            <w:r w:rsidRPr="00EE0C8C">
              <w:rPr>
                <w:rFonts w:ascii="Arial" w:eastAsia="Times New Roman" w:hAnsi="Arial" w:cs="Arial"/>
                <w:sz w:val="20"/>
                <w:szCs w:val="20"/>
                <w:lang w:eastAsia="pl-PL"/>
              </w:rPr>
              <w:t>gimnazja</w:t>
            </w:r>
          </w:p>
        </w:tc>
        <w:tc>
          <w:tcPr>
            <w:tcW w:w="1698"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88,15</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87,40</w:t>
            </w:r>
          </w:p>
        </w:tc>
      </w:tr>
      <w:tr w:rsidR="00EE0C8C" w:rsidRPr="00EE0C8C" w:rsidTr="00A76BDB">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808080"/>
            <w:noWrap/>
            <w:vAlign w:val="center"/>
            <w:hideMark/>
          </w:tcPr>
          <w:p w:rsidR="00EE0C8C" w:rsidRPr="00EE0C8C" w:rsidRDefault="00EE0C8C" w:rsidP="00EE0C8C">
            <w:pPr>
              <w:spacing w:after="0" w:line="240" w:lineRule="auto"/>
              <w:rPr>
                <w:rFonts w:ascii="Arial" w:eastAsia="Times New Roman" w:hAnsi="Arial" w:cs="Arial"/>
                <w:color w:val="000000"/>
                <w:sz w:val="20"/>
                <w:szCs w:val="20"/>
                <w:lang w:eastAsia="pl-PL"/>
              </w:rPr>
            </w:pPr>
            <w:r w:rsidRPr="00EE0C8C">
              <w:rPr>
                <w:rFonts w:ascii="Arial" w:eastAsia="Times New Roman" w:hAnsi="Arial" w:cs="Arial"/>
                <w:color w:val="000000"/>
                <w:sz w:val="20"/>
                <w:szCs w:val="20"/>
                <w:lang w:eastAsia="pl-PL"/>
              </w:rPr>
              <w:t>współczynnik skolaryzacji netto</w:t>
            </w:r>
          </w:p>
        </w:tc>
      </w:tr>
      <w:tr w:rsidR="00EE0C8C" w:rsidRPr="00EE0C8C" w:rsidTr="00A76BDB">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100" w:firstLine="200"/>
              <w:rPr>
                <w:rFonts w:ascii="Arial" w:eastAsia="Times New Roman" w:hAnsi="Arial" w:cs="Arial"/>
                <w:sz w:val="20"/>
                <w:szCs w:val="20"/>
                <w:lang w:eastAsia="pl-PL"/>
              </w:rPr>
            </w:pPr>
            <w:r w:rsidRPr="00EE0C8C">
              <w:rPr>
                <w:rFonts w:ascii="Arial" w:eastAsia="Times New Roman" w:hAnsi="Arial" w:cs="Arial"/>
                <w:sz w:val="20"/>
                <w:szCs w:val="20"/>
                <w:lang w:eastAsia="pl-PL"/>
              </w:rPr>
              <w:t>szkoły podstawowe</w:t>
            </w:r>
          </w:p>
        </w:tc>
        <w:tc>
          <w:tcPr>
            <w:tcW w:w="1698"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94,42</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94,06</w:t>
            </w:r>
          </w:p>
        </w:tc>
      </w:tr>
      <w:tr w:rsidR="00EE0C8C" w:rsidRPr="00EE0C8C" w:rsidTr="00A76BDB">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EE0C8C" w:rsidRPr="00EE0C8C" w:rsidRDefault="00EE0C8C" w:rsidP="00EE0C8C">
            <w:pPr>
              <w:spacing w:after="0" w:line="240" w:lineRule="auto"/>
              <w:ind w:firstLineChars="100" w:firstLine="200"/>
              <w:rPr>
                <w:rFonts w:ascii="Arial" w:eastAsia="Times New Roman" w:hAnsi="Arial" w:cs="Arial"/>
                <w:sz w:val="20"/>
                <w:szCs w:val="20"/>
                <w:lang w:eastAsia="pl-PL"/>
              </w:rPr>
            </w:pPr>
            <w:r w:rsidRPr="00EE0C8C">
              <w:rPr>
                <w:rFonts w:ascii="Arial" w:eastAsia="Times New Roman" w:hAnsi="Arial" w:cs="Arial"/>
                <w:sz w:val="20"/>
                <w:szCs w:val="20"/>
                <w:lang w:eastAsia="pl-PL"/>
              </w:rPr>
              <w:t>gimnazja</w:t>
            </w:r>
          </w:p>
        </w:tc>
        <w:tc>
          <w:tcPr>
            <w:tcW w:w="1698" w:type="dxa"/>
            <w:tcBorders>
              <w:top w:val="nil"/>
              <w:left w:val="nil"/>
              <w:bottom w:val="single" w:sz="4" w:space="0" w:color="000000"/>
              <w:right w:val="single" w:sz="4" w:space="0" w:color="000000"/>
            </w:tcBorders>
            <w:shd w:val="clear" w:color="auto" w:fill="auto"/>
            <w:noWrap/>
            <w:vAlign w:val="center"/>
            <w:hideMark/>
          </w:tcPr>
          <w:p w:rsidR="00EE0C8C" w:rsidRPr="00EE0C8C" w:rsidRDefault="00EE0C8C" w:rsidP="00EE0C8C">
            <w:pPr>
              <w:spacing w:after="0" w:line="240" w:lineRule="auto"/>
              <w:jc w:val="center"/>
              <w:rPr>
                <w:rFonts w:ascii="Arial" w:eastAsia="Times New Roman" w:hAnsi="Arial" w:cs="Arial"/>
                <w:sz w:val="20"/>
                <w:szCs w:val="20"/>
                <w:lang w:eastAsia="pl-PL"/>
              </w:rPr>
            </w:pPr>
            <w:r w:rsidRPr="00EE0C8C">
              <w:rPr>
                <w:rFonts w:ascii="Arial" w:eastAsia="Times New Roman" w:hAnsi="Arial" w:cs="Arial"/>
                <w:sz w:val="20"/>
                <w:szCs w:val="20"/>
                <w:lang w:eastAsia="pl-PL"/>
              </w:rPr>
              <w:t>%</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86,67</w:t>
            </w:r>
          </w:p>
        </w:tc>
        <w:tc>
          <w:tcPr>
            <w:tcW w:w="1019" w:type="dxa"/>
            <w:tcBorders>
              <w:top w:val="nil"/>
              <w:left w:val="nil"/>
              <w:bottom w:val="single" w:sz="4" w:space="0" w:color="000000"/>
              <w:right w:val="single" w:sz="4" w:space="0" w:color="000000"/>
            </w:tcBorders>
            <w:shd w:val="clear" w:color="auto" w:fill="auto"/>
            <w:noWrap/>
            <w:vAlign w:val="bottom"/>
            <w:hideMark/>
          </w:tcPr>
          <w:p w:rsidR="00EE0C8C" w:rsidRPr="00EE0C8C" w:rsidRDefault="00EE0C8C" w:rsidP="00EE0C8C">
            <w:pPr>
              <w:spacing w:after="0" w:line="240" w:lineRule="auto"/>
              <w:jc w:val="right"/>
              <w:rPr>
                <w:rFonts w:ascii="Arial" w:eastAsia="Times New Roman" w:hAnsi="Arial" w:cs="Arial"/>
                <w:sz w:val="20"/>
                <w:szCs w:val="20"/>
                <w:lang w:eastAsia="pl-PL"/>
              </w:rPr>
            </w:pPr>
            <w:r w:rsidRPr="00EE0C8C">
              <w:rPr>
                <w:rFonts w:ascii="Arial" w:eastAsia="Times New Roman" w:hAnsi="Arial" w:cs="Arial"/>
                <w:sz w:val="20"/>
                <w:szCs w:val="20"/>
                <w:lang w:eastAsia="pl-PL"/>
              </w:rPr>
              <w:t>85,83</w:t>
            </w:r>
          </w:p>
        </w:tc>
      </w:tr>
    </w:tbl>
    <w:p w:rsidR="00EE0C8C" w:rsidRPr="00EE0C8C" w:rsidRDefault="00EE0C8C" w:rsidP="00EE0C8C">
      <w:pPr>
        <w:ind w:firstLine="1134"/>
        <w:jc w:val="center"/>
        <w:rPr>
          <w:rFonts w:ascii="Calibri" w:eastAsia="Times New Roman" w:hAnsi="Calibri" w:cs="Times New Roman"/>
          <w:i/>
          <w:lang w:eastAsia="pl-PL"/>
        </w:rPr>
      </w:pPr>
      <w:r w:rsidRPr="00EE0C8C">
        <w:rPr>
          <w:rFonts w:ascii="Calibri" w:eastAsia="Times New Roman" w:hAnsi="Calibri" w:cs="Times New Roman"/>
          <w:i/>
          <w:lang w:eastAsia="pl-PL"/>
        </w:rPr>
        <w:t>(Źródło: Bank danych Lokalny</w:t>
      </w:r>
    </w:p>
    <w:p w:rsidR="00EE0C8C" w:rsidRPr="00EE0C8C" w:rsidRDefault="00EE0C8C" w:rsidP="00EE0C8C">
      <w:pPr>
        <w:rPr>
          <w:rFonts w:ascii="Calibri" w:eastAsia="Times New Roman" w:hAnsi="Calibri" w:cs="Times New Roman"/>
          <w:lang w:eastAsia="pl-PL"/>
        </w:rPr>
      </w:pPr>
    </w:p>
    <w:p w:rsidR="00EE0C8C" w:rsidRPr="00EE0C8C" w:rsidRDefault="00EE0C8C" w:rsidP="00EE0C8C">
      <w:pPr>
        <w:rPr>
          <w:rFonts w:ascii="Calibri" w:eastAsia="Times New Roman" w:hAnsi="Calibri" w:cs="Times New Roman"/>
          <w:lang w:eastAsia="pl-PL"/>
        </w:rPr>
      </w:pPr>
    </w:p>
    <w:p w:rsidR="00EE0C8C" w:rsidRPr="00EE0C8C" w:rsidRDefault="00EE0C8C" w:rsidP="00EE0C8C">
      <w:pPr>
        <w:rPr>
          <w:rFonts w:ascii="Calibri" w:eastAsia="Times New Roman" w:hAnsi="Calibri" w:cs="Times New Roman"/>
          <w:lang w:eastAsia="pl-PL"/>
        </w:rPr>
      </w:pPr>
    </w:p>
    <w:p w:rsidR="00EE0C8C" w:rsidRPr="00EE0C8C" w:rsidRDefault="00EE0C8C" w:rsidP="00EE0C8C">
      <w:pPr>
        <w:rPr>
          <w:rFonts w:ascii="Calibri" w:eastAsia="Times New Roman" w:hAnsi="Calibri" w:cs="Times New Roman"/>
          <w:lang w:eastAsia="pl-PL"/>
        </w:rPr>
      </w:pPr>
    </w:p>
    <w:p w:rsidR="00EE0C8C" w:rsidRPr="00EE0C8C" w:rsidRDefault="00EE0C8C" w:rsidP="00EE0C8C">
      <w:pPr>
        <w:rPr>
          <w:rFonts w:ascii="Calibri" w:eastAsia="Times New Roman" w:hAnsi="Calibri" w:cs="Times New Roman"/>
          <w:lang w:eastAsia="pl-PL"/>
        </w:rPr>
      </w:pPr>
    </w:p>
    <w:p w:rsidR="00EE0C8C" w:rsidRPr="00EE0C8C" w:rsidRDefault="00EE0C8C" w:rsidP="00EE0C8C">
      <w:pPr>
        <w:rPr>
          <w:rFonts w:ascii="Calibri" w:eastAsia="Times New Roman" w:hAnsi="Calibri" w:cs="Times New Roman"/>
          <w:lang w:eastAsia="pl-PL"/>
        </w:rPr>
      </w:pPr>
    </w:p>
    <w:p w:rsidR="00EE0C8C" w:rsidRPr="00EE0C8C" w:rsidRDefault="00EE0C8C" w:rsidP="00EE0C8C">
      <w:pPr>
        <w:rPr>
          <w:rFonts w:ascii="Calibri" w:eastAsia="Times New Roman" w:hAnsi="Calibri" w:cs="Times New Roman"/>
          <w:lang w:eastAsia="pl-PL"/>
        </w:rPr>
      </w:pPr>
    </w:p>
    <w:p w:rsidR="00EE0C8C" w:rsidRDefault="00EE0C8C" w:rsidP="00EE0C8C">
      <w:pPr>
        <w:rPr>
          <w:rFonts w:ascii="Calibri" w:eastAsia="Times New Roman" w:hAnsi="Calibri" w:cs="Times New Roman"/>
          <w:lang w:eastAsia="pl-PL"/>
        </w:rPr>
      </w:pPr>
    </w:p>
    <w:p w:rsidR="00A76BDB" w:rsidRPr="008903A4" w:rsidRDefault="008903A4" w:rsidP="008903A4">
      <w:pPr>
        <w:rPr>
          <w:lang w:eastAsia="pl-PL"/>
        </w:rPr>
        <w:sectPr w:rsidR="00A76BDB" w:rsidRPr="008903A4" w:rsidSect="00A76BDB">
          <w:headerReference w:type="default" r:id="rId30"/>
          <w:footerReference w:type="default" r:id="rId31"/>
          <w:pgSz w:w="11906" w:h="16838"/>
          <w:pgMar w:top="1417" w:right="1417" w:bottom="1417" w:left="1417" w:header="708" w:footer="708" w:gutter="0"/>
          <w:cols w:space="708"/>
          <w:docGrid w:linePitch="360"/>
        </w:sectPr>
      </w:pPr>
      <w:r>
        <w:rPr>
          <w:lang w:eastAsia="pl-PL"/>
        </w:rPr>
        <w:br w:type="page"/>
      </w:r>
    </w:p>
    <w:p w:rsidR="00EE0C8C" w:rsidRPr="005226AA" w:rsidRDefault="00EE0C8C" w:rsidP="008903A4">
      <w:pPr>
        <w:pStyle w:val="Nagwek2"/>
        <w:rPr>
          <w:rFonts w:eastAsiaTheme="majorEastAsia"/>
          <w:i/>
          <w:u w:val="single"/>
        </w:rPr>
      </w:pPr>
      <w:bookmarkStart w:id="88" w:name="_Toc450562498"/>
      <w:r w:rsidRPr="005226AA">
        <w:rPr>
          <w:rFonts w:eastAsiaTheme="majorEastAsia"/>
          <w:sz w:val="56"/>
          <w:u w:val="single"/>
        </w:rPr>
        <w:lastRenderedPageBreak/>
        <w:t>ROZDZIAŁ III</w:t>
      </w:r>
      <w:bookmarkEnd w:id="88"/>
    </w:p>
    <w:p w:rsidR="00EE0C8C" w:rsidRDefault="00EE0C8C" w:rsidP="008903A4">
      <w:pPr>
        <w:pStyle w:val="Nagwek2"/>
      </w:pPr>
      <w:bookmarkStart w:id="89" w:name="_Toc450562499"/>
      <w:r w:rsidRPr="00EE0C8C">
        <w:t>PARTYCYPACJA SPOŁECZNA I PODSUMOWANIE BADAŃ ANKIETOWYCH</w:t>
      </w:r>
      <w:bookmarkEnd w:id="89"/>
    </w:p>
    <w:p w:rsidR="00A76BDB" w:rsidRPr="00A76BDB" w:rsidRDefault="00A76BDB" w:rsidP="00A76BDB"/>
    <w:p w:rsidR="00EE0C8C" w:rsidRPr="00EE0C8C" w:rsidRDefault="00B4612A" w:rsidP="00EE0C8C">
      <w:pPr>
        <w:spacing w:before="120" w:after="0"/>
        <w:jc w:val="both"/>
        <w:rPr>
          <w:rFonts w:eastAsia="Calibri" w:cs="Times New Roman"/>
          <w:sz w:val="24"/>
          <w:lang w:eastAsia="pl-PL"/>
        </w:rPr>
      </w:pPr>
      <w:r>
        <w:rPr>
          <w:rFonts w:eastAsia="Calibri" w:cs="Times New Roman"/>
          <w:sz w:val="24"/>
          <w:lang w:eastAsia="pl-PL"/>
        </w:rPr>
        <w:t>Istnieją trzy rodzaje podejścia w tworzeniu dokumentów strategicznych (GPR)</w:t>
      </w:r>
      <w:r w:rsidR="00EE0C8C" w:rsidRPr="00EE0C8C">
        <w:rPr>
          <w:rFonts w:eastAsia="Calibri" w:cs="Times New Roman"/>
          <w:sz w:val="24"/>
          <w:lang w:eastAsia="pl-PL"/>
        </w:rPr>
        <w:t xml:space="preserve"> </w:t>
      </w:r>
      <w:r>
        <w:rPr>
          <w:rFonts w:eastAsia="Calibri" w:cs="Times New Roman"/>
          <w:sz w:val="24"/>
          <w:lang w:eastAsia="pl-PL"/>
        </w:rPr>
        <w:t xml:space="preserve">dla </w:t>
      </w:r>
      <w:r w:rsidR="00EE0C8C" w:rsidRPr="00EE0C8C">
        <w:rPr>
          <w:rFonts w:eastAsia="Calibri" w:cs="Times New Roman"/>
          <w:sz w:val="24"/>
          <w:lang w:eastAsia="pl-PL"/>
        </w:rPr>
        <w:t>samorządów terytorialnych, w tym:</w:t>
      </w:r>
    </w:p>
    <w:p w:rsidR="00EE0C8C" w:rsidRPr="00EE0C8C" w:rsidRDefault="00EE0C8C" w:rsidP="00EE0C8C">
      <w:pPr>
        <w:spacing w:before="120" w:after="0"/>
        <w:jc w:val="both"/>
        <w:rPr>
          <w:rFonts w:eastAsia="Calibri" w:cs="Times New Roman"/>
          <w:sz w:val="24"/>
          <w:lang w:eastAsia="pl-PL"/>
        </w:rPr>
      </w:pPr>
      <w:r w:rsidRPr="00EE0C8C">
        <w:rPr>
          <w:rFonts w:eastAsia="Calibri" w:cs="Times New Roman"/>
          <w:sz w:val="24"/>
          <w:lang w:eastAsia="pl-PL"/>
        </w:rPr>
        <w:t>1) podejście eksperckie,</w:t>
      </w:r>
    </w:p>
    <w:p w:rsidR="00EE0C8C" w:rsidRPr="00EE0C8C" w:rsidRDefault="00EE0C8C" w:rsidP="00EE0C8C">
      <w:pPr>
        <w:spacing w:before="120" w:after="0"/>
        <w:jc w:val="both"/>
        <w:rPr>
          <w:rFonts w:eastAsia="Calibri" w:cs="Times New Roman"/>
          <w:sz w:val="24"/>
          <w:lang w:eastAsia="pl-PL"/>
        </w:rPr>
      </w:pPr>
      <w:r w:rsidRPr="00EE0C8C">
        <w:rPr>
          <w:rFonts w:eastAsia="Calibri" w:cs="Times New Roman"/>
          <w:sz w:val="24"/>
          <w:lang w:eastAsia="pl-PL"/>
        </w:rPr>
        <w:t>2) podejście społeczne,</w:t>
      </w:r>
    </w:p>
    <w:p w:rsidR="00EE0C8C" w:rsidRPr="00EE0C8C" w:rsidRDefault="00EE0C8C" w:rsidP="00EE0C8C">
      <w:pPr>
        <w:spacing w:before="120" w:after="0"/>
        <w:jc w:val="both"/>
        <w:rPr>
          <w:rFonts w:eastAsia="Calibri" w:cs="Times New Roman"/>
          <w:sz w:val="24"/>
          <w:lang w:eastAsia="pl-PL"/>
        </w:rPr>
      </w:pPr>
      <w:r w:rsidRPr="00EE0C8C">
        <w:rPr>
          <w:rFonts w:eastAsia="Calibri" w:cs="Times New Roman"/>
          <w:sz w:val="24"/>
          <w:lang w:eastAsia="pl-PL"/>
        </w:rPr>
        <w:t>3) podejście partycypacyjne.</w:t>
      </w:r>
    </w:p>
    <w:p w:rsidR="00EE0C8C" w:rsidRPr="00EE0C8C" w:rsidRDefault="00EE0C8C" w:rsidP="00EE0C8C">
      <w:pPr>
        <w:spacing w:before="120" w:after="0"/>
        <w:jc w:val="both"/>
        <w:rPr>
          <w:rFonts w:eastAsia="Calibri" w:cs="Times New Roman"/>
          <w:b/>
          <w:sz w:val="24"/>
          <w:lang w:eastAsia="pl-PL"/>
        </w:rPr>
      </w:pPr>
    </w:p>
    <w:p w:rsidR="00EE0C8C" w:rsidRPr="00EE0C8C" w:rsidRDefault="00EE0C8C" w:rsidP="00EE0C8C">
      <w:pPr>
        <w:spacing w:before="120" w:after="0"/>
        <w:jc w:val="both"/>
        <w:rPr>
          <w:rFonts w:eastAsia="Calibri" w:cs="Times New Roman"/>
          <w:b/>
          <w:sz w:val="24"/>
          <w:lang w:eastAsia="pl-PL"/>
        </w:rPr>
      </w:pPr>
      <w:r w:rsidRPr="00EE0C8C">
        <w:rPr>
          <w:rFonts w:eastAsia="Calibri" w:cs="Times New Roman"/>
          <w:b/>
          <w:sz w:val="24"/>
          <w:lang w:eastAsia="pl-PL"/>
        </w:rPr>
        <w:t>1) Podejście eksperckie</w:t>
      </w:r>
    </w:p>
    <w:p w:rsidR="00EE0C8C" w:rsidRPr="00EE0C8C" w:rsidRDefault="00EE0C8C" w:rsidP="00EE0C8C">
      <w:pPr>
        <w:spacing w:before="120" w:after="0"/>
        <w:jc w:val="both"/>
        <w:rPr>
          <w:rFonts w:eastAsia="Calibri" w:cs="Times New Roman"/>
          <w:sz w:val="24"/>
          <w:lang w:eastAsia="pl-PL"/>
        </w:rPr>
      </w:pPr>
      <w:r w:rsidRPr="00EE0C8C">
        <w:rPr>
          <w:rFonts w:eastAsia="Calibri" w:cs="Times New Roman"/>
          <w:sz w:val="24"/>
          <w:lang w:eastAsia="pl-PL"/>
        </w:rPr>
        <w:t>Według S. R. Kłosowskiego i J. Adamskiego z LGPP "wady strategii lub innych dokumentów lokalnych, tworzonych przez konsultantów zewnętrznych polegają na:</w:t>
      </w:r>
    </w:p>
    <w:p w:rsidR="00EE0C8C" w:rsidRPr="00EE0C8C" w:rsidRDefault="00EE0C8C" w:rsidP="00DC61B1">
      <w:pPr>
        <w:numPr>
          <w:ilvl w:val="0"/>
          <w:numId w:val="32"/>
        </w:numPr>
        <w:spacing w:before="120" w:after="0"/>
        <w:contextualSpacing/>
        <w:jc w:val="both"/>
        <w:rPr>
          <w:rFonts w:eastAsia="Calibri" w:cs="Times New Roman"/>
          <w:sz w:val="24"/>
          <w:lang w:eastAsia="pl-PL"/>
        </w:rPr>
      </w:pPr>
      <w:r w:rsidRPr="00EE0C8C">
        <w:rPr>
          <w:rFonts w:eastAsia="Calibri" w:cs="Times New Roman"/>
          <w:sz w:val="24"/>
          <w:lang w:eastAsia="pl-PL"/>
        </w:rPr>
        <w:t xml:space="preserve">akademickim, ściśle naukowym, hermetycznym traktowaniu strategii, oderwanym                   od rzeczywistych problemów gminy; </w:t>
      </w:r>
    </w:p>
    <w:p w:rsidR="00EE0C8C" w:rsidRPr="00EE0C8C" w:rsidRDefault="00EE0C8C" w:rsidP="00DC61B1">
      <w:pPr>
        <w:numPr>
          <w:ilvl w:val="0"/>
          <w:numId w:val="32"/>
        </w:numPr>
        <w:spacing w:before="120" w:after="0"/>
        <w:contextualSpacing/>
        <w:jc w:val="both"/>
        <w:rPr>
          <w:rFonts w:eastAsia="Calibri" w:cs="Times New Roman"/>
          <w:sz w:val="24"/>
          <w:lang w:eastAsia="pl-PL"/>
        </w:rPr>
      </w:pPr>
      <w:r w:rsidRPr="00EE0C8C">
        <w:rPr>
          <w:rFonts w:eastAsia="Calibri" w:cs="Times New Roman"/>
          <w:sz w:val="24"/>
          <w:lang w:eastAsia="pl-PL"/>
        </w:rPr>
        <w:t>niezrozumiałym, technicznym języku opracowania;</w:t>
      </w:r>
    </w:p>
    <w:p w:rsidR="00EE0C8C" w:rsidRPr="00EE0C8C" w:rsidRDefault="00EE0C8C" w:rsidP="00DC61B1">
      <w:pPr>
        <w:numPr>
          <w:ilvl w:val="0"/>
          <w:numId w:val="32"/>
        </w:numPr>
        <w:spacing w:before="120" w:after="0"/>
        <w:contextualSpacing/>
        <w:jc w:val="both"/>
        <w:rPr>
          <w:rFonts w:eastAsia="Calibri" w:cs="Times New Roman"/>
          <w:sz w:val="24"/>
          <w:lang w:eastAsia="pl-PL"/>
        </w:rPr>
      </w:pPr>
      <w:r w:rsidRPr="00EE0C8C">
        <w:rPr>
          <w:rFonts w:eastAsia="Calibri" w:cs="Times New Roman"/>
          <w:sz w:val="24"/>
          <w:lang w:eastAsia="pl-PL"/>
        </w:rPr>
        <w:t xml:space="preserve">stosowaniu skomplikowanych, nieczytelnych, nieklarownych opisów przedsięwzięć lub procesów; </w:t>
      </w:r>
    </w:p>
    <w:p w:rsidR="00EE0C8C" w:rsidRPr="00EE0C8C" w:rsidRDefault="00EE0C8C" w:rsidP="00DC61B1">
      <w:pPr>
        <w:numPr>
          <w:ilvl w:val="0"/>
          <w:numId w:val="32"/>
        </w:numPr>
        <w:spacing w:before="120" w:after="0"/>
        <w:contextualSpacing/>
        <w:jc w:val="both"/>
        <w:rPr>
          <w:rFonts w:eastAsia="Calibri" w:cs="Times New Roman"/>
          <w:sz w:val="24"/>
          <w:lang w:eastAsia="pl-PL"/>
        </w:rPr>
      </w:pPr>
      <w:r w:rsidRPr="00EE0C8C">
        <w:rPr>
          <w:rFonts w:eastAsia="Calibri" w:cs="Times New Roman"/>
          <w:sz w:val="24"/>
          <w:lang w:eastAsia="pl-PL"/>
        </w:rPr>
        <w:t xml:space="preserve">trudnościach z porozumieniem się z lokalną społecznością; </w:t>
      </w:r>
    </w:p>
    <w:p w:rsidR="00EE0C8C" w:rsidRPr="00EE0C8C" w:rsidRDefault="00EE0C8C" w:rsidP="00DC61B1">
      <w:pPr>
        <w:numPr>
          <w:ilvl w:val="0"/>
          <w:numId w:val="32"/>
        </w:numPr>
        <w:spacing w:before="120" w:after="0"/>
        <w:contextualSpacing/>
        <w:jc w:val="both"/>
        <w:rPr>
          <w:rFonts w:eastAsia="Calibri" w:cs="Times New Roman"/>
          <w:sz w:val="24"/>
          <w:lang w:eastAsia="pl-PL"/>
        </w:rPr>
      </w:pPr>
      <w:r w:rsidRPr="00EE0C8C">
        <w:rPr>
          <w:rFonts w:eastAsia="Calibri" w:cs="Times New Roman"/>
          <w:sz w:val="24"/>
          <w:lang w:eastAsia="pl-PL"/>
        </w:rPr>
        <w:t xml:space="preserve">trudnościach z przekonaniem mieszkańców do celów Strategii, braku ich utożsamiania się z celami Strategii, braku powiązania celów Strategii z planami </w:t>
      </w:r>
      <w:r w:rsidR="000D717F">
        <w:rPr>
          <w:rFonts w:eastAsia="Calibri" w:cs="Times New Roman"/>
          <w:sz w:val="24"/>
          <w:lang w:eastAsia="pl-PL"/>
        </w:rPr>
        <w:br/>
      </w:r>
      <w:r w:rsidRPr="00EE0C8C">
        <w:rPr>
          <w:rFonts w:eastAsia="Calibri" w:cs="Times New Roman"/>
          <w:sz w:val="24"/>
          <w:lang w:eastAsia="pl-PL"/>
        </w:rPr>
        <w:t>i oczekiwaniami społeczności lokalnej”.</w:t>
      </w:r>
    </w:p>
    <w:p w:rsidR="00EE0C8C" w:rsidRPr="00EE0C8C" w:rsidRDefault="00EE0C8C" w:rsidP="00EE0C8C">
      <w:pPr>
        <w:spacing w:before="120" w:after="0"/>
        <w:jc w:val="both"/>
        <w:rPr>
          <w:rFonts w:eastAsia="Calibri" w:cs="Times New Roman"/>
          <w:b/>
          <w:sz w:val="24"/>
          <w:lang w:eastAsia="pl-PL"/>
        </w:rPr>
      </w:pPr>
    </w:p>
    <w:p w:rsidR="00EE0C8C" w:rsidRPr="00EE0C8C" w:rsidRDefault="00EE0C8C" w:rsidP="00EE0C8C">
      <w:pPr>
        <w:spacing w:before="120" w:after="0"/>
        <w:jc w:val="both"/>
        <w:rPr>
          <w:rFonts w:eastAsia="Calibri" w:cs="Times New Roman"/>
          <w:sz w:val="24"/>
          <w:lang w:eastAsia="pl-PL"/>
        </w:rPr>
      </w:pPr>
      <w:r w:rsidRPr="00EE0C8C">
        <w:rPr>
          <w:rFonts w:eastAsia="Calibri" w:cs="Times New Roman"/>
          <w:b/>
          <w:sz w:val="24"/>
          <w:lang w:eastAsia="pl-PL"/>
        </w:rPr>
        <w:t>2) Podejście społeczne</w:t>
      </w:r>
    </w:p>
    <w:p w:rsidR="00EE0C8C" w:rsidRPr="00EE0C8C" w:rsidRDefault="00EE0C8C" w:rsidP="00EE0C8C">
      <w:pPr>
        <w:spacing w:before="120" w:after="0"/>
        <w:jc w:val="both"/>
        <w:rPr>
          <w:rFonts w:eastAsia="Calibri" w:cs="Times New Roman"/>
          <w:sz w:val="24"/>
          <w:lang w:eastAsia="pl-PL"/>
        </w:rPr>
      </w:pPr>
      <w:r w:rsidRPr="00EE0C8C">
        <w:rPr>
          <w:rFonts w:eastAsia="Calibri" w:cs="Times New Roman"/>
          <w:sz w:val="24"/>
          <w:lang w:eastAsia="pl-PL"/>
        </w:rPr>
        <w:t>W metodach współdziałania strategicznego tworzenie partnerstwa na poziomie gminy jest podstawowym wskazaniem. Możemy w tej grupie wyróżnić kilka rodzajów podejść:</w:t>
      </w:r>
    </w:p>
    <w:p w:rsidR="00EE0C8C" w:rsidRPr="00EE0C8C" w:rsidRDefault="00EE0C8C" w:rsidP="00EE0C8C">
      <w:pPr>
        <w:spacing w:before="120" w:after="0"/>
        <w:jc w:val="both"/>
        <w:rPr>
          <w:rFonts w:eastAsia="Calibri" w:cs="Times New Roman"/>
          <w:sz w:val="24"/>
          <w:lang w:eastAsia="pl-PL"/>
        </w:rPr>
      </w:pPr>
      <w:r w:rsidRPr="00EE0C8C">
        <w:rPr>
          <w:rFonts w:eastAsia="Calibri" w:cs="Times New Roman"/>
          <w:sz w:val="24"/>
          <w:lang w:eastAsia="pl-PL"/>
        </w:rPr>
        <w:t>1) Budowanie przedsięwzięć gminnych.</w:t>
      </w:r>
    </w:p>
    <w:p w:rsidR="00EE0C8C" w:rsidRPr="00EE0C8C" w:rsidRDefault="00EE0C8C" w:rsidP="00EE0C8C">
      <w:pPr>
        <w:spacing w:before="120" w:after="0"/>
        <w:jc w:val="both"/>
        <w:rPr>
          <w:rFonts w:eastAsia="Calibri" w:cs="Times New Roman"/>
          <w:sz w:val="24"/>
          <w:lang w:eastAsia="pl-PL"/>
        </w:rPr>
      </w:pPr>
      <w:r w:rsidRPr="00EE0C8C">
        <w:rPr>
          <w:rFonts w:eastAsia="Calibri" w:cs="Times New Roman"/>
          <w:sz w:val="24"/>
          <w:lang w:eastAsia="pl-PL"/>
        </w:rPr>
        <w:t>2) Budowanie instytucji gminnych.</w:t>
      </w:r>
    </w:p>
    <w:p w:rsidR="00EE0C8C" w:rsidRPr="00EE0C8C" w:rsidRDefault="00EE0C8C" w:rsidP="00EE0C8C">
      <w:pPr>
        <w:spacing w:before="120" w:after="0"/>
        <w:jc w:val="both"/>
        <w:rPr>
          <w:rFonts w:eastAsia="Calibri" w:cs="Times New Roman"/>
          <w:sz w:val="24"/>
          <w:lang w:eastAsia="pl-PL"/>
        </w:rPr>
      </w:pPr>
      <w:r w:rsidRPr="00EE0C8C">
        <w:rPr>
          <w:rFonts w:eastAsia="Calibri" w:cs="Times New Roman"/>
          <w:sz w:val="24"/>
          <w:lang w:eastAsia="pl-PL"/>
        </w:rPr>
        <w:t>3) Tworzenie zachowań kulturowych.</w:t>
      </w:r>
    </w:p>
    <w:p w:rsidR="00EE0C8C" w:rsidRPr="00EE0C8C" w:rsidRDefault="00EE0C8C" w:rsidP="00EE0C8C">
      <w:pPr>
        <w:spacing w:before="120" w:after="0"/>
        <w:jc w:val="both"/>
        <w:rPr>
          <w:rFonts w:eastAsia="Calibri" w:cs="Times New Roman"/>
          <w:sz w:val="24"/>
          <w:lang w:eastAsia="pl-PL"/>
        </w:rPr>
      </w:pPr>
      <w:r w:rsidRPr="00EE0C8C">
        <w:rPr>
          <w:rFonts w:eastAsia="Calibri" w:cs="Times New Roman"/>
          <w:sz w:val="24"/>
          <w:lang w:eastAsia="pl-PL"/>
        </w:rPr>
        <w:t>S.R. Kłosowski i J. Adamski z LGPP dostrzegają liczne wady Społecznych Strategii lub innych dokumentów lokalnych, tworzonych przez lokalnych liderów.</w:t>
      </w:r>
    </w:p>
    <w:p w:rsidR="00EE0C8C" w:rsidRPr="00EE0C8C" w:rsidRDefault="00EE0C8C" w:rsidP="00EE0C8C">
      <w:pPr>
        <w:spacing w:before="120" w:after="0"/>
        <w:jc w:val="both"/>
        <w:rPr>
          <w:rFonts w:eastAsia="Calibri" w:cs="Times New Roman"/>
          <w:sz w:val="24"/>
          <w:lang w:eastAsia="pl-PL"/>
        </w:rPr>
      </w:pPr>
      <w:r w:rsidRPr="00EE0C8C">
        <w:rPr>
          <w:rFonts w:eastAsia="Calibri" w:cs="Times New Roman"/>
          <w:sz w:val="24"/>
          <w:lang w:eastAsia="pl-PL"/>
        </w:rPr>
        <w:t>„Wady dokumentów lokalnych sporządzonych wyłącznie przez społeczność lokalną:</w:t>
      </w:r>
    </w:p>
    <w:p w:rsidR="00EE0C8C" w:rsidRPr="00EE0C8C" w:rsidRDefault="00EE0C8C" w:rsidP="00DC61B1">
      <w:pPr>
        <w:numPr>
          <w:ilvl w:val="0"/>
          <w:numId w:val="33"/>
        </w:numPr>
        <w:spacing w:before="120" w:after="0"/>
        <w:contextualSpacing/>
        <w:jc w:val="both"/>
        <w:rPr>
          <w:rFonts w:eastAsia="Calibri" w:cs="Times New Roman"/>
          <w:sz w:val="24"/>
          <w:szCs w:val="24"/>
          <w:lang w:eastAsia="pl-PL"/>
        </w:rPr>
      </w:pPr>
      <w:r w:rsidRPr="00EE0C8C">
        <w:rPr>
          <w:rFonts w:eastAsia="Calibri" w:cs="Times New Roman"/>
          <w:sz w:val="24"/>
          <w:szCs w:val="24"/>
          <w:lang w:eastAsia="pl-PL"/>
        </w:rPr>
        <w:t xml:space="preserve">brak możliwości skonfrontowania założeń dokumentu z doświadczeniem innych samorządów w celu uniknięcia popełnionych przez nich błędów lub skorzystania             </w:t>
      </w:r>
      <w:r w:rsidRPr="00EE0C8C">
        <w:rPr>
          <w:rFonts w:eastAsia="Calibri" w:cs="Times New Roman"/>
          <w:sz w:val="24"/>
          <w:szCs w:val="24"/>
          <w:lang w:eastAsia="pl-PL"/>
        </w:rPr>
        <w:lastRenderedPageBreak/>
        <w:t xml:space="preserve">z gotowych doświadczeń; konsultanci mają pełną lub przekrojowo zanalizowaną wiedzę na ten temat; </w:t>
      </w:r>
    </w:p>
    <w:p w:rsidR="00EE0C8C" w:rsidRPr="00EE0C8C" w:rsidRDefault="00EE0C8C" w:rsidP="00DC61B1">
      <w:pPr>
        <w:numPr>
          <w:ilvl w:val="0"/>
          <w:numId w:val="33"/>
        </w:numPr>
        <w:spacing w:before="120" w:after="0"/>
        <w:contextualSpacing/>
        <w:jc w:val="both"/>
        <w:rPr>
          <w:rFonts w:eastAsia="Calibri" w:cs="Times New Roman"/>
          <w:sz w:val="24"/>
          <w:szCs w:val="24"/>
          <w:lang w:eastAsia="pl-PL"/>
        </w:rPr>
      </w:pPr>
      <w:r w:rsidRPr="00EE0C8C">
        <w:rPr>
          <w:rFonts w:eastAsia="Calibri" w:cs="Times New Roman"/>
          <w:sz w:val="24"/>
          <w:szCs w:val="24"/>
          <w:lang w:eastAsia="pl-PL"/>
        </w:rPr>
        <w:t xml:space="preserve">brak profesjonalnych narzędzi prawnych, finansowych i technicznych opisujących rzeczywistość i wizję przyszłości, np. formułowania nowych struktur organizacyjnych, redakcji dokumentów, sporządzania bilansów i wieloletnich analiz finansowych; </w:t>
      </w:r>
    </w:p>
    <w:p w:rsidR="00EE0C8C" w:rsidRPr="00EE0C8C" w:rsidRDefault="00EE0C8C" w:rsidP="00DC61B1">
      <w:pPr>
        <w:numPr>
          <w:ilvl w:val="0"/>
          <w:numId w:val="33"/>
        </w:numPr>
        <w:spacing w:before="120" w:after="0"/>
        <w:contextualSpacing/>
        <w:jc w:val="both"/>
        <w:rPr>
          <w:rFonts w:eastAsia="Calibri" w:cs="Times New Roman"/>
          <w:sz w:val="24"/>
          <w:szCs w:val="24"/>
          <w:lang w:eastAsia="pl-PL"/>
        </w:rPr>
      </w:pPr>
      <w:r w:rsidRPr="00EE0C8C">
        <w:rPr>
          <w:rFonts w:eastAsia="Calibri" w:cs="Times New Roman"/>
          <w:sz w:val="24"/>
          <w:szCs w:val="24"/>
          <w:lang w:eastAsia="pl-PL"/>
        </w:rPr>
        <w:t xml:space="preserve">brak rzeczowych, obiektywnych, profesjonalnych opracowań z pełnią argumentów           za i przeciw, z chłodną kalkulacją korzyści i strat; </w:t>
      </w:r>
    </w:p>
    <w:p w:rsidR="00EE0C8C" w:rsidRPr="00EE0C8C" w:rsidRDefault="00EE0C8C" w:rsidP="00DC61B1">
      <w:pPr>
        <w:numPr>
          <w:ilvl w:val="0"/>
          <w:numId w:val="33"/>
        </w:numPr>
        <w:spacing w:before="120" w:after="0"/>
        <w:contextualSpacing/>
        <w:jc w:val="both"/>
        <w:rPr>
          <w:rFonts w:eastAsia="Calibri" w:cs="Times New Roman"/>
          <w:sz w:val="24"/>
          <w:szCs w:val="24"/>
          <w:lang w:eastAsia="pl-PL"/>
        </w:rPr>
      </w:pPr>
      <w:r w:rsidRPr="00EE0C8C">
        <w:rPr>
          <w:rFonts w:eastAsia="Calibri" w:cs="Times New Roman"/>
          <w:sz w:val="24"/>
          <w:szCs w:val="24"/>
          <w:lang w:eastAsia="pl-PL"/>
        </w:rPr>
        <w:t xml:space="preserve">niebezpieczeństwo stworzenia żywiołowego, chaotycznego dokumentu </w:t>
      </w:r>
      <w:r w:rsidRPr="00EE0C8C">
        <w:rPr>
          <w:rFonts w:eastAsia="Calibri" w:cs="Times New Roman"/>
          <w:sz w:val="24"/>
          <w:szCs w:val="24"/>
          <w:lang w:eastAsia="pl-PL"/>
        </w:rPr>
        <w:br/>
        <w:t xml:space="preserve">o wzajemnie wykluczających się celach szczegółowych; </w:t>
      </w:r>
    </w:p>
    <w:p w:rsidR="00EE0C8C" w:rsidRPr="00EE0C8C" w:rsidRDefault="00EE0C8C" w:rsidP="00DC61B1">
      <w:pPr>
        <w:numPr>
          <w:ilvl w:val="0"/>
          <w:numId w:val="33"/>
        </w:numPr>
        <w:spacing w:before="120" w:after="0"/>
        <w:contextualSpacing/>
        <w:jc w:val="both"/>
        <w:rPr>
          <w:rFonts w:eastAsia="Calibri" w:cs="Times New Roman"/>
          <w:sz w:val="24"/>
          <w:szCs w:val="24"/>
          <w:lang w:eastAsia="pl-PL"/>
        </w:rPr>
      </w:pPr>
      <w:r w:rsidRPr="00EE0C8C">
        <w:rPr>
          <w:rFonts w:eastAsia="Calibri" w:cs="Times New Roman"/>
          <w:sz w:val="24"/>
          <w:szCs w:val="24"/>
          <w:lang w:eastAsia="pl-PL"/>
        </w:rPr>
        <w:t>brak znajomości zjawisk, procesów i trendów dotyczących środowiska gospodarczego i politycznego w skali wojewódzkiej, krajowej i światowej, które mogą wpływać na podjęcie pewnych programów rozwojowych lub zaniechanie ich opracowywania  i stosowania”.</w:t>
      </w:r>
    </w:p>
    <w:p w:rsidR="00EE0C8C" w:rsidRPr="00EE0C8C" w:rsidRDefault="00EE0C8C" w:rsidP="00EE0C8C">
      <w:pPr>
        <w:spacing w:before="120" w:after="0"/>
        <w:ind w:left="720"/>
        <w:contextualSpacing/>
        <w:jc w:val="both"/>
        <w:rPr>
          <w:rFonts w:eastAsia="Calibri" w:cs="Times New Roman"/>
          <w:sz w:val="24"/>
          <w:lang w:eastAsia="pl-PL"/>
        </w:rPr>
      </w:pPr>
    </w:p>
    <w:p w:rsidR="00EE0C8C" w:rsidRPr="00EE0C8C" w:rsidRDefault="00EE0C8C" w:rsidP="00EE0C8C">
      <w:pPr>
        <w:spacing w:before="120" w:after="0"/>
        <w:jc w:val="both"/>
        <w:rPr>
          <w:rFonts w:eastAsia="Calibri" w:cs="Times New Roman"/>
          <w:b/>
          <w:sz w:val="24"/>
          <w:lang w:eastAsia="pl-PL"/>
        </w:rPr>
      </w:pPr>
      <w:r w:rsidRPr="00EE0C8C">
        <w:rPr>
          <w:rFonts w:eastAsia="Calibri" w:cs="Times New Roman"/>
          <w:b/>
          <w:sz w:val="24"/>
          <w:lang w:eastAsia="pl-PL"/>
        </w:rPr>
        <w:t>3) Podejście partycypacyjne</w:t>
      </w:r>
    </w:p>
    <w:p w:rsidR="00EE0C8C" w:rsidRPr="00EE0C8C" w:rsidRDefault="00EE0C8C" w:rsidP="00EE0C8C">
      <w:pPr>
        <w:spacing w:before="120" w:after="0"/>
        <w:jc w:val="both"/>
        <w:rPr>
          <w:rFonts w:eastAsia="Calibri" w:cs="Times New Roman"/>
          <w:sz w:val="24"/>
          <w:lang w:eastAsia="pl-PL"/>
        </w:rPr>
      </w:pPr>
      <w:r w:rsidRPr="00EE0C8C">
        <w:rPr>
          <w:rFonts w:eastAsia="Calibri" w:cs="Times New Roman"/>
          <w:sz w:val="24"/>
          <w:lang w:eastAsia="pl-PL"/>
        </w:rPr>
        <w:t>Metody zintegrowane, zawierają analizę SWOT oraz analizę systemową, lecz również podejmują próbę integracji w całość zależności informacyjnych.</w:t>
      </w:r>
    </w:p>
    <w:p w:rsidR="00EE0C8C" w:rsidRPr="00EE0C8C" w:rsidRDefault="00EE0C8C" w:rsidP="00EE0C8C">
      <w:pPr>
        <w:spacing w:before="120" w:after="0"/>
        <w:jc w:val="both"/>
        <w:rPr>
          <w:rFonts w:eastAsia="Calibri" w:cs="Times New Roman"/>
          <w:sz w:val="24"/>
          <w:lang w:eastAsia="pl-PL"/>
        </w:rPr>
      </w:pPr>
      <w:r w:rsidRPr="00EE0C8C">
        <w:rPr>
          <w:rFonts w:eastAsia="Calibri" w:cs="Times New Roman"/>
          <w:sz w:val="24"/>
          <w:lang w:eastAsia="pl-PL"/>
        </w:rPr>
        <w:t>Podejście eksperckie powinno być połączone z podejściem społecznym. Takie rozwiązanie będziemy nazywać podejściem partycypacyjnym.</w:t>
      </w:r>
    </w:p>
    <w:p w:rsidR="00EE0C8C" w:rsidRPr="00EE0C8C" w:rsidRDefault="00EE0C8C" w:rsidP="00EE0C8C">
      <w:pPr>
        <w:spacing w:before="120" w:after="0"/>
        <w:jc w:val="both"/>
        <w:rPr>
          <w:rFonts w:eastAsia="Calibri" w:cs="Times New Roman"/>
          <w:sz w:val="24"/>
          <w:lang w:eastAsia="pl-PL"/>
        </w:rPr>
      </w:pPr>
      <w:r w:rsidRPr="00EE0C8C">
        <w:rPr>
          <w:rFonts w:eastAsia="Calibri" w:cs="Times New Roman"/>
          <w:sz w:val="24"/>
          <w:lang w:eastAsia="pl-PL"/>
        </w:rPr>
        <w:t>Spośród wielu atutów tego podejścia można wymienić jako najważniejsze:</w:t>
      </w:r>
    </w:p>
    <w:p w:rsidR="00EE0C8C" w:rsidRPr="00EE0C8C" w:rsidRDefault="00EE0C8C" w:rsidP="00EE0C8C">
      <w:pPr>
        <w:spacing w:before="120" w:after="0"/>
        <w:jc w:val="both"/>
        <w:rPr>
          <w:rFonts w:eastAsia="Calibri" w:cs="Times New Roman"/>
          <w:sz w:val="24"/>
          <w:lang w:eastAsia="pl-PL"/>
        </w:rPr>
      </w:pPr>
      <w:r w:rsidRPr="00EE0C8C">
        <w:rPr>
          <w:rFonts w:eastAsia="Calibri" w:cs="Times New Roman"/>
          <w:sz w:val="24"/>
          <w:lang w:eastAsia="pl-PL"/>
        </w:rPr>
        <w:t>1.</w:t>
      </w:r>
      <w:r w:rsidRPr="00EE0C8C">
        <w:rPr>
          <w:rFonts w:eastAsia="Calibri" w:cs="Times New Roman"/>
          <w:sz w:val="24"/>
          <w:lang w:eastAsia="pl-PL"/>
        </w:rPr>
        <w:tab/>
        <w:t xml:space="preserve">Przekazywanie profesjonalnej wiedzy przez ekspertów. </w:t>
      </w:r>
    </w:p>
    <w:p w:rsidR="00EE0C8C" w:rsidRPr="00EE0C8C" w:rsidRDefault="00EE0C8C" w:rsidP="00EE0C8C">
      <w:pPr>
        <w:spacing w:before="120" w:after="0"/>
        <w:jc w:val="both"/>
        <w:rPr>
          <w:rFonts w:eastAsia="Calibri" w:cs="Times New Roman"/>
          <w:sz w:val="24"/>
          <w:lang w:eastAsia="pl-PL"/>
        </w:rPr>
      </w:pPr>
      <w:r w:rsidRPr="00EE0C8C">
        <w:rPr>
          <w:rFonts w:eastAsia="Calibri" w:cs="Times New Roman"/>
          <w:sz w:val="24"/>
          <w:lang w:eastAsia="pl-PL"/>
        </w:rPr>
        <w:t>2.</w:t>
      </w:r>
      <w:r w:rsidRPr="00EE0C8C">
        <w:rPr>
          <w:rFonts w:eastAsia="Calibri" w:cs="Times New Roman"/>
          <w:sz w:val="24"/>
          <w:lang w:eastAsia="pl-PL"/>
        </w:rPr>
        <w:tab/>
        <w:t>Wysoką akceptację społeczną dokumentu.</w:t>
      </w:r>
    </w:p>
    <w:p w:rsidR="00EE0C8C" w:rsidRPr="00EE0C8C" w:rsidRDefault="00EE0C8C" w:rsidP="00EE0C8C">
      <w:pPr>
        <w:spacing w:before="120" w:after="0"/>
        <w:jc w:val="both"/>
        <w:rPr>
          <w:rFonts w:eastAsia="Calibri" w:cs="Times New Roman"/>
          <w:sz w:val="24"/>
          <w:lang w:eastAsia="pl-PL"/>
        </w:rPr>
      </w:pPr>
      <w:r w:rsidRPr="00EE0C8C">
        <w:rPr>
          <w:rFonts w:eastAsia="Calibri" w:cs="Times New Roman"/>
          <w:sz w:val="24"/>
          <w:lang w:eastAsia="pl-PL"/>
        </w:rPr>
        <w:t>3.</w:t>
      </w:r>
      <w:r w:rsidRPr="00EE0C8C">
        <w:rPr>
          <w:rFonts w:eastAsia="Calibri" w:cs="Times New Roman"/>
          <w:sz w:val="24"/>
          <w:lang w:eastAsia="pl-PL"/>
        </w:rPr>
        <w:tab/>
        <w:t xml:space="preserve">Zwiększenie wiary obywateli w przyszłość. </w:t>
      </w:r>
    </w:p>
    <w:p w:rsidR="00EE0C8C" w:rsidRPr="00EE0C8C" w:rsidRDefault="00EE0C8C" w:rsidP="00EE0C8C">
      <w:pPr>
        <w:spacing w:before="120" w:after="0"/>
        <w:jc w:val="both"/>
        <w:rPr>
          <w:rFonts w:eastAsia="Calibri" w:cs="Times New Roman"/>
          <w:sz w:val="24"/>
          <w:lang w:eastAsia="pl-PL"/>
        </w:rPr>
      </w:pPr>
      <w:r w:rsidRPr="00EE0C8C">
        <w:rPr>
          <w:rFonts w:eastAsia="Calibri" w:cs="Times New Roman"/>
          <w:sz w:val="24"/>
          <w:lang w:eastAsia="pl-PL"/>
        </w:rPr>
        <w:t>4.</w:t>
      </w:r>
      <w:r w:rsidRPr="00EE0C8C">
        <w:rPr>
          <w:rFonts w:eastAsia="Calibri" w:cs="Times New Roman"/>
          <w:sz w:val="24"/>
          <w:lang w:eastAsia="pl-PL"/>
        </w:rPr>
        <w:tab/>
        <w:t>Zaangażowanie przedsiębiorców.</w:t>
      </w:r>
    </w:p>
    <w:p w:rsidR="00EE0C8C" w:rsidRPr="00EE0C8C" w:rsidRDefault="00EE0C8C" w:rsidP="00EE0C8C">
      <w:pPr>
        <w:spacing w:before="120" w:after="0"/>
        <w:jc w:val="both"/>
        <w:rPr>
          <w:rFonts w:eastAsia="Calibri" w:cs="Times New Roman"/>
          <w:sz w:val="24"/>
          <w:lang w:eastAsia="pl-PL"/>
        </w:rPr>
      </w:pPr>
      <w:r w:rsidRPr="00EE0C8C">
        <w:rPr>
          <w:rFonts w:eastAsia="Calibri" w:cs="Times New Roman"/>
          <w:sz w:val="24"/>
          <w:lang w:eastAsia="pl-PL"/>
        </w:rPr>
        <w:t>Lokalny rozwój jest rezultatem współpracy sektora publicznego i prywatnego.</w:t>
      </w:r>
    </w:p>
    <w:p w:rsidR="00EE0C8C" w:rsidRPr="00EE0C8C" w:rsidRDefault="00EE0C8C" w:rsidP="00EE0C8C">
      <w:pPr>
        <w:spacing w:before="120" w:after="0"/>
        <w:jc w:val="both"/>
        <w:rPr>
          <w:rFonts w:eastAsia="Calibri" w:cs="Times New Roman"/>
          <w:sz w:val="24"/>
          <w:lang w:eastAsia="pl-PL"/>
        </w:rPr>
      </w:pPr>
      <w:r w:rsidRPr="00EE0C8C">
        <w:rPr>
          <w:rFonts w:eastAsia="Calibri" w:cs="Times New Roman"/>
          <w:sz w:val="24"/>
          <w:lang w:eastAsia="pl-PL"/>
        </w:rPr>
        <w:t xml:space="preserve">W podejściu partycypacyjnym ujawnia się podstawowy dylemat zarządzania strategicznego. Informacje i decyzje zastrzeżone dla najwyższego poziomu kierowania muszą być maksymalnie uspołecznione. Rzutuje to na efektywność procesu decyzyjnego, a z drugiej strony stymuluje zjawisko krystalizowania się szerokiej grupy wspierającej Strategię. </w:t>
      </w:r>
    </w:p>
    <w:p w:rsidR="00EE0C8C" w:rsidRPr="00EE0C8C" w:rsidRDefault="00EE0C8C" w:rsidP="00EE0C8C">
      <w:pPr>
        <w:spacing w:before="120" w:after="0"/>
        <w:jc w:val="both"/>
        <w:rPr>
          <w:rFonts w:eastAsia="Calibri" w:cs="Times New Roman"/>
          <w:sz w:val="24"/>
          <w:lang w:eastAsia="pl-PL"/>
        </w:rPr>
      </w:pPr>
      <w:r w:rsidRPr="00EE0C8C">
        <w:rPr>
          <w:rFonts w:eastAsia="Calibri" w:cs="Times New Roman"/>
          <w:sz w:val="24"/>
          <w:lang w:eastAsia="pl-PL"/>
        </w:rPr>
        <w:t>Zalety podejścia partycypacyjnego wg S.R. Kłosowskiego i J. Adamskiego:</w:t>
      </w:r>
    </w:p>
    <w:p w:rsidR="00EE0C8C" w:rsidRPr="00EE0C8C" w:rsidRDefault="00EE0C8C" w:rsidP="00EE0C8C">
      <w:pPr>
        <w:spacing w:before="120" w:after="0"/>
        <w:jc w:val="both"/>
        <w:rPr>
          <w:rFonts w:eastAsia="Calibri" w:cs="Times New Roman"/>
          <w:sz w:val="24"/>
          <w:lang w:eastAsia="pl-PL"/>
        </w:rPr>
      </w:pPr>
      <w:r w:rsidRPr="00EE0C8C">
        <w:rPr>
          <w:rFonts w:eastAsia="Calibri" w:cs="Times New Roman"/>
          <w:sz w:val="24"/>
          <w:lang w:eastAsia="pl-PL"/>
        </w:rPr>
        <w:t>…”podejścia społeczne i eksperckie powinny się wzajemnie uzupełniać i wspomagać w celu niwelowania wad i ograniczeń;</w:t>
      </w:r>
    </w:p>
    <w:p w:rsidR="00EE0C8C" w:rsidRPr="00EE0C8C" w:rsidRDefault="00EE0C8C" w:rsidP="00EE0C8C">
      <w:pPr>
        <w:spacing w:before="120" w:after="0"/>
        <w:jc w:val="both"/>
        <w:rPr>
          <w:rFonts w:eastAsia="Calibri" w:cs="Times New Roman"/>
          <w:sz w:val="24"/>
          <w:lang w:eastAsia="pl-PL"/>
        </w:rPr>
      </w:pPr>
      <w:r w:rsidRPr="00EE0C8C">
        <w:rPr>
          <w:rFonts w:eastAsia="Calibri" w:cs="Times New Roman"/>
          <w:sz w:val="24"/>
          <w:lang w:eastAsia="pl-PL"/>
        </w:rPr>
        <w:t>Rola ekspertów powinna skłaniać się bardziej ku inspirowaniu, odkrywaniu nowych możliwości i punktów widzenia, przekazywaniu profesjonalnej wiedzy i doświadczenia oraz obiektywnemu ukazywaniu korzyści i wad danego zjawiska.</w:t>
      </w:r>
    </w:p>
    <w:p w:rsidR="00EE0C8C" w:rsidRPr="00EE0C8C" w:rsidRDefault="00EE0C8C" w:rsidP="00EE0C8C">
      <w:pPr>
        <w:spacing w:before="120" w:after="0"/>
        <w:jc w:val="both"/>
        <w:rPr>
          <w:rFonts w:eastAsia="Calibri" w:cs="Times New Roman"/>
          <w:sz w:val="24"/>
          <w:lang w:eastAsia="pl-PL"/>
        </w:rPr>
      </w:pPr>
      <w:r w:rsidRPr="00EE0C8C">
        <w:rPr>
          <w:rFonts w:eastAsia="Calibri" w:cs="Times New Roman"/>
          <w:sz w:val="24"/>
          <w:lang w:eastAsia="pl-PL"/>
        </w:rPr>
        <w:lastRenderedPageBreak/>
        <w:t>Społeczność lokalna powinna być otwarta na proponowane rozwiązania. Dzięki znajomości miejscowego środowiska i postaw oraz lokalnych zasobów może wystąpić w roli praktycznego weryfikatora eksperckich propozycji”.</w:t>
      </w:r>
      <w:r w:rsidRPr="00EE0C8C">
        <w:rPr>
          <w:rFonts w:eastAsia="Calibri" w:cs="Times New Roman"/>
          <w:sz w:val="24"/>
          <w:vertAlign w:val="superscript"/>
          <w:lang w:eastAsia="pl-PL"/>
        </w:rPr>
        <w:footnoteReference w:id="24"/>
      </w:r>
    </w:p>
    <w:p w:rsidR="00EE0C8C" w:rsidRPr="00EE0C8C" w:rsidRDefault="00EE0C8C" w:rsidP="00EE0C8C">
      <w:pPr>
        <w:spacing w:before="120" w:after="0"/>
        <w:jc w:val="both"/>
        <w:rPr>
          <w:rFonts w:eastAsia="Calibri" w:cs="Times New Roman"/>
          <w:sz w:val="24"/>
          <w:lang w:eastAsia="pl-PL"/>
        </w:rPr>
      </w:pPr>
      <w:r w:rsidRPr="00EE0C8C">
        <w:rPr>
          <w:rFonts w:eastAsia="Calibri" w:cs="Times New Roman"/>
          <w:sz w:val="24"/>
          <w:lang w:eastAsia="pl-PL"/>
        </w:rPr>
        <w:t xml:space="preserve">Przy opracowywaniu GPR dla Gminy Mirzec wybrana została metoda partycypacyjna jako najbardziej efektywna i zapewniająca największy poziom partycypacji społecznej zarówno ze strony mieszkańców Gminy Mirzec jak i bezpośrednio zaangażowanych pozostałych interesariuszy rewitalizacji, czyli organizacji pozarządowych, przedsiębiorców, parafii, spółdzielni mieszkaniowej i wspólnot mieszkaniowych. </w:t>
      </w:r>
    </w:p>
    <w:p w:rsidR="00EE0C8C" w:rsidRPr="00EE0C8C" w:rsidRDefault="00EE0C8C" w:rsidP="00EE0C8C">
      <w:pPr>
        <w:spacing w:before="120" w:after="0"/>
        <w:jc w:val="both"/>
        <w:rPr>
          <w:rFonts w:eastAsia="Calibri" w:cs="Times New Roman"/>
          <w:sz w:val="24"/>
          <w:lang w:eastAsia="pl-PL"/>
        </w:rPr>
      </w:pPr>
      <w:r w:rsidRPr="00EE0C8C">
        <w:rPr>
          <w:rFonts w:eastAsia="Calibri" w:cs="Times New Roman"/>
          <w:sz w:val="24"/>
          <w:lang w:eastAsia="pl-PL"/>
        </w:rPr>
        <w:t>Partycypacja społeczna jest wpisana w proces rewitalizacji jako fundament działań na każdym etapie tego procesu tj. diagnozowania, programowania, wdrażania, monitorowania. Skonsolidowanie wysiłków różnych podmiotów na rzecz obszaru rewitalizacji jest ważnym warunkiem sukcesu.</w:t>
      </w:r>
      <w:r w:rsidRPr="00EE0C8C">
        <w:rPr>
          <w:rFonts w:eastAsia="Calibri" w:cs="Times New Roman"/>
          <w:sz w:val="24"/>
          <w:vertAlign w:val="superscript"/>
          <w:lang w:eastAsia="pl-PL"/>
        </w:rPr>
        <w:footnoteReference w:id="25"/>
      </w:r>
    </w:p>
    <w:p w:rsidR="00EE0C8C" w:rsidRPr="00EE0C8C" w:rsidRDefault="00EE0C8C" w:rsidP="00EE0C8C">
      <w:pPr>
        <w:spacing w:before="120" w:after="0"/>
        <w:jc w:val="both"/>
        <w:rPr>
          <w:rFonts w:eastAsia="Calibri" w:cs="Times New Roman"/>
          <w:sz w:val="24"/>
          <w:lang w:eastAsia="pl-PL"/>
        </w:rPr>
      </w:pPr>
      <w:r w:rsidRPr="00EE0C8C">
        <w:rPr>
          <w:rFonts w:eastAsia="Calibri" w:cs="Times New Roman"/>
          <w:sz w:val="24"/>
          <w:lang w:eastAsia="pl-PL"/>
        </w:rPr>
        <w:t>W rewitalizacji, ze względu na jej kompleksowy charakter i przedmiot działania – wieloaspektowy kryzys dotykający przede wszystkim społeczności zamieszkujących obszar zdegradowany – konieczne jest, aby partycypacja społeczna przybierała jak najpełniejszą formę angażowania interesariuszy. Wyrazem tego podejścia w ustawie o rewitalizacji</w:t>
      </w:r>
      <w:r w:rsidRPr="00EE0C8C">
        <w:rPr>
          <w:rFonts w:eastAsia="Calibri" w:cs="Times New Roman"/>
          <w:sz w:val="24"/>
          <w:vertAlign w:val="superscript"/>
          <w:lang w:eastAsia="pl-PL"/>
        </w:rPr>
        <w:footnoteReference w:id="26"/>
      </w:r>
      <w:r w:rsidRPr="00EE0C8C">
        <w:rPr>
          <w:rFonts w:eastAsia="Calibri" w:cs="Times New Roman"/>
          <w:sz w:val="24"/>
          <w:lang w:eastAsia="pl-PL"/>
        </w:rPr>
        <w:t xml:space="preserve"> jest ustanowienie generalnej zasady, że partycypacja społeczna jest niezbędnym elementem działań rewitalizacyjnych, od etapu projektowania tych działań, przez ich realizację aż po ocenę przeprowadzonego procesu. </w:t>
      </w:r>
    </w:p>
    <w:p w:rsidR="00EE0C8C" w:rsidRPr="00EE0C8C" w:rsidRDefault="00EE0C8C" w:rsidP="00EE0C8C">
      <w:pPr>
        <w:spacing w:before="120" w:after="0"/>
        <w:jc w:val="both"/>
        <w:rPr>
          <w:rFonts w:eastAsia="Calibri" w:cs="Times New Roman"/>
          <w:sz w:val="24"/>
          <w:lang w:eastAsia="pl-PL"/>
        </w:rPr>
      </w:pPr>
      <w:r w:rsidRPr="00EE0C8C">
        <w:rPr>
          <w:rFonts w:eastAsia="Calibri" w:cs="Times New Roman"/>
          <w:sz w:val="24"/>
          <w:lang w:eastAsia="pl-PL"/>
        </w:rPr>
        <w:t>W art. 5 ust. 1 ustawy o rewitalizacji ustanowiono generalną zasadę,  że przygotowanie, prowadzenie i ocena rewitalizacji musi przebiegać w sposób zapewniający aktywny udział interesariuszy, a w ust. 2 wskazano, że polega ona na:</w:t>
      </w:r>
    </w:p>
    <w:p w:rsidR="00EE0C8C" w:rsidRPr="00EE0C8C" w:rsidRDefault="00EE0C8C" w:rsidP="00DC61B1">
      <w:pPr>
        <w:numPr>
          <w:ilvl w:val="0"/>
          <w:numId w:val="11"/>
        </w:numPr>
        <w:spacing w:before="120" w:after="0"/>
        <w:ind w:left="714" w:hanging="357"/>
        <w:contextualSpacing/>
        <w:jc w:val="both"/>
        <w:rPr>
          <w:rFonts w:eastAsia="Calibri" w:cs="Times New Roman"/>
          <w:sz w:val="24"/>
          <w:szCs w:val="24"/>
          <w:lang w:eastAsia="pl-PL"/>
        </w:rPr>
      </w:pPr>
      <w:r w:rsidRPr="00EE0C8C">
        <w:rPr>
          <w:rFonts w:eastAsia="Calibri" w:cs="Times New Roman"/>
          <w:sz w:val="24"/>
          <w:szCs w:val="24"/>
          <w:lang w:eastAsia="pl-PL"/>
        </w:rPr>
        <w:t>poznaniu potrzeb i oczekiwań interesariuszy oraz dążeniu do spójności planowanych działań z tymi potrzebami i oczekiwaniami;</w:t>
      </w:r>
    </w:p>
    <w:p w:rsidR="00EE0C8C" w:rsidRPr="00EE0C8C" w:rsidRDefault="00EE0C8C" w:rsidP="00DC61B1">
      <w:pPr>
        <w:numPr>
          <w:ilvl w:val="0"/>
          <w:numId w:val="11"/>
        </w:numPr>
        <w:spacing w:before="120" w:after="0"/>
        <w:ind w:left="714" w:hanging="357"/>
        <w:contextualSpacing/>
        <w:jc w:val="both"/>
        <w:rPr>
          <w:rFonts w:eastAsia="Calibri" w:cs="Times New Roman"/>
          <w:sz w:val="24"/>
          <w:szCs w:val="24"/>
          <w:lang w:eastAsia="pl-PL"/>
        </w:rPr>
      </w:pPr>
      <w:r w:rsidRPr="00EE0C8C">
        <w:rPr>
          <w:rFonts w:eastAsia="Calibri" w:cs="Times New Roman"/>
          <w:sz w:val="24"/>
          <w:szCs w:val="24"/>
          <w:lang w:eastAsia="pl-PL"/>
        </w:rPr>
        <w:t xml:space="preserve">prowadzeniu, skierowanych do interesariuszy, działań edukacyjnych i informacyjnych </w:t>
      </w:r>
      <w:r w:rsidRPr="00EE0C8C">
        <w:rPr>
          <w:rFonts w:eastAsia="Calibri" w:cs="Times New Roman"/>
          <w:sz w:val="24"/>
          <w:szCs w:val="24"/>
          <w:lang w:eastAsia="pl-PL"/>
        </w:rPr>
        <w:br/>
        <w:t>o procesie rewitalizacji, w tym o istocie, celach, zasadach prowadzenia rewitalizacji, wynikających z ustawy, oraz o przebiegu tego procesu;</w:t>
      </w:r>
    </w:p>
    <w:p w:rsidR="00EE0C8C" w:rsidRPr="00EE0C8C" w:rsidRDefault="00EE0C8C" w:rsidP="00DC61B1">
      <w:pPr>
        <w:numPr>
          <w:ilvl w:val="0"/>
          <w:numId w:val="11"/>
        </w:numPr>
        <w:spacing w:before="120" w:after="0"/>
        <w:ind w:left="714" w:hanging="357"/>
        <w:contextualSpacing/>
        <w:jc w:val="both"/>
        <w:rPr>
          <w:rFonts w:eastAsia="Calibri" w:cs="Times New Roman"/>
          <w:sz w:val="24"/>
          <w:szCs w:val="24"/>
          <w:lang w:eastAsia="pl-PL"/>
        </w:rPr>
      </w:pPr>
      <w:r w:rsidRPr="00EE0C8C">
        <w:rPr>
          <w:rFonts w:eastAsia="Calibri" w:cs="Times New Roman"/>
          <w:sz w:val="24"/>
          <w:szCs w:val="24"/>
          <w:lang w:eastAsia="pl-PL"/>
        </w:rPr>
        <w:t>inicjowaniu, umożliwianiu i wspieraniu działań służących rozwijaniu dialogu między interesariuszami oraz ich integracji wokół rewitalizacji;</w:t>
      </w:r>
    </w:p>
    <w:p w:rsidR="00EE0C8C" w:rsidRPr="00EE0C8C" w:rsidRDefault="00EE0C8C" w:rsidP="00DC61B1">
      <w:pPr>
        <w:numPr>
          <w:ilvl w:val="0"/>
          <w:numId w:val="11"/>
        </w:numPr>
        <w:spacing w:before="120" w:after="0"/>
        <w:ind w:left="714" w:hanging="357"/>
        <w:contextualSpacing/>
        <w:jc w:val="both"/>
        <w:rPr>
          <w:rFonts w:eastAsia="Calibri" w:cs="Times New Roman"/>
          <w:sz w:val="24"/>
          <w:szCs w:val="24"/>
          <w:lang w:eastAsia="pl-PL"/>
        </w:rPr>
      </w:pPr>
      <w:r w:rsidRPr="00EE0C8C">
        <w:rPr>
          <w:rFonts w:eastAsia="Calibri" w:cs="Times New Roman"/>
          <w:sz w:val="24"/>
          <w:szCs w:val="24"/>
          <w:lang w:eastAsia="pl-PL"/>
        </w:rPr>
        <w:t xml:space="preserve">zapewnieniu udziału interesariuszy w przygotowaniu dokumentów dotyczących rewitalizacji, w szczególności </w:t>
      </w:r>
      <w:r w:rsidR="003E259E" w:rsidRPr="00EE0C8C">
        <w:rPr>
          <w:rFonts w:eastAsia="Calibri" w:cs="Times New Roman"/>
          <w:sz w:val="24"/>
          <w:szCs w:val="24"/>
          <w:lang w:eastAsia="pl-PL"/>
        </w:rPr>
        <w:t xml:space="preserve">Gminnego Programu </w:t>
      </w:r>
      <w:r w:rsidRPr="00EE0C8C">
        <w:rPr>
          <w:rFonts w:eastAsia="Calibri" w:cs="Times New Roman"/>
          <w:sz w:val="24"/>
          <w:szCs w:val="24"/>
          <w:lang w:eastAsia="pl-PL"/>
        </w:rPr>
        <w:t>rewitalizacji</w:t>
      </w:r>
      <w:r w:rsidR="003E259E">
        <w:rPr>
          <w:rFonts w:eastAsia="Calibri" w:cs="Times New Roman"/>
          <w:sz w:val="24"/>
          <w:szCs w:val="24"/>
          <w:lang w:eastAsia="pl-PL"/>
        </w:rPr>
        <w:t xml:space="preserve"> (GPR)</w:t>
      </w:r>
      <w:r w:rsidRPr="00EE0C8C">
        <w:rPr>
          <w:rFonts w:eastAsia="Calibri" w:cs="Times New Roman"/>
          <w:sz w:val="24"/>
          <w:szCs w:val="24"/>
          <w:lang w:eastAsia="pl-PL"/>
        </w:rPr>
        <w:t>;</w:t>
      </w:r>
    </w:p>
    <w:p w:rsidR="00EE0C8C" w:rsidRPr="00EE0C8C" w:rsidRDefault="00EE0C8C" w:rsidP="00DC61B1">
      <w:pPr>
        <w:numPr>
          <w:ilvl w:val="0"/>
          <w:numId w:val="11"/>
        </w:numPr>
        <w:spacing w:before="120" w:after="0"/>
        <w:ind w:left="714" w:hanging="357"/>
        <w:contextualSpacing/>
        <w:jc w:val="both"/>
        <w:rPr>
          <w:rFonts w:eastAsia="Calibri" w:cs="Times New Roman"/>
          <w:sz w:val="24"/>
          <w:szCs w:val="24"/>
          <w:lang w:eastAsia="pl-PL"/>
        </w:rPr>
      </w:pPr>
      <w:r w:rsidRPr="00EE0C8C">
        <w:rPr>
          <w:rFonts w:eastAsia="Calibri" w:cs="Times New Roman"/>
          <w:sz w:val="24"/>
          <w:szCs w:val="24"/>
          <w:lang w:eastAsia="pl-PL"/>
        </w:rPr>
        <w:t>wspieraniu inicjatyw zmierzających do zwiększania udziału int</w:t>
      </w:r>
      <w:r w:rsidR="003E259E">
        <w:rPr>
          <w:rFonts w:eastAsia="Calibri" w:cs="Times New Roman"/>
          <w:sz w:val="24"/>
          <w:szCs w:val="24"/>
          <w:lang w:eastAsia="pl-PL"/>
        </w:rPr>
        <w:t xml:space="preserve">eresariuszy </w:t>
      </w:r>
      <w:r w:rsidR="003E259E">
        <w:rPr>
          <w:rFonts w:eastAsia="Calibri" w:cs="Times New Roman"/>
          <w:sz w:val="24"/>
          <w:szCs w:val="24"/>
          <w:lang w:eastAsia="pl-PL"/>
        </w:rPr>
        <w:br/>
        <w:t xml:space="preserve">w </w:t>
      </w:r>
      <w:r w:rsidRPr="00EE0C8C">
        <w:rPr>
          <w:rFonts w:eastAsia="Calibri" w:cs="Times New Roman"/>
          <w:sz w:val="24"/>
          <w:szCs w:val="24"/>
          <w:lang w:eastAsia="pl-PL"/>
        </w:rPr>
        <w:t xml:space="preserve">przygotowaniu i realizacji </w:t>
      </w:r>
      <w:r w:rsidR="003E259E" w:rsidRPr="00EE0C8C">
        <w:rPr>
          <w:rFonts w:eastAsia="Calibri" w:cs="Times New Roman"/>
          <w:sz w:val="24"/>
          <w:szCs w:val="24"/>
          <w:lang w:eastAsia="pl-PL"/>
        </w:rPr>
        <w:t xml:space="preserve">Gminnego Programu </w:t>
      </w:r>
      <w:r w:rsidRPr="00EE0C8C">
        <w:rPr>
          <w:rFonts w:eastAsia="Calibri" w:cs="Times New Roman"/>
          <w:sz w:val="24"/>
          <w:szCs w:val="24"/>
          <w:lang w:eastAsia="pl-PL"/>
        </w:rPr>
        <w:t>rewitalizacji</w:t>
      </w:r>
      <w:r w:rsidR="003E259E">
        <w:rPr>
          <w:rFonts w:eastAsia="Calibri" w:cs="Times New Roman"/>
          <w:sz w:val="24"/>
          <w:szCs w:val="24"/>
          <w:lang w:eastAsia="pl-PL"/>
        </w:rPr>
        <w:t xml:space="preserve"> (GPR)</w:t>
      </w:r>
      <w:r w:rsidRPr="00EE0C8C">
        <w:rPr>
          <w:rFonts w:eastAsia="Calibri" w:cs="Times New Roman"/>
          <w:sz w:val="24"/>
          <w:szCs w:val="24"/>
          <w:lang w:eastAsia="pl-PL"/>
        </w:rPr>
        <w:t>;</w:t>
      </w:r>
    </w:p>
    <w:p w:rsidR="00EE0C8C" w:rsidRPr="00EE0C8C" w:rsidRDefault="00EE0C8C" w:rsidP="00DC61B1">
      <w:pPr>
        <w:numPr>
          <w:ilvl w:val="0"/>
          <w:numId w:val="11"/>
        </w:numPr>
        <w:spacing w:before="120" w:after="0"/>
        <w:ind w:left="714" w:hanging="357"/>
        <w:contextualSpacing/>
        <w:jc w:val="both"/>
        <w:rPr>
          <w:rFonts w:eastAsia="Calibri" w:cs="Times New Roman"/>
          <w:sz w:val="24"/>
          <w:szCs w:val="24"/>
          <w:lang w:eastAsia="pl-PL"/>
        </w:rPr>
      </w:pPr>
      <w:r w:rsidRPr="00EE0C8C">
        <w:rPr>
          <w:rFonts w:eastAsia="Calibri" w:cs="Times New Roman"/>
          <w:sz w:val="24"/>
          <w:szCs w:val="24"/>
          <w:lang w:eastAsia="pl-PL"/>
        </w:rPr>
        <w:lastRenderedPageBreak/>
        <w:t>zapewnieniu w przygotowaniu, prowadzeniu i ocenie rewitalizacji możliwości wypowiedzenia się przez interesariuszy.</w:t>
      </w:r>
    </w:p>
    <w:p w:rsidR="00EE0C8C" w:rsidRPr="00EE0C8C" w:rsidRDefault="00EE0C8C" w:rsidP="00EE0C8C">
      <w:pPr>
        <w:autoSpaceDE w:val="0"/>
        <w:autoSpaceDN w:val="0"/>
        <w:adjustRightInd w:val="0"/>
        <w:spacing w:before="120" w:after="0"/>
        <w:jc w:val="both"/>
        <w:rPr>
          <w:rFonts w:eastAsia="Calibri" w:cs="Times New Roman"/>
          <w:sz w:val="24"/>
          <w:lang w:eastAsia="pl-PL"/>
        </w:rPr>
      </w:pPr>
      <w:r w:rsidRPr="00EE0C8C">
        <w:rPr>
          <w:rFonts w:eastAsia="Calibri" w:cs="Times New Roman"/>
          <w:sz w:val="24"/>
          <w:lang w:eastAsia="pl-PL"/>
        </w:rPr>
        <w:t>Proces partycypacji jest zróżnicowany zależnie od stopnia, w jakim poszczególne grupy społeczności lokalnej dotknięte są problematyką obszarów kryzysowych. Zainteresować nim należy całą społeczność lokalną, choć bezpośredni udział mieć będzie społeczność zamieszkująca obszary kryzysowe, względnie obszary programu rewitalizacji.</w:t>
      </w:r>
    </w:p>
    <w:p w:rsidR="00EE0C8C" w:rsidRPr="00EE0C8C" w:rsidRDefault="00EE0C8C" w:rsidP="00EE0C8C">
      <w:pPr>
        <w:autoSpaceDE w:val="0"/>
        <w:autoSpaceDN w:val="0"/>
        <w:adjustRightInd w:val="0"/>
        <w:spacing w:before="120" w:after="0"/>
        <w:jc w:val="both"/>
        <w:rPr>
          <w:rFonts w:eastAsia="Calibri" w:cs="Times New Roman"/>
          <w:sz w:val="24"/>
          <w:lang w:eastAsia="pl-PL"/>
        </w:rPr>
      </w:pPr>
      <w:r w:rsidRPr="00EE0C8C">
        <w:rPr>
          <w:rFonts w:eastAsia="Calibri" w:cs="Times New Roman"/>
          <w:sz w:val="24"/>
          <w:lang w:eastAsia="pl-PL"/>
        </w:rPr>
        <w:t>Informowanie społeczności lokalnej o rewitalizacji stanowi podstawowy obowiązek gminy i jest ważnym instrumentem budowania zaufania pomiędzy samorządem a mieszkańcami. Im więcej rzeczowej i wyczerpującej informacji, tym większe zaufanie społeczeństwa dla działań rewitalizacyjnych administracji samorządowej.</w:t>
      </w:r>
    </w:p>
    <w:p w:rsidR="00EE0C8C" w:rsidRPr="00EE0C8C" w:rsidRDefault="00EE0C8C" w:rsidP="00EE0C8C">
      <w:pPr>
        <w:autoSpaceDE w:val="0"/>
        <w:autoSpaceDN w:val="0"/>
        <w:adjustRightInd w:val="0"/>
        <w:spacing w:before="120" w:after="0"/>
        <w:jc w:val="both"/>
        <w:rPr>
          <w:rFonts w:eastAsia="Calibri" w:cs="Times New Roman"/>
          <w:sz w:val="24"/>
          <w:lang w:eastAsia="pl-PL"/>
        </w:rPr>
      </w:pPr>
      <w:r w:rsidRPr="00EE0C8C">
        <w:rPr>
          <w:rFonts w:eastAsia="Calibri" w:cs="Times New Roman"/>
          <w:sz w:val="24"/>
          <w:lang w:eastAsia="pl-PL"/>
        </w:rPr>
        <w:t>Proces partycypacji społecznej towarzyszący całemu procesowi rewitalizacji rozpoczyna się od pierwszej informacji samorządu na temat obszaru kryzysowego. Informacja ta winna być zawarta w Studium Uwarunkowań oraz w Strategii Rozwoju Gminy. Niezależnie od obligatoryjnego wyłożenia tych dokumentów, warto sporządzić oddzielny materiał dla mieszkańców, zawierający informacje o wyznaczonych w Studium obszarach kryzysowych oraz zamiarach rewitalizacyjnych zawartych w Strategii.</w:t>
      </w:r>
    </w:p>
    <w:p w:rsidR="00EE0C8C" w:rsidRPr="00EE0C8C" w:rsidRDefault="00EE0C8C" w:rsidP="00EE0C8C">
      <w:pPr>
        <w:autoSpaceDE w:val="0"/>
        <w:autoSpaceDN w:val="0"/>
        <w:adjustRightInd w:val="0"/>
        <w:spacing w:before="120" w:after="0"/>
        <w:jc w:val="both"/>
        <w:rPr>
          <w:rFonts w:eastAsia="Calibri" w:cs="Times New Roman"/>
          <w:sz w:val="24"/>
          <w:lang w:eastAsia="pl-PL"/>
        </w:rPr>
      </w:pPr>
      <w:r w:rsidRPr="00EE0C8C">
        <w:rPr>
          <w:rFonts w:eastAsia="Calibri" w:cs="Times New Roman"/>
          <w:sz w:val="24"/>
          <w:lang w:eastAsia="pl-PL"/>
        </w:rPr>
        <w:t>Partycypacja społeczności lokalnej w procesie rewitalizacji jest działaniem wielowymiarowym i kompleksowym, dzięki czemu posiada wysoki walor tworzenia i wzmacniania identyfikacji, integracji i aktywizacji społeczności lokalnej.</w:t>
      </w:r>
    </w:p>
    <w:p w:rsidR="00EE0C8C" w:rsidRPr="00EE0C8C" w:rsidRDefault="00EE0C8C" w:rsidP="00EE0C8C">
      <w:pPr>
        <w:autoSpaceDE w:val="0"/>
        <w:autoSpaceDN w:val="0"/>
        <w:adjustRightInd w:val="0"/>
        <w:spacing w:before="120" w:after="0"/>
        <w:jc w:val="both"/>
        <w:rPr>
          <w:rFonts w:eastAsia="Calibri" w:cs="Times New Roman"/>
          <w:sz w:val="24"/>
          <w:lang w:eastAsia="pl-PL"/>
        </w:rPr>
      </w:pPr>
      <w:r w:rsidRPr="00EE0C8C">
        <w:rPr>
          <w:rFonts w:eastAsia="Calibri" w:cs="Times New Roman"/>
          <w:sz w:val="24"/>
          <w:lang w:eastAsia="pl-PL"/>
        </w:rPr>
        <w:t>Istnieją dwie podstawowe formy informowania społeczności lokalnej o aktualnych problemach rewitalizacji:</w:t>
      </w:r>
    </w:p>
    <w:p w:rsidR="00EE0C8C" w:rsidRPr="00EE0C8C" w:rsidRDefault="00EE0C8C" w:rsidP="00EE0C8C">
      <w:pPr>
        <w:autoSpaceDE w:val="0"/>
        <w:autoSpaceDN w:val="0"/>
        <w:adjustRightInd w:val="0"/>
        <w:spacing w:before="120" w:after="0"/>
        <w:ind w:left="709"/>
        <w:jc w:val="both"/>
        <w:rPr>
          <w:rFonts w:eastAsia="Calibri" w:cs="Times New Roman"/>
          <w:b/>
          <w:bCs/>
          <w:sz w:val="24"/>
          <w:lang w:eastAsia="pl-PL"/>
        </w:rPr>
      </w:pPr>
      <w:r w:rsidRPr="00EE0C8C">
        <w:rPr>
          <w:rFonts w:eastAsia="Calibri" w:cs="Times New Roman"/>
          <w:b/>
          <w:bCs/>
          <w:sz w:val="24"/>
          <w:lang w:eastAsia="pl-PL"/>
        </w:rPr>
        <w:t>Pośrednie – medialne:</w:t>
      </w:r>
    </w:p>
    <w:p w:rsidR="00EE0C8C" w:rsidRPr="00EE0C8C" w:rsidRDefault="00EE0C8C" w:rsidP="00DC61B1">
      <w:pPr>
        <w:numPr>
          <w:ilvl w:val="0"/>
          <w:numId w:val="34"/>
        </w:numPr>
        <w:autoSpaceDE w:val="0"/>
        <w:autoSpaceDN w:val="0"/>
        <w:adjustRightInd w:val="0"/>
        <w:spacing w:before="120" w:after="0"/>
        <w:contextualSpacing/>
        <w:jc w:val="both"/>
        <w:rPr>
          <w:rFonts w:eastAsia="Calibri" w:cs="Times New Roman"/>
          <w:sz w:val="24"/>
          <w:lang w:eastAsia="pl-PL"/>
        </w:rPr>
      </w:pPr>
      <w:r w:rsidRPr="00EE0C8C">
        <w:rPr>
          <w:rFonts w:eastAsia="Calibri" w:cs="Times New Roman"/>
          <w:sz w:val="24"/>
          <w:lang w:eastAsia="pl-PL"/>
        </w:rPr>
        <w:t>prasa, radio, telewizja, informacje internetowe, specjalnie wydawane w tym celu materiały i broszury informacyjne;</w:t>
      </w:r>
    </w:p>
    <w:p w:rsidR="00EE0C8C" w:rsidRPr="00EE0C8C" w:rsidRDefault="00EE0C8C" w:rsidP="00EE0C8C">
      <w:pPr>
        <w:autoSpaceDE w:val="0"/>
        <w:autoSpaceDN w:val="0"/>
        <w:adjustRightInd w:val="0"/>
        <w:spacing w:before="120" w:after="0"/>
        <w:ind w:left="709"/>
        <w:jc w:val="both"/>
        <w:rPr>
          <w:rFonts w:eastAsia="Calibri" w:cs="Times New Roman"/>
          <w:b/>
          <w:bCs/>
          <w:sz w:val="24"/>
          <w:lang w:eastAsia="pl-PL"/>
        </w:rPr>
      </w:pPr>
      <w:r w:rsidRPr="00EE0C8C">
        <w:rPr>
          <w:rFonts w:eastAsia="Calibri" w:cs="Times New Roman"/>
          <w:b/>
          <w:bCs/>
          <w:sz w:val="24"/>
          <w:lang w:eastAsia="pl-PL"/>
        </w:rPr>
        <w:t>Bezpośrednie – interaktywne:</w:t>
      </w:r>
    </w:p>
    <w:p w:rsidR="00EE0C8C" w:rsidRPr="00EE0C8C" w:rsidRDefault="00EE0C8C" w:rsidP="00DC61B1">
      <w:pPr>
        <w:numPr>
          <w:ilvl w:val="0"/>
          <w:numId w:val="34"/>
        </w:numPr>
        <w:autoSpaceDE w:val="0"/>
        <w:autoSpaceDN w:val="0"/>
        <w:adjustRightInd w:val="0"/>
        <w:spacing w:before="120" w:after="0"/>
        <w:contextualSpacing/>
        <w:jc w:val="both"/>
        <w:rPr>
          <w:rFonts w:eastAsia="Calibri" w:cs="Times New Roman"/>
          <w:sz w:val="24"/>
          <w:lang w:eastAsia="pl-PL"/>
        </w:rPr>
      </w:pPr>
      <w:r w:rsidRPr="00EE0C8C">
        <w:rPr>
          <w:rFonts w:eastAsia="Calibri" w:cs="Times New Roman"/>
          <w:sz w:val="24"/>
          <w:lang w:eastAsia="pl-PL"/>
        </w:rPr>
        <w:t>zebrania mieszkańców, spotkania z poszczególnymi grupami interesów.</w:t>
      </w:r>
    </w:p>
    <w:p w:rsidR="00EE0C8C" w:rsidRPr="00EE0C8C" w:rsidRDefault="00EE0C8C" w:rsidP="00EE0C8C">
      <w:pPr>
        <w:spacing w:before="120" w:after="0"/>
        <w:jc w:val="both"/>
        <w:rPr>
          <w:rFonts w:eastAsia="Calibri" w:cs="Times New Roman"/>
          <w:sz w:val="24"/>
          <w:lang w:eastAsia="pl-PL"/>
        </w:rPr>
      </w:pPr>
      <w:r w:rsidRPr="00EE0C8C">
        <w:rPr>
          <w:rFonts w:eastAsia="Calibri" w:cs="Times New Roman"/>
          <w:sz w:val="24"/>
          <w:lang w:eastAsia="pl-PL"/>
        </w:rPr>
        <w:t>W ramach partycypacji społecznej opracowana została konceptualizacja badań ankietowych wraz z ankietą, która została rozpowszechniona wśród mieszkańców i interesariuszy rewitalizacji.</w:t>
      </w:r>
    </w:p>
    <w:p w:rsidR="00EE0C8C" w:rsidRPr="00EE0C8C" w:rsidRDefault="00EE0C8C" w:rsidP="00EE0C8C">
      <w:pPr>
        <w:spacing w:before="120" w:after="0"/>
        <w:jc w:val="both"/>
        <w:rPr>
          <w:rFonts w:eastAsia="Calibri" w:cs="Times New Roman"/>
          <w:sz w:val="24"/>
          <w:lang w:eastAsia="pl-PL"/>
        </w:rPr>
      </w:pPr>
      <w:r w:rsidRPr="00EE0C8C">
        <w:rPr>
          <w:rFonts w:eastAsia="Calibri" w:cs="Times New Roman"/>
          <w:sz w:val="24"/>
          <w:lang w:eastAsia="pl-PL"/>
        </w:rPr>
        <w:t>Dla Zespołu Rewitalizacyjnego, mieszkańców i interesariuszy rewitalizacji zostały przygotowane i przeprowadzone w dn</w:t>
      </w:r>
      <w:r w:rsidR="00270C54">
        <w:rPr>
          <w:rFonts w:eastAsia="Calibri" w:cs="Times New Roman"/>
          <w:sz w:val="24"/>
          <w:lang w:eastAsia="pl-PL"/>
        </w:rPr>
        <w:t>iu</w:t>
      </w:r>
      <w:r w:rsidRPr="00EE0C8C">
        <w:rPr>
          <w:rFonts w:eastAsia="Calibri" w:cs="Times New Roman"/>
          <w:sz w:val="24"/>
          <w:lang w:eastAsia="pl-PL"/>
        </w:rPr>
        <w:t xml:space="preserve">  </w:t>
      </w:r>
      <w:r w:rsidR="002B09B7">
        <w:rPr>
          <w:rFonts w:eastAsia="Calibri" w:cs="Times New Roman"/>
          <w:sz w:val="24"/>
          <w:lang w:eastAsia="pl-PL"/>
        </w:rPr>
        <w:t>26.01.2016</w:t>
      </w:r>
      <w:r w:rsidRPr="00EE0C8C">
        <w:rPr>
          <w:rFonts w:eastAsia="Calibri" w:cs="Times New Roman"/>
          <w:sz w:val="24"/>
          <w:lang w:eastAsia="pl-PL"/>
        </w:rPr>
        <w:t xml:space="preserve"> r. ko</w:t>
      </w:r>
      <w:r w:rsidR="002B09B7">
        <w:rPr>
          <w:rFonts w:eastAsia="Calibri" w:cs="Times New Roman"/>
          <w:sz w:val="24"/>
          <w:lang w:eastAsia="pl-PL"/>
        </w:rPr>
        <w:t xml:space="preserve">nsultacje społeczne połączone,  </w:t>
      </w:r>
      <w:r w:rsidR="002B09B7">
        <w:rPr>
          <w:rFonts w:eastAsia="Calibri" w:cs="Times New Roman"/>
          <w:sz w:val="24"/>
          <w:lang w:eastAsia="pl-PL"/>
        </w:rPr>
        <w:br/>
      </w:r>
      <w:r w:rsidRPr="00EE0C8C">
        <w:rPr>
          <w:rFonts w:eastAsia="Calibri" w:cs="Times New Roman"/>
          <w:sz w:val="24"/>
          <w:lang w:eastAsia="pl-PL"/>
        </w:rPr>
        <w:t xml:space="preserve">w trakcie których zaprezentowane zostały założenia Gminnego </w:t>
      </w:r>
      <w:r w:rsidR="000D717F">
        <w:rPr>
          <w:rFonts w:eastAsia="Calibri" w:cs="Times New Roman"/>
          <w:sz w:val="24"/>
          <w:lang w:eastAsia="pl-PL"/>
        </w:rPr>
        <w:t>p</w:t>
      </w:r>
      <w:r w:rsidRPr="00EE0C8C">
        <w:rPr>
          <w:rFonts w:eastAsia="Calibri" w:cs="Times New Roman"/>
          <w:sz w:val="24"/>
          <w:lang w:eastAsia="pl-PL"/>
        </w:rPr>
        <w:t xml:space="preserve">rogramu </w:t>
      </w:r>
      <w:r w:rsidR="003E259E">
        <w:rPr>
          <w:rFonts w:eastAsia="Calibri" w:cs="Times New Roman"/>
          <w:sz w:val="24"/>
          <w:lang w:eastAsia="pl-PL"/>
        </w:rPr>
        <w:t>r</w:t>
      </w:r>
      <w:r w:rsidRPr="00EE0C8C">
        <w:rPr>
          <w:rFonts w:eastAsia="Calibri" w:cs="Times New Roman"/>
          <w:sz w:val="24"/>
          <w:lang w:eastAsia="pl-PL"/>
        </w:rPr>
        <w:t xml:space="preserve">ewitalizacji </w:t>
      </w:r>
      <w:r w:rsidR="003E259E">
        <w:rPr>
          <w:rFonts w:eastAsia="Calibri" w:cs="Times New Roman"/>
          <w:sz w:val="24"/>
          <w:lang w:eastAsia="pl-PL"/>
        </w:rPr>
        <w:t>dla g</w:t>
      </w:r>
      <w:r w:rsidRPr="00EE0C8C">
        <w:rPr>
          <w:rFonts w:eastAsia="Calibri" w:cs="Times New Roman"/>
          <w:sz w:val="24"/>
          <w:lang w:eastAsia="pl-PL"/>
        </w:rPr>
        <w:t>miny Mirzec</w:t>
      </w:r>
      <w:r w:rsidR="003E259E">
        <w:rPr>
          <w:rFonts w:eastAsia="Calibri" w:cs="Times New Roman"/>
          <w:sz w:val="24"/>
          <w:lang w:eastAsia="pl-PL"/>
        </w:rPr>
        <w:t xml:space="preserve"> na lata 2016-2022</w:t>
      </w:r>
      <w:r w:rsidR="002B09B7">
        <w:rPr>
          <w:rFonts w:eastAsia="Calibri" w:cs="Times New Roman"/>
          <w:sz w:val="24"/>
          <w:lang w:eastAsia="pl-PL"/>
        </w:rPr>
        <w:t>,</w:t>
      </w:r>
      <w:r w:rsidRPr="00EE0C8C">
        <w:rPr>
          <w:rFonts w:eastAsia="Calibri" w:cs="Times New Roman"/>
          <w:sz w:val="24"/>
          <w:lang w:eastAsia="pl-PL"/>
        </w:rPr>
        <w:t xml:space="preserve"> dokonano wstępnej delimitacji obszarów kryzysowych oraz zebrano propozycje zadań inwestycyjnych i społecznych, które winny być przedmiotem rewitalizacji. </w:t>
      </w:r>
    </w:p>
    <w:p w:rsidR="00EE0C8C" w:rsidRPr="00EE0C8C" w:rsidRDefault="00EE0C8C" w:rsidP="00EE0C8C">
      <w:pPr>
        <w:spacing w:before="120" w:after="0"/>
        <w:jc w:val="both"/>
        <w:rPr>
          <w:rFonts w:eastAsia="Calibri" w:cs="Times New Roman"/>
          <w:sz w:val="24"/>
          <w:lang w:eastAsia="pl-PL"/>
        </w:rPr>
      </w:pPr>
      <w:r w:rsidRPr="00EE0C8C">
        <w:rPr>
          <w:rFonts w:eastAsia="Calibri" w:cs="Times New Roman"/>
          <w:sz w:val="24"/>
          <w:lang w:eastAsia="pl-PL"/>
        </w:rPr>
        <w:t xml:space="preserve">Efektem konsultacji społecznych i opracowanych wyników badań ankietowych jest delimitacja obszarów kryzysowych Gminy Mirzec objętego Programem Rewitalizacji, analiza </w:t>
      </w:r>
      <w:r w:rsidRPr="00EE0C8C">
        <w:rPr>
          <w:rFonts w:eastAsia="Calibri" w:cs="Times New Roman"/>
          <w:sz w:val="24"/>
          <w:lang w:eastAsia="pl-PL"/>
        </w:rPr>
        <w:lastRenderedPageBreak/>
        <w:t xml:space="preserve">SWOT, identyfikacja problemów do rozwiązania w sferze przestrzennej, gospodarczej </w:t>
      </w:r>
      <w:r w:rsidR="002B09B7">
        <w:rPr>
          <w:rFonts w:eastAsia="Calibri" w:cs="Times New Roman"/>
          <w:sz w:val="24"/>
          <w:lang w:eastAsia="pl-PL"/>
        </w:rPr>
        <w:br/>
      </w:r>
      <w:r w:rsidRPr="00EE0C8C">
        <w:rPr>
          <w:rFonts w:eastAsia="Calibri" w:cs="Times New Roman"/>
          <w:sz w:val="24"/>
          <w:lang w:eastAsia="pl-PL"/>
        </w:rPr>
        <w:t xml:space="preserve">i społecznej oraz zadania inwestycyjne i społeczne wraz z pozycjonowaniem dostępnych instrumentów finansowych, w tym funduszy strukturalnych UE w nowej perspektywie finansowej 2014-2020. </w:t>
      </w:r>
    </w:p>
    <w:p w:rsidR="00EE0C8C" w:rsidRPr="00EE0C8C" w:rsidRDefault="00EE0C8C" w:rsidP="00EE0C8C">
      <w:pPr>
        <w:jc w:val="center"/>
        <w:rPr>
          <w:b/>
          <w:bCs/>
          <w:iCs/>
          <w:color w:val="4F81BD" w:themeColor="accent1"/>
          <w:sz w:val="36"/>
          <w:szCs w:val="36"/>
        </w:rPr>
      </w:pPr>
    </w:p>
    <w:p w:rsidR="00EE0C8C" w:rsidRPr="00EE0C8C" w:rsidRDefault="00EE0C8C" w:rsidP="00EE0C8C">
      <w:pPr>
        <w:spacing w:before="120" w:after="0"/>
        <w:jc w:val="both"/>
        <w:rPr>
          <w:rFonts w:eastAsia="Calibri" w:cs="Times New Roman"/>
          <w:sz w:val="24"/>
          <w:lang w:eastAsia="pl-PL"/>
        </w:rPr>
      </w:pPr>
      <w:r w:rsidRPr="00EE0C8C">
        <w:rPr>
          <w:rFonts w:eastAsia="Calibri" w:cs="Times New Roman"/>
          <w:sz w:val="24"/>
          <w:lang w:eastAsia="pl-PL"/>
        </w:rPr>
        <w:t>Ważnym efektem uzyskanym w ramach partycypacji społecznej jest akceptacja do realizacji 9 zadań inwestycyjnych i 24 zadań społecznych:</w:t>
      </w:r>
    </w:p>
    <w:p w:rsidR="00EE0C8C" w:rsidRPr="00EE0C8C" w:rsidRDefault="00EE0C8C" w:rsidP="00EE0C8C">
      <w:pPr>
        <w:spacing w:before="120" w:after="0"/>
        <w:jc w:val="both"/>
        <w:rPr>
          <w:rFonts w:eastAsia="Calibri" w:cs="Times New Roman"/>
          <w:sz w:val="24"/>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61"/>
        <w:gridCol w:w="8121"/>
      </w:tblGrid>
      <w:tr w:rsidR="00EE0C8C" w:rsidRPr="00EE0C8C" w:rsidTr="00D44BF2">
        <w:trPr>
          <w:tblHeader/>
        </w:trPr>
        <w:tc>
          <w:tcPr>
            <w:tcW w:w="1008" w:type="dxa"/>
            <w:shd w:val="clear" w:color="auto" w:fill="FFCC99"/>
            <w:vAlign w:val="center"/>
          </w:tcPr>
          <w:p w:rsidR="00EE0C8C" w:rsidRPr="00EE0C8C" w:rsidRDefault="00EE0C8C" w:rsidP="00EE0C8C">
            <w:pPr>
              <w:spacing w:after="0"/>
              <w:jc w:val="center"/>
              <w:rPr>
                <w:rFonts w:eastAsia="Calibri" w:cs="Times New Roman"/>
                <w:b/>
                <w:sz w:val="24"/>
                <w:lang w:eastAsia="pl-PL"/>
              </w:rPr>
            </w:pPr>
            <w:r w:rsidRPr="00EE0C8C">
              <w:rPr>
                <w:rFonts w:eastAsia="Calibri" w:cs="Times New Roman"/>
                <w:b/>
                <w:sz w:val="24"/>
                <w:lang w:eastAsia="pl-PL"/>
              </w:rPr>
              <w:t>NUMER ZADANIA</w:t>
            </w:r>
          </w:p>
        </w:tc>
        <w:tc>
          <w:tcPr>
            <w:tcW w:w="8074" w:type="dxa"/>
            <w:shd w:val="clear" w:color="auto" w:fill="FFCC99"/>
            <w:vAlign w:val="center"/>
          </w:tcPr>
          <w:p w:rsidR="00EE0C8C" w:rsidRPr="00EE0C8C" w:rsidRDefault="00EE0C8C" w:rsidP="00EE0C8C">
            <w:pPr>
              <w:spacing w:after="0"/>
              <w:jc w:val="center"/>
              <w:rPr>
                <w:rFonts w:eastAsia="Calibri" w:cs="Times New Roman"/>
                <w:b/>
                <w:sz w:val="24"/>
                <w:lang w:eastAsia="pl-PL"/>
              </w:rPr>
            </w:pPr>
            <w:r w:rsidRPr="00EE0C8C">
              <w:rPr>
                <w:rFonts w:eastAsia="Calibri" w:cs="Times New Roman"/>
                <w:b/>
                <w:sz w:val="24"/>
                <w:lang w:eastAsia="pl-PL"/>
              </w:rPr>
              <w:t>TYTUŁ PRZEDSIĘWZIĘCIA INWESTYCYJNEGO</w:t>
            </w:r>
          </w:p>
        </w:tc>
      </w:tr>
      <w:tr w:rsidR="00EE0C8C" w:rsidRPr="00EE0C8C" w:rsidTr="00A76BDB">
        <w:tc>
          <w:tcPr>
            <w:tcW w:w="0" w:type="auto"/>
            <w:shd w:val="clear" w:color="auto" w:fill="FFCC99"/>
          </w:tcPr>
          <w:p w:rsidR="00EE0C8C" w:rsidRPr="00EE0C8C" w:rsidRDefault="00EE0C8C" w:rsidP="00EE0C8C">
            <w:pPr>
              <w:spacing w:after="0"/>
              <w:jc w:val="center"/>
              <w:rPr>
                <w:rFonts w:eastAsia="Calibri" w:cs="Times New Roman"/>
                <w:b/>
                <w:sz w:val="20"/>
                <w:szCs w:val="20"/>
                <w:lang w:eastAsia="pl-PL"/>
              </w:rPr>
            </w:pPr>
            <w:r w:rsidRPr="00EE0C8C">
              <w:rPr>
                <w:rFonts w:eastAsia="Calibri" w:cs="Times New Roman"/>
                <w:b/>
                <w:sz w:val="20"/>
                <w:szCs w:val="20"/>
                <w:lang w:eastAsia="pl-PL"/>
              </w:rPr>
              <w:t>Nr 1</w:t>
            </w:r>
          </w:p>
          <w:p w:rsidR="00EE0C8C" w:rsidRPr="00EE0C8C" w:rsidRDefault="00EE0C8C" w:rsidP="00EE0C8C">
            <w:pPr>
              <w:spacing w:after="0"/>
              <w:jc w:val="center"/>
              <w:rPr>
                <w:rFonts w:eastAsia="Calibri" w:cs="Times New Roman"/>
                <w:b/>
                <w:sz w:val="20"/>
                <w:szCs w:val="20"/>
                <w:lang w:eastAsia="pl-PL"/>
              </w:rPr>
            </w:pPr>
          </w:p>
        </w:tc>
        <w:tc>
          <w:tcPr>
            <w:tcW w:w="0" w:type="auto"/>
            <w:shd w:val="clear" w:color="auto" w:fill="auto"/>
          </w:tcPr>
          <w:p w:rsidR="00EE0C8C" w:rsidRPr="00EE0C8C" w:rsidRDefault="00EE0C8C" w:rsidP="00EE0C8C">
            <w:pPr>
              <w:spacing w:after="0"/>
              <w:jc w:val="both"/>
              <w:rPr>
                <w:rFonts w:eastAsia="Calibri" w:cs="Times New Roman"/>
                <w:sz w:val="20"/>
                <w:szCs w:val="20"/>
                <w:lang w:eastAsia="pl-PL"/>
              </w:rPr>
            </w:pPr>
            <w:r w:rsidRPr="00EE0C8C">
              <w:rPr>
                <w:rFonts w:eastAsia="Calibri" w:cs="Times New Roman"/>
                <w:sz w:val="20"/>
                <w:szCs w:val="20"/>
                <w:lang w:eastAsia="pl-PL"/>
              </w:rPr>
              <w:t>ZINTEGROWANA REWITALIZACJA CENTRUM MIRCA POPRZEZ KOMPLEKSOWĄ ODNOWĘ KRYZYSOWYCH TERENÓW I OBIEKTÓW W OBSZAR ROZWOJOWY TWORZĄC STREFY: TURYSTYKI, RELAKSU I AKTYWNOŚCI (II ETAP REWITALIZACJI)</w:t>
            </w:r>
          </w:p>
        </w:tc>
      </w:tr>
      <w:tr w:rsidR="00EE0C8C" w:rsidRPr="00EE0C8C" w:rsidTr="00A76BDB">
        <w:trPr>
          <w:trHeight w:val="515"/>
        </w:trPr>
        <w:tc>
          <w:tcPr>
            <w:tcW w:w="0" w:type="auto"/>
            <w:shd w:val="clear" w:color="auto" w:fill="FFCC99"/>
          </w:tcPr>
          <w:p w:rsidR="00EE0C8C" w:rsidRPr="00EE0C8C" w:rsidRDefault="00EE0C8C" w:rsidP="00EE0C8C">
            <w:pPr>
              <w:spacing w:after="0"/>
              <w:jc w:val="center"/>
              <w:rPr>
                <w:rFonts w:eastAsia="Calibri" w:cs="Times New Roman"/>
                <w:b/>
                <w:sz w:val="20"/>
                <w:szCs w:val="20"/>
                <w:lang w:eastAsia="pl-PL"/>
              </w:rPr>
            </w:pPr>
            <w:r w:rsidRPr="00EE0C8C">
              <w:rPr>
                <w:rFonts w:eastAsia="Calibri" w:cs="Times New Roman"/>
                <w:b/>
                <w:sz w:val="20"/>
                <w:szCs w:val="20"/>
                <w:lang w:eastAsia="pl-PL"/>
              </w:rPr>
              <w:t>Nr 2</w:t>
            </w:r>
          </w:p>
        </w:tc>
        <w:tc>
          <w:tcPr>
            <w:tcW w:w="0" w:type="auto"/>
            <w:shd w:val="clear" w:color="auto" w:fill="auto"/>
          </w:tcPr>
          <w:p w:rsidR="00EE0C8C" w:rsidRPr="00EE0C8C" w:rsidRDefault="00EE0C8C" w:rsidP="00EE0C8C">
            <w:pPr>
              <w:spacing w:after="0"/>
              <w:jc w:val="both"/>
              <w:rPr>
                <w:rFonts w:eastAsia="Calibri" w:cs="Times New Roman"/>
                <w:sz w:val="20"/>
                <w:szCs w:val="20"/>
                <w:lang w:eastAsia="pl-PL"/>
              </w:rPr>
            </w:pPr>
            <w:r w:rsidRPr="00EE0C8C">
              <w:rPr>
                <w:rFonts w:eastAsia="Calibri" w:cs="Times New Roman"/>
                <w:sz w:val="20"/>
                <w:szCs w:val="20"/>
                <w:lang w:eastAsia="pl-PL"/>
              </w:rPr>
              <w:t>REWITALIZACJA OŚRODKA ZDROWIA W MIRCU POPRZEZ NAPRAWĘ I USPRAWNIENIE DOSTĘPU DO PODSTAWOWEJ OPIEKI ZDROWOTNEJ.</w:t>
            </w:r>
          </w:p>
        </w:tc>
      </w:tr>
      <w:tr w:rsidR="00EE0C8C" w:rsidRPr="00EE0C8C" w:rsidTr="00A76BDB">
        <w:tc>
          <w:tcPr>
            <w:tcW w:w="0" w:type="auto"/>
            <w:shd w:val="clear" w:color="auto" w:fill="FFCC99"/>
          </w:tcPr>
          <w:p w:rsidR="00EE0C8C" w:rsidRPr="00EE0C8C" w:rsidRDefault="00EE0C8C" w:rsidP="00EE0C8C">
            <w:pPr>
              <w:spacing w:after="0"/>
              <w:jc w:val="center"/>
              <w:rPr>
                <w:rFonts w:eastAsia="Calibri" w:cs="Times New Roman"/>
                <w:b/>
                <w:sz w:val="20"/>
                <w:szCs w:val="20"/>
                <w:lang w:eastAsia="pl-PL"/>
              </w:rPr>
            </w:pPr>
            <w:r w:rsidRPr="00EE0C8C">
              <w:rPr>
                <w:rFonts w:eastAsia="Calibri" w:cs="Times New Roman"/>
                <w:b/>
                <w:sz w:val="20"/>
                <w:szCs w:val="20"/>
                <w:lang w:eastAsia="pl-PL"/>
              </w:rPr>
              <w:t>Nr 3</w:t>
            </w:r>
          </w:p>
          <w:p w:rsidR="00EE0C8C" w:rsidRPr="00EE0C8C" w:rsidRDefault="00EE0C8C" w:rsidP="00EE0C8C">
            <w:pPr>
              <w:spacing w:after="0"/>
              <w:jc w:val="center"/>
              <w:rPr>
                <w:rFonts w:eastAsia="Calibri" w:cs="Times New Roman"/>
                <w:b/>
                <w:sz w:val="20"/>
                <w:szCs w:val="20"/>
                <w:lang w:eastAsia="pl-PL"/>
              </w:rPr>
            </w:pPr>
          </w:p>
        </w:tc>
        <w:tc>
          <w:tcPr>
            <w:tcW w:w="0" w:type="auto"/>
            <w:shd w:val="clear" w:color="auto" w:fill="auto"/>
          </w:tcPr>
          <w:p w:rsidR="00EE0C8C" w:rsidRPr="00EE0C8C" w:rsidRDefault="00EE0C8C" w:rsidP="00EE0C8C">
            <w:pPr>
              <w:spacing w:after="0"/>
              <w:jc w:val="both"/>
              <w:rPr>
                <w:rFonts w:eastAsia="Calibri" w:cs="Times New Roman"/>
                <w:sz w:val="20"/>
                <w:szCs w:val="20"/>
                <w:lang w:eastAsia="pl-PL"/>
              </w:rPr>
            </w:pPr>
            <w:r w:rsidRPr="00EE0C8C">
              <w:rPr>
                <w:rFonts w:eastAsia="Calibri" w:cs="Times New Roman"/>
                <w:sz w:val="20"/>
                <w:szCs w:val="20"/>
                <w:lang w:eastAsia="pl-PL"/>
              </w:rPr>
              <w:t xml:space="preserve">PRZEBUDOWA DROGI GMINNEJ </w:t>
            </w:r>
            <w:r w:rsidR="00D44BF2">
              <w:rPr>
                <w:rFonts w:eastAsia="Calibri" w:cs="Times New Roman"/>
                <w:sz w:val="20"/>
                <w:szCs w:val="20"/>
                <w:lang w:eastAsia="pl-PL"/>
              </w:rPr>
              <w:t>NR 347004T - PODBORKI</w:t>
            </w:r>
            <w:r w:rsidRPr="00EE0C8C">
              <w:rPr>
                <w:rFonts w:eastAsia="Calibri" w:cs="Times New Roman"/>
                <w:sz w:val="20"/>
                <w:szCs w:val="20"/>
                <w:lang w:eastAsia="pl-PL"/>
              </w:rPr>
              <w:t xml:space="preserve"> MAJORAT</w:t>
            </w:r>
          </w:p>
        </w:tc>
      </w:tr>
      <w:tr w:rsidR="00EE0C8C" w:rsidRPr="00EE0C8C" w:rsidTr="00A76BDB">
        <w:tc>
          <w:tcPr>
            <w:tcW w:w="0" w:type="auto"/>
            <w:shd w:val="clear" w:color="auto" w:fill="FFCC99"/>
          </w:tcPr>
          <w:p w:rsidR="00EE0C8C" w:rsidRPr="00EE0C8C" w:rsidRDefault="00EE0C8C" w:rsidP="00EE0C8C">
            <w:pPr>
              <w:spacing w:after="0"/>
              <w:jc w:val="center"/>
              <w:rPr>
                <w:rFonts w:eastAsia="Calibri" w:cs="Times New Roman"/>
                <w:b/>
                <w:sz w:val="20"/>
                <w:szCs w:val="20"/>
                <w:lang w:eastAsia="pl-PL"/>
              </w:rPr>
            </w:pPr>
            <w:r w:rsidRPr="00EE0C8C">
              <w:rPr>
                <w:rFonts w:eastAsia="Calibri" w:cs="Times New Roman"/>
                <w:b/>
                <w:sz w:val="20"/>
                <w:szCs w:val="20"/>
                <w:lang w:eastAsia="pl-PL"/>
              </w:rPr>
              <w:t>Nr 4</w:t>
            </w:r>
          </w:p>
          <w:p w:rsidR="00EE0C8C" w:rsidRPr="00EE0C8C" w:rsidRDefault="00EE0C8C" w:rsidP="00EE0C8C">
            <w:pPr>
              <w:spacing w:after="0"/>
              <w:jc w:val="center"/>
              <w:rPr>
                <w:rFonts w:eastAsia="Calibri" w:cs="Times New Roman"/>
                <w:b/>
                <w:sz w:val="20"/>
                <w:szCs w:val="20"/>
                <w:lang w:eastAsia="pl-PL"/>
              </w:rPr>
            </w:pPr>
          </w:p>
        </w:tc>
        <w:tc>
          <w:tcPr>
            <w:tcW w:w="0" w:type="auto"/>
            <w:shd w:val="clear" w:color="auto" w:fill="auto"/>
          </w:tcPr>
          <w:p w:rsidR="00EE0C8C" w:rsidRPr="00EE0C8C" w:rsidRDefault="00D44BF2" w:rsidP="00D44BF2">
            <w:pPr>
              <w:spacing w:after="0"/>
              <w:jc w:val="both"/>
              <w:rPr>
                <w:rFonts w:eastAsia="Calibri" w:cs="Times New Roman"/>
                <w:sz w:val="20"/>
                <w:szCs w:val="20"/>
                <w:lang w:eastAsia="pl-PL"/>
              </w:rPr>
            </w:pPr>
            <w:r>
              <w:rPr>
                <w:rFonts w:eastAsia="Calibri" w:cs="Times New Roman"/>
                <w:sz w:val="20"/>
                <w:szCs w:val="20"/>
                <w:lang w:eastAsia="pl-PL"/>
              </w:rPr>
              <w:t>ZWIĘKSZENIE EFEKTYWNOŚCI ENERGETYCZNEJ Z WYKORZYSTANIEM ŹRÓDEŁ ODNAWIALNYCH W BUDYNKACH UŻYTECZNOŚCI PUBLICZNEJ W CENTRUM MIRCA</w:t>
            </w:r>
          </w:p>
        </w:tc>
      </w:tr>
      <w:tr w:rsidR="00EE0C8C" w:rsidRPr="00EE0C8C" w:rsidTr="00A76BDB">
        <w:tc>
          <w:tcPr>
            <w:tcW w:w="0" w:type="auto"/>
            <w:shd w:val="clear" w:color="auto" w:fill="FFCC99"/>
          </w:tcPr>
          <w:p w:rsidR="00EE0C8C" w:rsidRPr="00EE0C8C" w:rsidRDefault="00EE0C8C" w:rsidP="00EE0C8C">
            <w:pPr>
              <w:spacing w:after="0"/>
              <w:jc w:val="center"/>
              <w:rPr>
                <w:rFonts w:eastAsia="Calibri" w:cs="Times New Roman"/>
                <w:b/>
                <w:sz w:val="20"/>
                <w:szCs w:val="20"/>
                <w:lang w:eastAsia="pl-PL"/>
              </w:rPr>
            </w:pPr>
            <w:r w:rsidRPr="00EE0C8C">
              <w:rPr>
                <w:rFonts w:eastAsia="Calibri" w:cs="Times New Roman"/>
                <w:b/>
                <w:sz w:val="20"/>
                <w:szCs w:val="20"/>
                <w:lang w:eastAsia="pl-PL"/>
              </w:rPr>
              <w:t>Nr 5</w:t>
            </w:r>
          </w:p>
          <w:p w:rsidR="00EE0C8C" w:rsidRPr="00EE0C8C" w:rsidRDefault="00EE0C8C" w:rsidP="00EE0C8C">
            <w:pPr>
              <w:spacing w:after="0"/>
              <w:jc w:val="center"/>
              <w:rPr>
                <w:rFonts w:eastAsia="Calibri" w:cs="Times New Roman"/>
                <w:b/>
                <w:sz w:val="20"/>
                <w:szCs w:val="20"/>
                <w:lang w:eastAsia="pl-PL"/>
              </w:rPr>
            </w:pPr>
          </w:p>
        </w:tc>
        <w:tc>
          <w:tcPr>
            <w:tcW w:w="0" w:type="auto"/>
            <w:shd w:val="clear" w:color="auto" w:fill="auto"/>
          </w:tcPr>
          <w:p w:rsidR="00EE0C8C" w:rsidRPr="00EE0C8C" w:rsidRDefault="00D44BF2" w:rsidP="00EE0C8C">
            <w:pPr>
              <w:spacing w:after="0"/>
              <w:jc w:val="both"/>
              <w:rPr>
                <w:rFonts w:eastAsia="Calibri" w:cs="Times New Roman"/>
                <w:sz w:val="20"/>
                <w:szCs w:val="20"/>
                <w:lang w:eastAsia="pl-PL"/>
              </w:rPr>
            </w:pPr>
            <w:r>
              <w:rPr>
                <w:rFonts w:eastAsia="Calibri" w:cs="Times New Roman"/>
                <w:sz w:val="20"/>
                <w:szCs w:val="20"/>
                <w:lang w:eastAsia="pl-PL"/>
              </w:rPr>
              <w:t>ZAGOSPODAROWANIE TERENU W MIEJSCOWOŚCI MIRZEC-MALCÓWKI W KIERUNKU ROZWOJU REKREACJI I TURYSTYKI WIEJSKIEJ</w:t>
            </w:r>
          </w:p>
        </w:tc>
      </w:tr>
      <w:tr w:rsidR="00D44BF2" w:rsidRPr="00EE0C8C" w:rsidTr="00A76BDB">
        <w:tc>
          <w:tcPr>
            <w:tcW w:w="0" w:type="auto"/>
            <w:shd w:val="clear" w:color="auto" w:fill="FFCC99"/>
          </w:tcPr>
          <w:p w:rsidR="00D44BF2" w:rsidRPr="00EE0C8C" w:rsidRDefault="00D44BF2" w:rsidP="00D44BF2">
            <w:pPr>
              <w:spacing w:after="0"/>
              <w:jc w:val="center"/>
              <w:rPr>
                <w:rFonts w:eastAsia="Calibri" w:cs="Times New Roman"/>
                <w:b/>
                <w:sz w:val="20"/>
                <w:szCs w:val="20"/>
                <w:lang w:eastAsia="pl-PL"/>
              </w:rPr>
            </w:pPr>
            <w:r w:rsidRPr="00EE0C8C">
              <w:rPr>
                <w:rFonts w:eastAsia="Calibri" w:cs="Times New Roman"/>
                <w:b/>
                <w:sz w:val="20"/>
                <w:szCs w:val="20"/>
                <w:lang w:eastAsia="pl-PL"/>
              </w:rPr>
              <w:t>Nr 6</w:t>
            </w:r>
          </w:p>
          <w:p w:rsidR="00D44BF2" w:rsidRPr="00EE0C8C" w:rsidRDefault="00D44BF2" w:rsidP="00EE0C8C">
            <w:pPr>
              <w:spacing w:after="0"/>
              <w:jc w:val="center"/>
              <w:rPr>
                <w:rFonts w:eastAsia="Calibri" w:cs="Times New Roman"/>
                <w:b/>
                <w:sz w:val="20"/>
                <w:szCs w:val="20"/>
                <w:lang w:eastAsia="pl-PL"/>
              </w:rPr>
            </w:pPr>
          </w:p>
        </w:tc>
        <w:tc>
          <w:tcPr>
            <w:tcW w:w="0" w:type="auto"/>
            <w:shd w:val="clear" w:color="auto" w:fill="auto"/>
          </w:tcPr>
          <w:p w:rsidR="00D44BF2" w:rsidRDefault="00D44BF2" w:rsidP="00EE0C8C">
            <w:pPr>
              <w:spacing w:after="0"/>
              <w:jc w:val="both"/>
              <w:rPr>
                <w:rFonts w:eastAsia="Calibri" w:cs="Times New Roman"/>
                <w:sz w:val="20"/>
                <w:szCs w:val="20"/>
                <w:lang w:eastAsia="pl-PL"/>
              </w:rPr>
            </w:pPr>
            <w:r>
              <w:rPr>
                <w:rFonts w:eastAsia="Calibri" w:cs="Times New Roman"/>
                <w:sz w:val="20"/>
                <w:szCs w:val="20"/>
                <w:lang w:eastAsia="pl-PL"/>
              </w:rPr>
              <w:t>POPRAWA FUNKCJONOWANIA SYSTEMU RATOWNICZO-GASNICZEGO I PRZECIWDZIAŁANIE ZAGROŻENIOM W GMINIE MIRZEC POPRZEZ ZAKUP NOWEGO SAMOCHODU POŻARNICZEGO DLA JEDNOSTKI OSP MIRZEC</w:t>
            </w:r>
          </w:p>
        </w:tc>
      </w:tr>
      <w:tr w:rsidR="00D44BF2" w:rsidRPr="00EE0C8C" w:rsidTr="00A76BDB">
        <w:tc>
          <w:tcPr>
            <w:tcW w:w="0" w:type="auto"/>
            <w:shd w:val="clear" w:color="auto" w:fill="FFCC99"/>
          </w:tcPr>
          <w:p w:rsidR="00D44BF2" w:rsidRPr="00EE0C8C" w:rsidRDefault="00D44BF2" w:rsidP="00EE0C8C">
            <w:pPr>
              <w:spacing w:after="0"/>
              <w:jc w:val="center"/>
              <w:rPr>
                <w:rFonts w:eastAsia="Calibri" w:cs="Times New Roman"/>
                <w:b/>
                <w:sz w:val="20"/>
                <w:szCs w:val="20"/>
                <w:lang w:eastAsia="pl-PL"/>
              </w:rPr>
            </w:pPr>
            <w:r w:rsidRPr="00EE0C8C">
              <w:rPr>
                <w:rFonts w:eastAsia="Calibri" w:cs="Times New Roman"/>
                <w:b/>
                <w:sz w:val="20"/>
                <w:szCs w:val="20"/>
                <w:lang w:eastAsia="pl-PL"/>
              </w:rPr>
              <w:t>Nr 7</w:t>
            </w:r>
          </w:p>
        </w:tc>
        <w:tc>
          <w:tcPr>
            <w:tcW w:w="0" w:type="auto"/>
            <w:shd w:val="clear" w:color="auto" w:fill="auto"/>
          </w:tcPr>
          <w:p w:rsidR="00D44BF2" w:rsidRDefault="00D44BF2" w:rsidP="00EE0C8C">
            <w:pPr>
              <w:spacing w:after="0"/>
              <w:jc w:val="both"/>
              <w:rPr>
                <w:rFonts w:eastAsia="Calibri" w:cs="Times New Roman"/>
                <w:sz w:val="20"/>
                <w:szCs w:val="20"/>
                <w:lang w:eastAsia="pl-PL"/>
              </w:rPr>
            </w:pPr>
            <w:r>
              <w:rPr>
                <w:rFonts w:eastAsia="Calibri" w:cs="Times New Roman"/>
                <w:sz w:val="20"/>
                <w:szCs w:val="20"/>
                <w:lang w:eastAsia="pl-PL"/>
              </w:rPr>
              <w:t>BUDOWA PUNKTU SELEKTYWNEJ ZBIÓRKI ODPADÓW (PSZOK)</w:t>
            </w:r>
          </w:p>
        </w:tc>
      </w:tr>
      <w:tr w:rsidR="00D44BF2" w:rsidRPr="00EE0C8C" w:rsidTr="00A76BDB">
        <w:tc>
          <w:tcPr>
            <w:tcW w:w="0" w:type="auto"/>
            <w:shd w:val="clear" w:color="auto" w:fill="FFCC99"/>
          </w:tcPr>
          <w:p w:rsidR="00D44BF2" w:rsidRPr="00EE0C8C" w:rsidRDefault="00D44BF2" w:rsidP="00EE0C8C">
            <w:pPr>
              <w:spacing w:after="0"/>
              <w:jc w:val="center"/>
              <w:rPr>
                <w:rFonts w:eastAsia="Calibri" w:cs="Times New Roman"/>
                <w:b/>
                <w:sz w:val="20"/>
                <w:szCs w:val="20"/>
                <w:lang w:eastAsia="pl-PL"/>
              </w:rPr>
            </w:pPr>
            <w:r w:rsidRPr="00EE0C8C">
              <w:rPr>
                <w:rFonts w:eastAsia="Calibri" w:cs="Times New Roman"/>
                <w:b/>
                <w:sz w:val="20"/>
                <w:szCs w:val="20"/>
                <w:lang w:eastAsia="pl-PL"/>
              </w:rPr>
              <w:t>Nr 8</w:t>
            </w:r>
          </w:p>
        </w:tc>
        <w:tc>
          <w:tcPr>
            <w:tcW w:w="0" w:type="auto"/>
            <w:shd w:val="clear" w:color="auto" w:fill="auto"/>
          </w:tcPr>
          <w:p w:rsidR="00D44BF2" w:rsidRDefault="00D44BF2" w:rsidP="00EE0C8C">
            <w:pPr>
              <w:spacing w:after="0"/>
              <w:jc w:val="both"/>
              <w:rPr>
                <w:rFonts w:eastAsia="Calibri" w:cs="Times New Roman"/>
                <w:sz w:val="20"/>
                <w:szCs w:val="20"/>
                <w:lang w:eastAsia="pl-PL"/>
              </w:rPr>
            </w:pPr>
            <w:r>
              <w:rPr>
                <w:rFonts w:eastAsia="Calibri" w:cs="Times New Roman"/>
                <w:sz w:val="20"/>
                <w:szCs w:val="20"/>
                <w:lang w:eastAsia="pl-PL"/>
              </w:rPr>
              <w:t>WYEKSPONOWANIE POMNIKÓW PRZYRODY W CENTRUM MIRCA</w:t>
            </w:r>
          </w:p>
        </w:tc>
      </w:tr>
      <w:tr w:rsidR="00EE0C8C" w:rsidRPr="00EE0C8C" w:rsidTr="00A76BDB">
        <w:trPr>
          <w:trHeight w:val="349"/>
        </w:trPr>
        <w:tc>
          <w:tcPr>
            <w:tcW w:w="0" w:type="auto"/>
            <w:shd w:val="clear" w:color="auto" w:fill="FFCC99"/>
          </w:tcPr>
          <w:p w:rsidR="00EE0C8C" w:rsidRPr="00EE0C8C" w:rsidRDefault="00D44BF2" w:rsidP="00D44BF2">
            <w:pPr>
              <w:spacing w:after="0"/>
              <w:jc w:val="center"/>
              <w:rPr>
                <w:rFonts w:eastAsia="Calibri" w:cs="Times New Roman"/>
                <w:b/>
                <w:sz w:val="20"/>
                <w:szCs w:val="20"/>
                <w:lang w:eastAsia="pl-PL"/>
              </w:rPr>
            </w:pPr>
            <w:r w:rsidRPr="00EE0C8C">
              <w:rPr>
                <w:rFonts w:eastAsia="Calibri" w:cs="Times New Roman"/>
                <w:b/>
                <w:sz w:val="20"/>
                <w:szCs w:val="20"/>
                <w:lang w:eastAsia="pl-PL"/>
              </w:rPr>
              <w:t>Nr 9</w:t>
            </w:r>
          </w:p>
        </w:tc>
        <w:tc>
          <w:tcPr>
            <w:tcW w:w="0" w:type="auto"/>
            <w:shd w:val="clear" w:color="auto" w:fill="auto"/>
          </w:tcPr>
          <w:p w:rsidR="00EE0C8C" w:rsidRPr="00EE0C8C" w:rsidRDefault="00EE0C8C" w:rsidP="00EE0C8C">
            <w:pPr>
              <w:spacing w:after="0"/>
              <w:jc w:val="both"/>
              <w:rPr>
                <w:rFonts w:eastAsia="Calibri" w:cs="Times New Roman"/>
                <w:sz w:val="20"/>
                <w:szCs w:val="20"/>
                <w:lang w:eastAsia="pl-PL"/>
              </w:rPr>
            </w:pPr>
            <w:r w:rsidRPr="00EE0C8C">
              <w:rPr>
                <w:rFonts w:eastAsia="Calibri" w:cs="Times New Roman"/>
                <w:sz w:val="20"/>
                <w:szCs w:val="20"/>
                <w:lang w:eastAsia="pl-PL"/>
              </w:rPr>
              <w:t>POWSTANIE MIEJSCA INTEGRACJI NA TERNIE PARKU PRZYDWORSKIEGO (W CENTRUM MIRCA)</w:t>
            </w:r>
          </w:p>
        </w:tc>
      </w:tr>
      <w:tr w:rsidR="00EE0C8C" w:rsidRPr="00EE0C8C" w:rsidTr="00A76BDB">
        <w:tc>
          <w:tcPr>
            <w:tcW w:w="0" w:type="auto"/>
            <w:shd w:val="clear" w:color="auto" w:fill="FFCC99"/>
          </w:tcPr>
          <w:p w:rsidR="00EE0C8C" w:rsidRPr="00EE0C8C" w:rsidRDefault="00D44BF2" w:rsidP="00EE0C8C">
            <w:pPr>
              <w:spacing w:after="0"/>
              <w:jc w:val="center"/>
              <w:rPr>
                <w:rFonts w:eastAsia="Calibri" w:cs="Times New Roman"/>
                <w:b/>
                <w:sz w:val="20"/>
                <w:szCs w:val="20"/>
                <w:lang w:eastAsia="pl-PL"/>
              </w:rPr>
            </w:pPr>
            <w:r w:rsidRPr="00EE0C8C">
              <w:rPr>
                <w:rFonts w:eastAsia="Calibri" w:cs="Times New Roman"/>
                <w:b/>
                <w:sz w:val="20"/>
                <w:szCs w:val="20"/>
                <w:lang w:eastAsia="pl-PL"/>
              </w:rPr>
              <w:t>Nr 10</w:t>
            </w:r>
          </w:p>
        </w:tc>
        <w:tc>
          <w:tcPr>
            <w:tcW w:w="0" w:type="auto"/>
            <w:shd w:val="clear" w:color="auto" w:fill="auto"/>
          </w:tcPr>
          <w:p w:rsidR="00EE0C8C" w:rsidRPr="00EE0C8C" w:rsidRDefault="00EE0C8C" w:rsidP="00EE0C8C">
            <w:pPr>
              <w:spacing w:after="0"/>
              <w:jc w:val="both"/>
              <w:rPr>
                <w:rFonts w:eastAsia="Calibri" w:cs="Times New Roman"/>
                <w:sz w:val="20"/>
                <w:szCs w:val="20"/>
                <w:lang w:eastAsia="pl-PL"/>
              </w:rPr>
            </w:pPr>
            <w:r w:rsidRPr="00EE0C8C">
              <w:rPr>
                <w:rFonts w:eastAsia="Calibri" w:cs="Times New Roman"/>
                <w:sz w:val="20"/>
                <w:szCs w:val="20"/>
                <w:lang w:eastAsia="pl-PL"/>
              </w:rPr>
              <w:t>ROZBUDOWA I MODERNIZACJA FIRMY ZAKŁAD BETONIARSKI</w:t>
            </w:r>
          </w:p>
        </w:tc>
      </w:tr>
      <w:tr w:rsidR="00EE0C8C" w:rsidRPr="00EE0C8C" w:rsidTr="00A76BDB">
        <w:trPr>
          <w:trHeight w:val="646"/>
        </w:trPr>
        <w:tc>
          <w:tcPr>
            <w:tcW w:w="0" w:type="auto"/>
            <w:shd w:val="clear" w:color="auto" w:fill="FFCC99"/>
          </w:tcPr>
          <w:p w:rsidR="00EE0C8C" w:rsidRPr="00EE0C8C" w:rsidRDefault="00D44BF2" w:rsidP="00EE0C8C">
            <w:pPr>
              <w:spacing w:after="0"/>
              <w:jc w:val="center"/>
              <w:rPr>
                <w:rFonts w:eastAsia="Calibri" w:cs="Times New Roman"/>
                <w:b/>
                <w:sz w:val="20"/>
                <w:szCs w:val="20"/>
                <w:lang w:eastAsia="pl-PL"/>
              </w:rPr>
            </w:pPr>
            <w:r w:rsidRPr="00EE0C8C">
              <w:rPr>
                <w:rFonts w:eastAsia="Calibri" w:cs="Times New Roman"/>
                <w:b/>
                <w:sz w:val="20"/>
                <w:szCs w:val="20"/>
                <w:lang w:eastAsia="pl-PL"/>
              </w:rPr>
              <w:t>Nr 11</w:t>
            </w:r>
          </w:p>
        </w:tc>
        <w:tc>
          <w:tcPr>
            <w:tcW w:w="0" w:type="auto"/>
            <w:shd w:val="clear" w:color="auto" w:fill="auto"/>
          </w:tcPr>
          <w:p w:rsidR="00EE0C8C" w:rsidRPr="00EE0C8C" w:rsidRDefault="00EE0C8C" w:rsidP="00EE0C8C">
            <w:pPr>
              <w:spacing w:after="0"/>
              <w:jc w:val="both"/>
              <w:rPr>
                <w:rFonts w:eastAsia="Calibri" w:cs="Times New Roman"/>
                <w:sz w:val="20"/>
                <w:szCs w:val="20"/>
                <w:lang w:eastAsia="pl-PL"/>
              </w:rPr>
            </w:pPr>
            <w:r w:rsidRPr="00EE0C8C">
              <w:rPr>
                <w:rFonts w:eastAsia="Calibri" w:cs="Times New Roman"/>
                <w:sz w:val="20"/>
                <w:szCs w:val="20"/>
                <w:lang w:eastAsia="pl-PL"/>
              </w:rPr>
              <w:t>MODERNIZACJA RESTAURACJI WIKTORIA Z ZASTOSOWANIEM ODNAWIALNYCH ŹRÓDEŁ ENERGII</w:t>
            </w:r>
          </w:p>
        </w:tc>
      </w:tr>
      <w:tr w:rsidR="00EE0C8C" w:rsidRPr="00EE0C8C" w:rsidTr="00A76BDB">
        <w:tc>
          <w:tcPr>
            <w:tcW w:w="0" w:type="auto"/>
            <w:shd w:val="clear" w:color="auto" w:fill="FFCC99"/>
          </w:tcPr>
          <w:p w:rsidR="00EE0C8C" w:rsidRPr="00EE0C8C" w:rsidRDefault="00D44BF2" w:rsidP="00EE0C8C">
            <w:pPr>
              <w:spacing w:after="0"/>
              <w:jc w:val="center"/>
              <w:rPr>
                <w:rFonts w:eastAsia="Calibri" w:cs="Times New Roman"/>
                <w:b/>
                <w:sz w:val="20"/>
                <w:szCs w:val="20"/>
                <w:lang w:eastAsia="pl-PL"/>
              </w:rPr>
            </w:pPr>
            <w:r w:rsidRPr="00EE0C8C">
              <w:rPr>
                <w:rFonts w:eastAsia="Calibri" w:cs="Times New Roman"/>
                <w:b/>
                <w:sz w:val="20"/>
                <w:szCs w:val="20"/>
                <w:lang w:eastAsia="pl-PL"/>
              </w:rPr>
              <w:t>Nr 12</w:t>
            </w:r>
          </w:p>
        </w:tc>
        <w:tc>
          <w:tcPr>
            <w:tcW w:w="0" w:type="auto"/>
            <w:shd w:val="clear" w:color="auto" w:fill="auto"/>
          </w:tcPr>
          <w:p w:rsidR="00EE0C8C" w:rsidRPr="00EE0C8C" w:rsidRDefault="00EE0C8C" w:rsidP="00EE0C8C">
            <w:pPr>
              <w:spacing w:after="0"/>
              <w:jc w:val="both"/>
              <w:rPr>
                <w:rFonts w:eastAsia="Calibri" w:cs="Times New Roman"/>
                <w:sz w:val="20"/>
                <w:szCs w:val="20"/>
                <w:lang w:eastAsia="pl-PL"/>
              </w:rPr>
            </w:pPr>
            <w:r w:rsidRPr="00EE0C8C">
              <w:rPr>
                <w:rFonts w:eastAsia="Calibri" w:cs="Times New Roman"/>
                <w:sz w:val="20"/>
                <w:szCs w:val="20"/>
                <w:lang w:eastAsia="pl-PL"/>
              </w:rPr>
              <w:t>TERMOMODERNIZACJA OBIEKTU HANDLOWEGO I MAGAZYNOWEGO</w:t>
            </w:r>
          </w:p>
        </w:tc>
      </w:tr>
      <w:tr w:rsidR="00EE0C8C" w:rsidRPr="00EE0C8C" w:rsidTr="00A76BDB">
        <w:tc>
          <w:tcPr>
            <w:tcW w:w="0" w:type="auto"/>
            <w:shd w:val="clear" w:color="auto" w:fill="FFCC99"/>
          </w:tcPr>
          <w:p w:rsidR="00EE0C8C" w:rsidRPr="00EE0C8C" w:rsidRDefault="00D44BF2" w:rsidP="00EE0C8C">
            <w:pPr>
              <w:spacing w:after="0"/>
              <w:jc w:val="center"/>
              <w:rPr>
                <w:rFonts w:eastAsia="Calibri" w:cs="Times New Roman"/>
                <w:b/>
                <w:sz w:val="20"/>
                <w:szCs w:val="20"/>
                <w:lang w:eastAsia="pl-PL"/>
              </w:rPr>
            </w:pPr>
            <w:r>
              <w:rPr>
                <w:rFonts w:eastAsia="Calibri" w:cs="Times New Roman"/>
                <w:b/>
                <w:sz w:val="20"/>
                <w:szCs w:val="20"/>
                <w:lang w:eastAsia="pl-PL"/>
              </w:rPr>
              <w:t>Nr 13</w:t>
            </w:r>
          </w:p>
        </w:tc>
        <w:tc>
          <w:tcPr>
            <w:tcW w:w="0" w:type="auto"/>
            <w:shd w:val="clear" w:color="auto" w:fill="auto"/>
          </w:tcPr>
          <w:p w:rsidR="00EE0C8C" w:rsidRPr="00EE0C8C" w:rsidRDefault="00EE0C8C" w:rsidP="00EE0C8C">
            <w:pPr>
              <w:spacing w:after="0"/>
              <w:jc w:val="both"/>
              <w:rPr>
                <w:rFonts w:eastAsia="Calibri" w:cs="Times New Roman"/>
                <w:sz w:val="20"/>
                <w:szCs w:val="20"/>
                <w:lang w:eastAsia="pl-PL"/>
              </w:rPr>
            </w:pPr>
            <w:r w:rsidRPr="00EE0C8C">
              <w:rPr>
                <w:rFonts w:eastAsia="Calibri" w:cs="Times New Roman"/>
                <w:sz w:val="20"/>
                <w:szCs w:val="20"/>
                <w:lang w:eastAsia="pl-PL"/>
              </w:rPr>
              <w:t>INFRASTRUKTURA EDUKACYJNA W WIEJSKIEJ ZAGRODZIE EDUKACYJNEJ</w:t>
            </w:r>
          </w:p>
        </w:tc>
      </w:tr>
      <w:tr w:rsidR="00EE0C8C" w:rsidRPr="00EE0C8C" w:rsidTr="00A76BDB">
        <w:tc>
          <w:tcPr>
            <w:tcW w:w="0" w:type="auto"/>
            <w:shd w:val="clear" w:color="auto" w:fill="FFCC99"/>
          </w:tcPr>
          <w:p w:rsidR="00EE0C8C" w:rsidRPr="00EE0C8C" w:rsidRDefault="00D44BF2" w:rsidP="00EE0C8C">
            <w:pPr>
              <w:spacing w:after="0"/>
              <w:jc w:val="center"/>
              <w:rPr>
                <w:rFonts w:eastAsia="Calibri" w:cs="Times New Roman"/>
                <w:b/>
                <w:sz w:val="20"/>
                <w:szCs w:val="20"/>
                <w:lang w:eastAsia="pl-PL"/>
              </w:rPr>
            </w:pPr>
            <w:r w:rsidRPr="00EE0C8C">
              <w:rPr>
                <w:rFonts w:eastAsia="Calibri" w:cs="Times New Roman"/>
                <w:b/>
                <w:sz w:val="20"/>
                <w:szCs w:val="20"/>
                <w:lang w:eastAsia="pl-PL"/>
              </w:rPr>
              <w:t>Nr 1</w:t>
            </w:r>
            <w:r>
              <w:rPr>
                <w:rFonts w:eastAsia="Calibri" w:cs="Times New Roman"/>
                <w:b/>
                <w:sz w:val="20"/>
                <w:szCs w:val="20"/>
                <w:lang w:eastAsia="pl-PL"/>
              </w:rPr>
              <w:t>4</w:t>
            </w:r>
          </w:p>
        </w:tc>
        <w:tc>
          <w:tcPr>
            <w:tcW w:w="0" w:type="auto"/>
            <w:shd w:val="clear" w:color="auto" w:fill="auto"/>
          </w:tcPr>
          <w:p w:rsidR="00EE0C8C" w:rsidRPr="00EE0C8C" w:rsidRDefault="00EE0C8C" w:rsidP="00EE0C8C">
            <w:pPr>
              <w:spacing w:after="0"/>
              <w:jc w:val="both"/>
              <w:rPr>
                <w:rFonts w:eastAsia="Calibri" w:cs="Times New Roman"/>
                <w:sz w:val="20"/>
                <w:szCs w:val="20"/>
                <w:lang w:eastAsia="pl-PL"/>
              </w:rPr>
            </w:pPr>
            <w:r w:rsidRPr="00EE0C8C">
              <w:rPr>
                <w:rFonts w:eastAsia="Calibri" w:cs="Times New Roman"/>
                <w:sz w:val="20"/>
                <w:szCs w:val="20"/>
                <w:lang w:eastAsia="pl-PL"/>
              </w:rPr>
              <w:t>KOMPLEKSOWA ROZBUDOWA WRAZ Z ZAGOSPODAROWANIEM TERENU NA KOMPLEKSIE DOM OPIEKI HELENA (DOM OPIEKI)</w:t>
            </w:r>
          </w:p>
        </w:tc>
      </w:tr>
      <w:tr w:rsidR="00EE0C8C" w:rsidRPr="00EE0C8C" w:rsidTr="00A76BDB">
        <w:tc>
          <w:tcPr>
            <w:tcW w:w="0" w:type="auto"/>
            <w:shd w:val="clear" w:color="auto" w:fill="FFCC99"/>
          </w:tcPr>
          <w:p w:rsidR="00EE0C8C" w:rsidRPr="00EE0C8C" w:rsidRDefault="00D44BF2" w:rsidP="00EE0C8C">
            <w:pPr>
              <w:spacing w:after="0"/>
              <w:jc w:val="center"/>
              <w:rPr>
                <w:rFonts w:eastAsia="Calibri" w:cs="Times New Roman"/>
                <w:b/>
                <w:sz w:val="20"/>
                <w:szCs w:val="20"/>
                <w:lang w:eastAsia="pl-PL"/>
              </w:rPr>
            </w:pPr>
            <w:r w:rsidRPr="00EE0C8C">
              <w:rPr>
                <w:rFonts w:eastAsia="Calibri" w:cs="Times New Roman"/>
                <w:b/>
                <w:sz w:val="20"/>
                <w:szCs w:val="20"/>
                <w:lang w:eastAsia="pl-PL"/>
              </w:rPr>
              <w:t>Nr 1</w:t>
            </w:r>
            <w:r>
              <w:rPr>
                <w:rFonts w:eastAsia="Calibri" w:cs="Times New Roman"/>
                <w:b/>
                <w:sz w:val="20"/>
                <w:szCs w:val="20"/>
                <w:lang w:eastAsia="pl-PL"/>
              </w:rPr>
              <w:t>5</w:t>
            </w:r>
          </w:p>
        </w:tc>
        <w:tc>
          <w:tcPr>
            <w:tcW w:w="0" w:type="auto"/>
            <w:shd w:val="clear" w:color="auto" w:fill="auto"/>
          </w:tcPr>
          <w:p w:rsidR="00EE0C8C" w:rsidRPr="00EE0C8C" w:rsidRDefault="00EE0C8C" w:rsidP="00EE0C8C">
            <w:pPr>
              <w:spacing w:after="0"/>
              <w:jc w:val="both"/>
              <w:rPr>
                <w:rFonts w:eastAsia="Calibri" w:cs="Times New Roman"/>
                <w:sz w:val="20"/>
                <w:szCs w:val="20"/>
                <w:lang w:eastAsia="pl-PL"/>
              </w:rPr>
            </w:pPr>
            <w:r w:rsidRPr="00EE0C8C">
              <w:rPr>
                <w:rFonts w:eastAsia="Calibri" w:cs="Times New Roman"/>
                <w:sz w:val="20"/>
                <w:szCs w:val="20"/>
                <w:lang w:eastAsia="pl-PL"/>
              </w:rPr>
              <w:t>EFEKTYWNOŚĆ ENERGETYCZNA W BUDYNKACH MIESZKALNYCH (OSÓB FIZYCZNYCH) POPRZEZ TERMOMODERNIZACJĘ Z MOŻLIWOŚCIĄ ZAKUPU I MONTAŻU INSTALACJI OZE</w:t>
            </w:r>
          </w:p>
        </w:tc>
      </w:tr>
      <w:tr w:rsidR="004A7FC0" w:rsidRPr="00EE0C8C" w:rsidTr="00A76BDB">
        <w:tc>
          <w:tcPr>
            <w:tcW w:w="0" w:type="auto"/>
            <w:shd w:val="clear" w:color="auto" w:fill="FFCC99"/>
          </w:tcPr>
          <w:p w:rsidR="004A7FC0" w:rsidRPr="00EE0C8C" w:rsidRDefault="00D44BF2" w:rsidP="00EE0C8C">
            <w:pPr>
              <w:spacing w:after="0"/>
              <w:jc w:val="center"/>
              <w:rPr>
                <w:rFonts w:eastAsia="Calibri" w:cs="Times New Roman"/>
                <w:b/>
                <w:sz w:val="20"/>
                <w:szCs w:val="20"/>
                <w:lang w:eastAsia="pl-PL"/>
              </w:rPr>
            </w:pPr>
            <w:r>
              <w:rPr>
                <w:rFonts w:eastAsia="Calibri" w:cs="Times New Roman"/>
                <w:b/>
                <w:sz w:val="20"/>
                <w:szCs w:val="20"/>
                <w:lang w:eastAsia="pl-PL"/>
              </w:rPr>
              <w:t>Nr 16</w:t>
            </w:r>
          </w:p>
        </w:tc>
        <w:tc>
          <w:tcPr>
            <w:tcW w:w="0" w:type="auto"/>
            <w:shd w:val="clear" w:color="auto" w:fill="auto"/>
          </w:tcPr>
          <w:p w:rsidR="004A7FC0" w:rsidRPr="00EE0C8C" w:rsidRDefault="00D44BF2" w:rsidP="00D44BF2">
            <w:pPr>
              <w:spacing w:after="0"/>
              <w:jc w:val="both"/>
              <w:rPr>
                <w:rFonts w:eastAsia="Calibri" w:cs="Times New Roman"/>
                <w:sz w:val="20"/>
                <w:szCs w:val="20"/>
                <w:lang w:eastAsia="pl-PL"/>
              </w:rPr>
            </w:pPr>
            <w:r>
              <w:rPr>
                <w:rFonts w:eastAsia="Calibri" w:cs="Times New Roman"/>
                <w:sz w:val="20"/>
                <w:szCs w:val="20"/>
                <w:lang w:eastAsia="pl-PL"/>
              </w:rPr>
              <w:t>WYPOSAŻENIE W SPRZĘT ZAKŁADU FRYZJERSKIEGO I SOLARIUM PN.,,GOLD HAIR” W CENTRUM MIRCA</w:t>
            </w:r>
          </w:p>
        </w:tc>
      </w:tr>
    </w:tbl>
    <w:p w:rsidR="00EE0C8C" w:rsidRPr="00EE0C8C" w:rsidRDefault="00EE0C8C" w:rsidP="00EE0C8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26"/>
        <w:gridCol w:w="8056"/>
      </w:tblGrid>
      <w:tr w:rsidR="00EE0C8C" w:rsidRPr="00EE0C8C" w:rsidTr="00A76BDB">
        <w:trPr>
          <w:tblHeader/>
        </w:trPr>
        <w:tc>
          <w:tcPr>
            <w:tcW w:w="565" w:type="pct"/>
            <w:shd w:val="clear" w:color="auto" w:fill="CCCCFF"/>
            <w:vAlign w:val="center"/>
          </w:tcPr>
          <w:p w:rsidR="00EE0C8C" w:rsidRPr="00EE0C8C" w:rsidRDefault="00EE0C8C" w:rsidP="00EE0C8C">
            <w:pPr>
              <w:spacing w:after="0"/>
              <w:jc w:val="center"/>
              <w:rPr>
                <w:rFonts w:eastAsia="Calibri" w:cs="Times New Roman"/>
                <w:b/>
                <w:sz w:val="24"/>
                <w:szCs w:val="24"/>
                <w:lang w:eastAsia="pl-PL"/>
              </w:rPr>
            </w:pPr>
            <w:r w:rsidRPr="00EE0C8C">
              <w:rPr>
                <w:rFonts w:eastAsia="Calibri" w:cs="Times New Roman"/>
                <w:b/>
                <w:sz w:val="24"/>
                <w:szCs w:val="24"/>
                <w:lang w:eastAsia="pl-PL"/>
              </w:rPr>
              <w:t>NUMER ZADANIA</w:t>
            </w:r>
          </w:p>
        </w:tc>
        <w:tc>
          <w:tcPr>
            <w:tcW w:w="4435" w:type="pct"/>
            <w:shd w:val="clear" w:color="auto" w:fill="CCCCFF"/>
            <w:vAlign w:val="center"/>
          </w:tcPr>
          <w:p w:rsidR="00EE0C8C" w:rsidRPr="00EE0C8C" w:rsidRDefault="00EE0C8C" w:rsidP="00EE0C8C">
            <w:pPr>
              <w:spacing w:after="0"/>
              <w:jc w:val="center"/>
              <w:rPr>
                <w:rFonts w:eastAsia="Calibri" w:cs="Times New Roman"/>
                <w:b/>
                <w:sz w:val="24"/>
                <w:szCs w:val="24"/>
                <w:lang w:eastAsia="pl-PL"/>
              </w:rPr>
            </w:pPr>
            <w:r w:rsidRPr="00EE0C8C">
              <w:rPr>
                <w:rFonts w:eastAsia="Calibri" w:cs="Times New Roman"/>
                <w:b/>
                <w:sz w:val="24"/>
                <w:szCs w:val="24"/>
                <w:lang w:eastAsia="pl-PL"/>
              </w:rPr>
              <w:t>TYTUŁ PRZEDSIĘWZIĘCIA SPOŁECZNEGO</w:t>
            </w:r>
          </w:p>
        </w:tc>
      </w:tr>
      <w:tr w:rsidR="00EE0C8C" w:rsidRPr="00EE0C8C" w:rsidTr="00A76BDB">
        <w:tc>
          <w:tcPr>
            <w:tcW w:w="565" w:type="pct"/>
            <w:shd w:val="clear" w:color="auto" w:fill="CCCCFF"/>
          </w:tcPr>
          <w:p w:rsidR="00EE0C8C" w:rsidRPr="00EE0C8C" w:rsidRDefault="00EE0C8C" w:rsidP="00EE0C8C">
            <w:pPr>
              <w:spacing w:after="0"/>
              <w:jc w:val="center"/>
              <w:rPr>
                <w:rFonts w:eastAsia="Calibri" w:cs="Times New Roman"/>
                <w:b/>
                <w:sz w:val="20"/>
                <w:szCs w:val="20"/>
                <w:lang w:eastAsia="pl-PL"/>
              </w:rPr>
            </w:pPr>
            <w:r w:rsidRPr="00EE0C8C">
              <w:rPr>
                <w:rFonts w:eastAsia="Calibri" w:cs="Times New Roman"/>
                <w:b/>
                <w:sz w:val="20"/>
                <w:szCs w:val="20"/>
                <w:lang w:eastAsia="pl-PL"/>
              </w:rPr>
              <w:t>NR 1</w:t>
            </w:r>
          </w:p>
        </w:tc>
        <w:tc>
          <w:tcPr>
            <w:tcW w:w="4435" w:type="pct"/>
            <w:shd w:val="clear" w:color="auto" w:fill="auto"/>
          </w:tcPr>
          <w:p w:rsidR="00EE0C8C" w:rsidRPr="00EE0C8C" w:rsidRDefault="00EE0C8C" w:rsidP="00EE0C8C">
            <w:pPr>
              <w:spacing w:after="0"/>
              <w:jc w:val="both"/>
              <w:rPr>
                <w:rFonts w:eastAsia="Calibri" w:cs="Times New Roman"/>
                <w:sz w:val="20"/>
                <w:szCs w:val="20"/>
                <w:lang w:eastAsia="pl-PL"/>
              </w:rPr>
            </w:pPr>
            <w:r w:rsidRPr="00EE0C8C">
              <w:rPr>
                <w:rFonts w:eastAsia="Calibri" w:cs="Times New Roman"/>
                <w:sz w:val="20"/>
                <w:szCs w:val="20"/>
                <w:lang w:eastAsia="pl-PL"/>
              </w:rPr>
              <w:t xml:space="preserve">PROGRAM GIMNASTYKI KOREKCYJNEJ I ZAPOBIEGANIA WADOM POSTAWY CIAŁA WŚRÓD </w:t>
            </w:r>
            <w:r w:rsidRPr="00EE0C8C">
              <w:rPr>
                <w:rFonts w:eastAsia="Calibri" w:cs="Times New Roman"/>
                <w:sz w:val="20"/>
                <w:szCs w:val="20"/>
                <w:lang w:eastAsia="pl-PL"/>
              </w:rPr>
              <w:lastRenderedPageBreak/>
              <w:t>UCZNIÓW Z TERENU GMINY MIRZEC</w:t>
            </w:r>
          </w:p>
        </w:tc>
      </w:tr>
      <w:tr w:rsidR="00EE0C8C" w:rsidRPr="00EE0C8C" w:rsidTr="00A76BDB">
        <w:tc>
          <w:tcPr>
            <w:tcW w:w="565" w:type="pct"/>
            <w:shd w:val="clear" w:color="auto" w:fill="CCCCFF"/>
          </w:tcPr>
          <w:p w:rsidR="00EE0C8C" w:rsidRPr="00EE0C8C" w:rsidRDefault="00EE0C8C" w:rsidP="00EE0C8C">
            <w:pPr>
              <w:spacing w:after="0"/>
              <w:jc w:val="center"/>
              <w:rPr>
                <w:rFonts w:eastAsia="Calibri" w:cs="Times New Roman"/>
                <w:b/>
                <w:sz w:val="20"/>
                <w:szCs w:val="20"/>
                <w:lang w:eastAsia="pl-PL"/>
              </w:rPr>
            </w:pPr>
            <w:r w:rsidRPr="00EE0C8C">
              <w:rPr>
                <w:rFonts w:eastAsia="Calibri" w:cs="Times New Roman"/>
                <w:b/>
                <w:sz w:val="20"/>
                <w:szCs w:val="20"/>
                <w:lang w:eastAsia="pl-PL"/>
              </w:rPr>
              <w:lastRenderedPageBreak/>
              <w:t>NR 2</w:t>
            </w:r>
          </w:p>
        </w:tc>
        <w:tc>
          <w:tcPr>
            <w:tcW w:w="4435" w:type="pct"/>
            <w:shd w:val="clear" w:color="auto" w:fill="auto"/>
          </w:tcPr>
          <w:p w:rsidR="00EE0C8C" w:rsidRPr="00EE0C8C" w:rsidRDefault="00EE0C8C" w:rsidP="00EE0C8C">
            <w:pPr>
              <w:spacing w:after="0"/>
              <w:jc w:val="both"/>
              <w:rPr>
                <w:rFonts w:eastAsia="Calibri" w:cs="Times New Roman"/>
                <w:sz w:val="20"/>
                <w:szCs w:val="20"/>
                <w:lang w:eastAsia="pl-PL"/>
              </w:rPr>
            </w:pPr>
            <w:r w:rsidRPr="00EE0C8C">
              <w:rPr>
                <w:rFonts w:eastAsia="Calibri" w:cs="Times New Roman"/>
                <w:sz w:val="20"/>
                <w:szCs w:val="20"/>
                <w:lang w:eastAsia="pl-PL"/>
              </w:rPr>
              <w:t>MŁODZIEŻOWA RADA GMINY MIRZEC</w:t>
            </w:r>
          </w:p>
        </w:tc>
      </w:tr>
      <w:tr w:rsidR="00EE0C8C" w:rsidRPr="00EE0C8C" w:rsidTr="00A76BDB">
        <w:tc>
          <w:tcPr>
            <w:tcW w:w="565" w:type="pct"/>
            <w:shd w:val="clear" w:color="auto" w:fill="CCCCFF"/>
          </w:tcPr>
          <w:p w:rsidR="00EE0C8C" w:rsidRPr="00EE0C8C" w:rsidRDefault="00EE0C8C" w:rsidP="00EE0C8C">
            <w:pPr>
              <w:spacing w:after="0"/>
              <w:jc w:val="center"/>
              <w:rPr>
                <w:rFonts w:eastAsia="Calibri" w:cs="Times New Roman"/>
                <w:b/>
                <w:sz w:val="20"/>
                <w:szCs w:val="20"/>
                <w:lang w:eastAsia="pl-PL"/>
              </w:rPr>
            </w:pPr>
            <w:r w:rsidRPr="00EE0C8C">
              <w:rPr>
                <w:rFonts w:eastAsia="Calibri" w:cs="Times New Roman"/>
                <w:b/>
                <w:sz w:val="20"/>
                <w:szCs w:val="20"/>
                <w:lang w:eastAsia="pl-PL"/>
              </w:rPr>
              <w:t>NR 3</w:t>
            </w:r>
          </w:p>
        </w:tc>
        <w:tc>
          <w:tcPr>
            <w:tcW w:w="4435" w:type="pct"/>
            <w:shd w:val="clear" w:color="auto" w:fill="auto"/>
          </w:tcPr>
          <w:p w:rsidR="00EE0C8C" w:rsidRPr="00EE0C8C" w:rsidRDefault="00EE0C8C" w:rsidP="00EE0C8C">
            <w:pPr>
              <w:spacing w:after="0"/>
              <w:jc w:val="both"/>
              <w:rPr>
                <w:rFonts w:eastAsia="Calibri" w:cs="Times New Roman"/>
                <w:sz w:val="20"/>
                <w:szCs w:val="20"/>
                <w:lang w:eastAsia="pl-PL"/>
              </w:rPr>
            </w:pPr>
            <w:r w:rsidRPr="00EE0C8C">
              <w:rPr>
                <w:rFonts w:eastAsia="Calibri" w:cs="Times New Roman"/>
                <w:sz w:val="20"/>
                <w:szCs w:val="20"/>
                <w:lang w:eastAsia="pl-PL"/>
              </w:rPr>
              <w:t>WSPÓLNA SPRAWA</w:t>
            </w:r>
          </w:p>
        </w:tc>
      </w:tr>
      <w:tr w:rsidR="00EE0C8C" w:rsidRPr="00EE0C8C" w:rsidTr="00A76BDB">
        <w:tc>
          <w:tcPr>
            <w:tcW w:w="565" w:type="pct"/>
            <w:shd w:val="clear" w:color="auto" w:fill="CCCCFF"/>
          </w:tcPr>
          <w:p w:rsidR="00EE0C8C" w:rsidRPr="00EE0C8C" w:rsidRDefault="00EE0C8C" w:rsidP="00EE0C8C">
            <w:pPr>
              <w:spacing w:after="0"/>
              <w:jc w:val="center"/>
              <w:rPr>
                <w:rFonts w:eastAsia="Calibri" w:cs="Times New Roman"/>
                <w:b/>
                <w:sz w:val="20"/>
                <w:szCs w:val="20"/>
                <w:lang w:eastAsia="pl-PL"/>
              </w:rPr>
            </w:pPr>
            <w:r w:rsidRPr="00EE0C8C">
              <w:rPr>
                <w:rFonts w:eastAsia="Calibri" w:cs="Times New Roman"/>
                <w:b/>
                <w:sz w:val="20"/>
                <w:szCs w:val="20"/>
                <w:lang w:eastAsia="pl-PL"/>
              </w:rPr>
              <w:t>NR 4</w:t>
            </w:r>
          </w:p>
        </w:tc>
        <w:tc>
          <w:tcPr>
            <w:tcW w:w="4435" w:type="pct"/>
            <w:shd w:val="clear" w:color="auto" w:fill="auto"/>
          </w:tcPr>
          <w:p w:rsidR="00EE0C8C" w:rsidRPr="00EE0C8C" w:rsidRDefault="00EE0C8C" w:rsidP="00EE0C8C">
            <w:pPr>
              <w:spacing w:after="0"/>
              <w:jc w:val="both"/>
              <w:rPr>
                <w:rFonts w:eastAsia="Calibri" w:cs="Times New Roman"/>
                <w:sz w:val="20"/>
                <w:szCs w:val="20"/>
                <w:lang w:eastAsia="pl-PL"/>
              </w:rPr>
            </w:pPr>
            <w:r w:rsidRPr="00EE0C8C">
              <w:rPr>
                <w:rFonts w:eastAsia="Calibri" w:cs="Times New Roman"/>
                <w:sz w:val="20"/>
                <w:szCs w:val="20"/>
                <w:lang w:eastAsia="pl-PL"/>
              </w:rPr>
              <w:t>AKTYWIZACJA ZAWODOWA W STOSUNKU DO OSÓB SEKTORA BRANŻY KAMIENIA I USŁUGI BETONIARSKIE</w:t>
            </w:r>
          </w:p>
        </w:tc>
      </w:tr>
      <w:tr w:rsidR="00EE0C8C" w:rsidRPr="00EE0C8C" w:rsidTr="00A76BDB">
        <w:tc>
          <w:tcPr>
            <w:tcW w:w="565" w:type="pct"/>
            <w:shd w:val="clear" w:color="auto" w:fill="CCCCFF"/>
          </w:tcPr>
          <w:p w:rsidR="00EE0C8C" w:rsidRPr="00EE0C8C" w:rsidRDefault="00EE0C8C" w:rsidP="00EE0C8C">
            <w:pPr>
              <w:spacing w:after="0"/>
              <w:jc w:val="center"/>
              <w:rPr>
                <w:rFonts w:eastAsia="Calibri" w:cs="Times New Roman"/>
                <w:b/>
                <w:sz w:val="20"/>
                <w:szCs w:val="20"/>
                <w:lang w:eastAsia="pl-PL"/>
              </w:rPr>
            </w:pPr>
            <w:r w:rsidRPr="00EE0C8C">
              <w:rPr>
                <w:rFonts w:eastAsia="Calibri" w:cs="Times New Roman"/>
                <w:b/>
                <w:sz w:val="20"/>
                <w:szCs w:val="20"/>
                <w:lang w:eastAsia="pl-PL"/>
              </w:rPr>
              <w:t>NR 5</w:t>
            </w:r>
          </w:p>
        </w:tc>
        <w:tc>
          <w:tcPr>
            <w:tcW w:w="4435" w:type="pct"/>
            <w:shd w:val="clear" w:color="auto" w:fill="auto"/>
          </w:tcPr>
          <w:p w:rsidR="00EE0C8C" w:rsidRPr="00EE0C8C" w:rsidRDefault="00EE0C8C" w:rsidP="00EE0C8C">
            <w:pPr>
              <w:spacing w:after="0"/>
              <w:jc w:val="both"/>
              <w:rPr>
                <w:rFonts w:eastAsia="Calibri" w:cs="Times New Roman"/>
                <w:sz w:val="20"/>
                <w:szCs w:val="20"/>
                <w:lang w:eastAsia="pl-PL"/>
              </w:rPr>
            </w:pPr>
            <w:r w:rsidRPr="00EE0C8C">
              <w:rPr>
                <w:rFonts w:eastAsia="Calibri" w:cs="Times New Roman"/>
                <w:sz w:val="20"/>
                <w:szCs w:val="20"/>
                <w:lang w:eastAsia="pl-PL"/>
              </w:rPr>
              <w:t>ZATRUDNIENIE 1 OSOBY</w:t>
            </w:r>
          </w:p>
        </w:tc>
      </w:tr>
      <w:tr w:rsidR="00EE0C8C" w:rsidRPr="00EE0C8C" w:rsidTr="00A76BDB">
        <w:tc>
          <w:tcPr>
            <w:tcW w:w="565" w:type="pct"/>
            <w:shd w:val="clear" w:color="auto" w:fill="CCCCFF"/>
          </w:tcPr>
          <w:p w:rsidR="00EE0C8C" w:rsidRPr="00EE0C8C" w:rsidRDefault="00EE0C8C" w:rsidP="00EE0C8C">
            <w:pPr>
              <w:spacing w:after="0"/>
              <w:jc w:val="center"/>
              <w:rPr>
                <w:rFonts w:eastAsia="Calibri" w:cs="Times New Roman"/>
                <w:b/>
                <w:sz w:val="20"/>
                <w:szCs w:val="20"/>
                <w:lang w:eastAsia="pl-PL"/>
              </w:rPr>
            </w:pPr>
            <w:r w:rsidRPr="00EE0C8C">
              <w:rPr>
                <w:rFonts w:eastAsia="Calibri" w:cs="Times New Roman"/>
                <w:b/>
                <w:sz w:val="20"/>
                <w:szCs w:val="20"/>
                <w:lang w:eastAsia="pl-PL"/>
              </w:rPr>
              <w:t>NR 6</w:t>
            </w:r>
          </w:p>
        </w:tc>
        <w:tc>
          <w:tcPr>
            <w:tcW w:w="4435" w:type="pct"/>
            <w:shd w:val="clear" w:color="auto" w:fill="auto"/>
          </w:tcPr>
          <w:p w:rsidR="00EE0C8C" w:rsidRPr="00EE0C8C" w:rsidRDefault="00EE0C8C" w:rsidP="00EE0C8C">
            <w:pPr>
              <w:spacing w:after="0"/>
              <w:jc w:val="both"/>
              <w:rPr>
                <w:rFonts w:eastAsia="Calibri" w:cs="Times New Roman"/>
                <w:sz w:val="20"/>
                <w:szCs w:val="20"/>
                <w:lang w:eastAsia="pl-PL"/>
              </w:rPr>
            </w:pPr>
            <w:r w:rsidRPr="00EE0C8C">
              <w:rPr>
                <w:rFonts w:eastAsia="Calibri" w:cs="Times New Roman"/>
                <w:sz w:val="20"/>
                <w:szCs w:val="20"/>
                <w:lang w:eastAsia="pl-PL"/>
              </w:rPr>
              <w:t>PRZECIWDZIAŁANIE BEZROBOCIU POPRZEZ ZATRUDNIENIE SPRZEDAWCÓW MAGAZYNIERA</w:t>
            </w:r>
          </w:p>
        </w:tc>
      </w:tr>
      <w:tr w:rsidR="00EE0C8C" w:rsidRPr="00EE0C8C" w:rsidTr="00A76BDB">
        <w:tc>
          <w:tcPr>
            <w:tcW w:w="565" w:type="pct"/>
            <w:shd w:val="clear" w:color="auto" w:fill="CCCCFF"/>
          </w:tcPr>
          <w:p w:rsidR="00EE0C8C" w:rsidRPr="00EE0C8C" w:rsidRDefault="00EE0C8C" w:rsidP="00EE0C8C">
            <w:pPr>
              <w:spacing w:after="0"/>
              <w:jc w:val="center"/>
              <w:rPr>
                <w:rFonts w:eastAsia="Calibri" w:cs="Times New Roman"/>
                <w:b/>
                <w:sz w:val="20"/>
                <w:szCs w:val="20"/>
                <w:lang w:eastAsia="pl-PL"/>
              </w:rPr>
            </w:pPr>
            <w:r w:rsidRPr="00EE0C8C">
              <w:rPr>
                <w:rFonts w:eastAsia="Calibri" w:cs="Times New Roman"/>
                <w:b/>
                <w:sz w:val="20"/>
                <w:szCs w:val="20"/>
                <w:lang w:eastAsia="pl-PL"/>
              </w:rPr>
              <w:t>NR 7</w:t>
            </w:r>
          </w:p>
        </w:tc>
        <w:tc>
          <w:tcPr>
            <w:tcW w:w="4435" w:type="pct"/>
            <w:shd w:val="clear" w:color="auto" w:fill="auto"/>
          </w:tcPr>
          <w:p w:rsidR="00EE0C8C" w:rsidRPr="00EE0C8C" w:rsidRDefault="00EE0C8C" w:rsidP="00EE0C8C">
            <w:pPr>
              <w:spacing w:after="0"/>
              <w:jc w:val="both"/>
              <w:rPr>
                <w:rFonts w:eastAsia="Calibri" w:cs="Times New Roman"/>
                <w:sz w:val="20"/>
                <w:szCs w:val="20"/>
                <w:lang w:eastAsia="pl-PL"/>
              </w:rPr>
            </w:pPr>
            <w:r w:rsidRPr="00EE0C8C">
              <w:rPr>
                <w:rFonts w:eastAsia="Calibri" w:cs="Times New Roman"/>
                <w:sz w:val="20"/>
                <w:szCs w:val="20"/>
                <w:lang w:eastAsia="pl-PL"/>
              </w:rPr>
              <w:t>Z SENIOREM PRZEZ ŻYCIE</w:t>
            </w:r>
          </w:p>
        </w:tc>
      </w:tr>
      <w:tr w:rsidR="00EE0C8C" w:rsidRPr="00EE0C8C" w:rsidTr="00A76BDB">
        <w:tc>
          <w:tcPr>
            <w:tcW w:w="565" w:type="pct"/>
            <w:shd w:val="clear" w:color="auto" w:fill="CCCCFF"/>
          </w:tcPr>
          <w:p w:rsidR="00EE0C8C" w:rsidRPr="00EE0C8C" w:rsidRDefault="00EE0C8C" w:rsidP="00EE0C8C">
            <w:pPr>
              <w:spacing w:after="0"/>
              <w:jc w:val="center"/>
              <w:rPr>
                <w:rFonts w:eastAsia="Calibri" w:cs="Times New Roman"/>
                <w:b/>
                <w:sz w:val="20"/>
                <w:szCs w:val="20"/>
                <w:lang w:eastAsia="pl-PL"/>
              </w:rPr>
            </w:pPr>
            <w:r w:rsidRPr="00EE0C8C">
              <w:rPr>
                <w:rFonts w:eastAsia="Calibri" w:cs="Times New Roman"/>
                <w:b/>
                <w:sz w:val="20"/>
                <w:szCs w:val="20"/>
                <w:lang w:eastAsia="pl-PL"/>
              </w:rPr>
              <w:t>NR 8</w:t>
            </w:r>
          </w:p>
        </w:tc>
        <w:tc>
          <w:tcPr>
            <w:tcW w:w="4435" w:type="pct"/>
            <w:shd w:val="clear" w:color="auto" w:fill="auto"/>
          </w:tcPr>
          <w:p w:rsidR="00EE0C8C" w:rsidRPr="00EE0C8C" w:rsidRDefault="00EE0C8C" w:rsidP="00EE0C8C">
            <w:pPr>
              <w:spacing w:after="0"/>
              <w:jc w:val="both"/>
              <w:rPr>
                <w:rFonts w:eastAsia="Calibri" w:cs="Times New Roman"/>
                <w:sz w:val="20"/>
                <w:szCs w:val="20"/>
                <w:lang w:eastAsia="pl-PL"/>
              </w:rPr>
            </w:pPr>
            <w:r w:rsidRPr="00EE0C8C">
              <w:rPr>
                <w:rFonts w:eastAsia="Calibri" w:cs="Times New Roman"/>
                <w:sz w:val="20"/>
                <w:szCs w:val="20"/>
                <w:lang w:eastAsia="pl-PL"/>
              </w:rPr>
              <w:t>ZATRUDNIENIE OSOBY DO OBSŁUGI</w:t>
            </w:r>
          </w:p>
        </w:tc>
      </w:tr>
    </w:tbl>
    <w:p w:rsidR="00EE0C8C" w:rsidRPr="00EE0C8C" w:rsidRDefault="00EE0C8C" w:rsidP="00EE0C8C"/>
    <w:p w:rsidR="00EE0C8C" w:rsidRPr="00EE0C8C" w:rsidRDefault="00EE0C8C" w:rsidP="00EE0C8C"/>
    <w:p w:rsidR="00EE0C8C" w:rsidRPr="00EE0C8C" w:rsidRDefault="00EE0C8C" w:rsidP="00A76BDB">
      <w:pPr>
        <w:pStyle w:val="Nagwek2"/>
        <w:rPr>
          <w:lang w:eastAsia="pl-PL"/>
        </w:rPr>
      </w:pPr>
      <w:bookmarkStart w:id="90" w:name="_Toc450562500"/>
      <w:r w:rsidRPr="00EE0C8C">
        <w:rPr>
          <w:lang w:eastAsia="pl-PL"/>
        </w:rPr>
        <w:t>3.1.WYNIKI ANKIETY REWITALIZACYJNEJ Centrum Mirca do 2020 (II etap) przygotowanej przez Urząd Gminy w Mircu</w:t>
      </w:r>
      <w:bookmarkEnd w:id="90"/>
    </w:p>
    <w:p w:rsidR="00EE0C8C" w:rsidRPr="00EE0C8C" w:rsidRDefault="00EE0C8C" w:rsidP="00EE0C8C">
      <w:pPr>
        <w:rPr>
          <w:lang w:eastAsia="pl-PL"/>
        </w:rPr>
      </w:pPr>
    </w:p>
    <w:p w:rsidR="00EE0C8C" w:rsidRPr="00EE0C8C" w:rsidRDefault="00EE0C8C" w:rsidP="00EE0C8C">
      <w:pPr>
        <w:spacing w:after="0"/>
        <w:ind w:firstLine="708"/>
        <w:jc w:val="both"/>
        <w:rPr>
          <w:rFonts w:ascii="Calibri" w:eastAsia="Times New Roman" w:hAnsi="Calibri" w:cs="Times New Roman"/>
          <w:lang w:eastAsia="pl-PL"/>
        </w:rPr>
      </w:pPr>
      <w:r w:rsidRPr="00EE0C8C">
        <w:rPr>
          <w:rFonts w:ascii="Calibri" w:eastAsia="Times New Roman" w:hAnsi="Calibri" w:cs="Times New Roman"/>
          <w:lang w:eastAsia="pl-PL"/>
        </w:rPr>
        <w:t>W ankietach rewitalizacyjnych respondenci wśród negatywnych zjawisk  wymieniali poza już wspomnianymi czynnikami  również   brak miejsc do propagowania aktywnego stylu życia, w tym: gimnastyki korekcyjnej i innych działań związanych z ruchem na świeżym powietrzu, czy też brak miejsc integracyjno-aktywizacyjnych. Ponadto  respondenci wskazywali  na  ograniczenia dostępu do usług zdrowotnych przez występujące bariery architektoniczne oraz nie wystarczające do potrzeb mieszkańców usługi świadczone przez PZOZ, a także specjalistki ( poniżej wykresy).</w:t>
      </w:r>
    </w:p>
    <w:p w:rsidR="00EE0C8C" w:rsidRPr="00EE0C8C" w:rsidRDefault="00EE0C8C" w:rsidP="00EE0C8C">
      <w:pPr>
        <w:rPr>
          <w:rFonts w:ascii="Calibri" w:eastAsia="Times New Roman" w:hAnsi="Calibri" w:cs="Times New Roman"/>
          <w:sz w:val="16"/>
          <w:szCs w:val="16"/>
          <w:lang w:eastAsia="pl-PL"/>
        </w:rPr>
      </w:pPr>
    </w:p>
    <w:p w:rsidR="00EE0C8C" w:rsidRPr="00EE0C8C" w:rsidRDefault="00EE0C8C" w:rsidP="00EE0C8C">
      <w:pPr>
        <w:rPr>
          <w:rFonts w:ascii="Calibri" w:eastAsia="Times New Roman" w:hAnsi="Calibri" w:cs="Times New Roman"/>
          <w:lang w:eastAsia="pl-PL"/>
        </w:rPr>
      </w:pPr>
      <w:r w:rsidRPr="00EE0C8C">
        <w:rPr>
          <w:rFonts w:ascii="Calibri" w:eastAsia="Times New Roman" w:hAnsi="Calibri" w:cs="Times New Roman"/>
          <w:lang w:eastAsia="pl-PL"/>
        </w:rPr>
        <w:t>Proszę zaznaczyć jakie główne cele winny być realizowane w przypadku działań rewitalizacji centrum Mirca do roku 2020?</w:t>
      </w:r>
    </w:p>
    <w:p w:rsidR="00EE0C8C" w:rsidRPr="00EE0C8C" w:rsidRDefault="00EE0C8C" w:rsidP="00EE0C8C">
      <w:pPr>
        <w:ind w:left="720"/>
        <w:contextualSpacing/>
        <w:rPr>
          <w:rFonts w:ascii="Calibri" w:eastAsia="Calibri" w:hAnsi="Calibri" w:cs="Times New Roman"/>
          <w:lang w:eastAsia="pl-PL"/>
        </w:rPr>
      </w:pPr>
      <w:r w:rsidRPr="00EE0C8C">
        <w:rPr>
          <w:rFonts w:ascii="Calibri" w:eastAsia="Calibri" w:hAnsi="Calibri" w:cs="Times New Roman"/>
          <w:lang w:eastAsia="pl-PL"/>
        </w:rPr>
        <w:t>(Ankietowani mogli zaznaczyć kilka odpowiedzi)</w:t>
      </w:r>
    </w:p>
    <w:p w:rsidR="00EE0C8C" w:rsidRPr="00EE0C8C" w:rsidRDefault="00EE0C8C" w:rsidP="00EE0C8C">
      <w:pPr>
        <w:contextualSpacing/>
        <w:jc w:val="center"/>
        <w:rPr>
          <w:rFonts w:ascii="Calibri" w:eastAsia="Calibri" w:hAnsi="Calibri" w:cs="Times New Roman"/>
          <w:lang w:eastAsia="pl-PL"/>
        </w:rPr>
      </w:pPr>
      <w:r w:rsidRPr="00EE0C8C">
        <w:rPr>
          <w:rFonts w:ascii="Calibri" w:eastAsia="Calibri" w:hAnsi="Calibri" w:cs="Times New Roman"/>
          <w:noProof/>
          <w:lang w:eastAsia="pl-PL"/>
        </w:rPr>
        <w:lastRenderedPageBreak/>
        <w:drawing>
          <wp:anchor distT="0" distB="0" distL="114300" distR="114300" simplePos="0" relativeHeight="251662336" behindDoc="0" locked="0" layoutInCell="1" allowOverlap="1" wp14:anchorId="6B1DC1B2" wp14:editId="6F9CA7FF">
            <wp:simplePos x="0" y="0"/>
            <wp:positionH relativeFrom="margin">
              <wp:posOffset>-427990</wp:posOffset>
            </wp:positionH>
            <wp:positionV relativeFrom="margin">
              <wp:posOffset>2959100</wp:posOffset>
            </wp:positionV>
            <wp:extent cx="7068185" cy="6066790"/>
            <wp:effectExtent l="0" t="0" r="0" b="0"/>
            <wp:wrapSquare wrapText="bothSides"/>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tbl>
      <w:tblPr>
        <w:tblStyle w:val="redniasiatka1akcent51"/>
        <w:tblpPr w:leftFromText="141" w:rightFromText="141" w:vertAnchor="page" w:horzAnchor="page" w:tblpXSpec="center" w:tblpY="1553"/>
        <w:tblW w:w="9999" w:type="dxa"/>
        <w:tblLook w:val="04A0" w:firstRow="1" w:lastRow="0" w:firstColumn="1" w:lastColumn="0" w:noHBand="0" w:noVBand="1"/>
      </w:tblPr>
      <w:tblGrid>
        <w:gridCol w:w="8169"/>
        <w:gridCol w:w="1830"/>
      </w:tblGrid>
      <w:tr w:rsidR="00EE0C8C" w:rsidRPr="00EE0C8C" w:rsidTr="00A76BDB">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169" w:type="dxa"/>
            <w:noWrap/>
            <w:hideMark/>
          </w:tcPr>
          <w:p w:rsidR="00EE0C8C" w:rsidRPr="00EE0C8C" w:rsidRDefault="00EE0C8C" w:rsidP="00EE0C8C">
            <w:pPr>
              <w:ind w:left="720"/>
              <w:contextualSpacing/>
              <w:rPr>
                <w:rFonts w:ascii="Calibri" w:eastAsia="Calibri" w:hAnsi="Calibri" w:cs="Times New Roman"/>
                <w:lang w:eastAsia="pl-PL"/>
              </w:rPr>
            </w:pPr>
            <w:r w:rsidRPr="00EE0C8C">
              <w:rPr>
                <w:rFonts w:ascii="Calibri" w:eastAsia="Calibri" w:hAnsi="Calibri" w:cs="Times New Roman"/>
                <w:lang w:eastAsia="pl-PL"/>
              </w:rPr>
              <w:t>Poprawa jakości usług społecznych i zdrowotnych (możliwość ich rozszerzenia) oferowanych w centrum Mirca</w:t>
            </w:r>
          </w:p>
        </w:tc>
        <w:tc>
          <w:tcPr>
            <w:tcW w:w="1830" w:type="dxa"/>
            <w:noWrap/>
            <w:hideMark/>
          </w:tcPr>
          <w:p w:rsidR="00EE0C8C" w:rsidRPr="00EE0C8C" w:rsidRDefault="00EE0C8C" w:rsidP="00EE0C8C">
            <w:pPr>
              <w:ind w:left="720"/>
              <w:contextualSpacing/>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lang w:eastAsia="pl-PL"/>
              </w:rPr>
            </w:pPr>
            <w:r w:rsidRPr="00EE0C8C">
              <w:rPr>
                <w:rFonts w:ascii="Calibri" w:eastAsia="Calibri" w:hAnsi="Calibri" w:cs="Times New Roman"/>
                <w:lang w:eastAsia="pl-PL"/>
              </w:rPr>
              <w:t>116</w:t>
            </w:r>
          </w:p>
        </w:tc>
      </w:tr>
      <w:tr w:rsidR="00EE0C8C" w:rsidRPr="00EE0C8C" w:rsidTr="00A76BD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169" w:type="dxa"/>
            <w:noWrap/>
            <w:hideMark/>
          </w:tcPr>
          <w:p w:rsidR="00EE0C8C" w:rsidRPr="00EE0C8C" w:rsidRDefault="00EE0C8C" w:rsidP="00EE0C8C">
            <w:pPr>
              <w:ind w:left="720"/>
              <w:contextualSpacing/>
              <w:rPr>
                <w:rFonts w:ascii="Calibri" w:eastAsia="Calibri" w:hAnsi="Calibri" w:cs="Times New Roman"/>
                <w:lang w:eastAsia="pl-PL"/>
              </w:rPr>
            </w:pPr>
            <w:r w:rsidRPr="00EE0C8C">
              <w:rPr>
                <w:rFonts w:ascii="Calibri" w:eastAsia="Calibri" w:hAnsi="Calibri" w:cs="Times New Roman"/>
                <w:lang w:eastAsia="pl-PL"/>
              </w:rPr>
              <w:t>Stworzenie warunków do  rozwoju ruchu turystycznego i atrakcyjnej oferty około turystycznej</w:t>
            </w:r>
          </w:p>
        </w:tc>
        <w:tc>
          <w:tcPr>
            <w:tcW w:w="1830" w:type="dxa"/>
            <w:noWrap/>
            <w:hideMark/>
          </w:tcPr>
          <w:p w:rsidR="00EE0C8C" w:rsidRPr="00EE0C8C" w:rsidRDefault="00EE0C8C" w:rsidP="00EE0C8C">
            <w:pPr>
              <w:ind w:left="720"/>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eastAsia="pl-PL"/>
              </w:rPr>
            </w:pPr>
            <w:r w:rsidRPr="00EE0C8C">
              <w:rPr>
                <w:rFonts w:ascii="Calibri" w:eastAsia="Calibri" w:hAnsi="Calibri" w:cs="Times New Roman"/>
                <w:lang w:eastAsia="pl-PL"/>
              </w:rPr>
              <w:t>29</w:t>
            </w:r>
          </w:p>
        </w:tc>
      </w:tr>
      <w:tr w:rsidR="00EE0C8C" w:rsidRPr="00EE0C8C" w:rsidTr="00A76BDB">
        <w:trPr>
          <w:trHeight w:val="301"/>
        </w:trPr>
        <w:tc>
          <w:tcPr>
            <w:cnfStyle w:val="001000000000" w:firstRow="0" w:lastRow="0" w:firstColumn="1" w:lastColumn="0" w:oddVBand="0" w:evenVBand="0" w:oddHBand="0" w:evenHBand="0" w:firstRowFirstColumn="0" w:firstRowLastColumn="0" w:lastRowFirstColumn="0" w:lastRowLastColumn="0"/>
            <w:tcW w:w="8169" w:type="dxa"/>
            <w:noWrap/>
            <w:hideMark/>
          </w:tcPr>
          <w:p w:rsidR="00EE0C8C" w:rsidRPr="00EE0C8C" w:rsidRDefault="00EE0C8C" w:rsidP="00EE0C8C">
            <w:pPr>
              <w:ind w:left="720"/>
              <w:contextualSpacing/>
              <w:rPr>
                <w:rFonts w:ascii="Calibri" w:eastAsia="Calibri" w:hAnsi="Calibri" w:cs="Times New Roman"/>
                <w:lang w:eastAsia="pl-PL"/>
              </w:rPr>
            </w:pPr>
            <w:r w:rsidRPr="00EE0C8C">
              <w:rPr>
                <w:rFonts w:ascii="Calibri" w:eastAsia="Calibri" w:hAnsi="Calibri" w:cs="Times New Roman"/>
                <w:lang w:eastAsia="pl-PL"/>
              </w:rPr>
              <w:t>Zwiększenie integracji Mieszkańców i pobudzenie ich aktywności lokalnej</w:t>
            </w:r>
          </w:p>
        </w:tc>
        <w:tc>
          <w:tcPr>
            <w:tcW w:w="1830" w:type="dxa"/>
            <w:noWrap/>
            <w:hideMark/>
          </w:tcPr>
          <w:p w:rsidR="00EE0C8C" w:rsidRPr="00EE0C8C" w:rsidRDefault="00EE0C8C" w:rsidP="00EE0C8C">
            <w:pPr>
              <w:ind w:left="720"/>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eastAsia="pl-PL"/>
              </w:rPr>
            </w:pPr>
            <w:r w:rsidRPr="00EE0C8C">
              <w:rPr>
                <w:rFonts w:ascii="Calibri" w:eastAsia="Calibri" w:hAnsi="Calibri" w:cs="Times New Roman"/>
                <w:lang w:eastAsia="pl-PL"/>
              </w:rPr>
              <w:t>89</w:t>
            </w:r>
          </w:p>
        </w:tc>
      </w:tr>
      <w:tr w:rsidR="00EE0C8C" w:rsidRPr="00EE0C8C" w:rsidTr="00A76BD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169" w:type="dxa"/>
            <w:noWrap/>
            <w:hideMark/>
          </w:tcPr>
          <w:p w:rsidR="00EE0C8C" w:rsidRPr="00EE0C8C" w:rsidRDefault="00EE0C8C" w:rsidP="00EE0C8C">
            <w:pPr>
              <w:ind w:left="720"/>
              <w:contextualSpacing/>
              <w:rPr>
                <w:rFonts w:ascii="Calibri" w:eastAsia="Calibri" w:hAnsi="Calibri" w:cs="Times New Roman"/>
                <w:lang w:eastAsia="pl-PL"/>
              </w:rPr>
            </w:pPr>
            <w:r w:rsidRPr="00EE0C8C">
              <w:rPr>
                <w:rFonts w:ascii="Calibri" w:eastAsia="Calibri" w:hAnsi="Calibri" w:cs="Times New Roman"/>
                <w:lang w:eastAsia="pl-PL"/>
              </w:rPr>
              <w:t>Poprawa jakości środowiska naturalnego (w tym z zakresu gospodarki niskoemisyjnej)</w:t>
            </w:r>
          </w:p>
        </w:tc>
        <w:tc>
          <w:tcPr>
            <w:tcW w:w="1830" w:type="dxa"/>
            <w:noWrap/>
            <w:hideMark/>
          </w:tcPr>
          <w:p w:rsidR="00EE0C8C" w:rsidRPr="00EE0C8C" w:rsidRDefault="00EE0C8C" w:rsidP="00EE0C8C">
            <w:pPr>
              <w:ind w:left="720"/>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eastAsia="pl-PL"/>
              </w:rPr>
            </w:pPr>
            <w:r w:rsidRPr="00EE0C8C">
              <w:rPr>
                <w:rFonts w:ascii="Calibri" w:eastAsia="Calibri" w:hAnsi="Calibri" w:cs="Times New Roman"/>
                <w:lang w:eastAsia="pl-PL"/>
              </w:rPr>
              <w:t>19</w:t>
            </w:r>
          </w:p>
        </w:tc>
      </w:tr>
      <w:tr w:rsidR="00EE0C8C" w:rsidRPr="00EE0C8C" w:rsidTr="00A76BDB">
        <w:trPr>
          <w:trHeight w:val="301"/>
        </w:trPr>
        <w:tc>
          <w:tcPr>
            <w:cnfStyle w:val="001000000000" w:firstRow="0" w:lastRow="0" w:firstColumn="1" w:lastColumn="0" w:oddVBand="0" w:evenVBand="0" w:oddHBand="0" w:evenHBand="0" w:firstRowFirstColumn="0" w:firstRowLastColumn="0" w:lastRowFirstColumn="0" w:lastRowLastColumn="0"/>
            <w:tcW w:w="8169" w:type="dxa"/>
            <w:noWrap/>
            <w:hideMark/>
          </w:tcPr>
          <w:p w:rsidR="00EE0C8C" w:rsidRPr="00EE0C8C" w:rsidRDefault="00EE0C8C" w:rsidP="00EE0C8C">
            <w:pPr>
              <w:ind w:left="720"/>
              <w:contextualSpacing/>
              <w:rPr>
                <w:rFonts w:ascii="Calibri" w:eastAsia="Calibri" w:hAnsi="Calibri" w:cs="Times New Roman"/>
                <w:lang w:eastAsia="pl-PL"/>
              </w:rPr>
            </w:pPr>
            <w:r w:rsidRPr="00EE0C8C">
              <w:rPr>
                <w:rFonts w:ascii="Calibri" w:eastAsia="Calibri" w:hAnsi="Calibri" w:cs="Times New Roman"/>
                <w:lang w:eastAsia="pl-PL"/>
              </w:rPr>
              <w:t>Tworzenie warunków do rozwoju usług i handlu</w:t>
            </w:r>
          </w:p>
        </w:tc>
        <w:tc>
          <w:tcPr>
            <w:tcW w:w="1830" w:type="dxa"/>
            <w:noWrap/>
            <w:hideMark/>
          </w:tcPr>
          <w:p w:rsidR="00EE0C8C" w:rsidRPr="00EE0C8C" w:rsidRDefault="00EE0C8C" w:rsidP="00EE0C8C">
            <w:pPr>
              <w:ind w:left="720"/>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eastAsia="pl-PL"/>
              </w:rPr>
            </w:pPr>
            <w:r w:rsidRPr="00EE0C8C">
              <w:rPr>
                <w:rFonts w:ascii="Calibri" w:eastAsia="Calibri" w:hAnsi="Calibri" w:cs="Times New Roman"/>
                <w:lang w:eastAsia="pl-PL"/>
              </w:rPr>
              <w:t>33</w:t>
            </w:r>
          </w:p>
        </w:tc>
      </w:tr>
      <w:tr w:rsidR="00EE0C8C" w:rsidRPr="00EE0C8C" w:rsidTr="00A76BD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169" w:type="dxa"/>
            <w:noWrap/>
            <w:hideMark/>
          </w:tcPr>
          <w:p w:rsidR="00EE0C8C" w:rsidRPr="00EE0C8C" w:rsidRDefault="00EE0C8C" w:rsidP="00EE0C8C">
            <w:pPr>
              <w:ind w:left="720"/>
              <w:contextualSpacing/>
              <w:rPr>
                <w:rFonts w:ascii="Calibri" w:eastAsia="Calibri" w:hAnsi="Calibri" w:cs="Times New Roman"/>
                <w:lang w:eastAsia="pl-PL"/>
              </w:rPr>
            </w:pPr>
            <w:r w:rsidRPr="00EE0C8C">
              <w:rPr>
                <w:rFonts w:ascii="Calibri" w:eastAsia="Calibri" w:hAnsi="Calibri" w:cs="Times New Roman"/>
                <w:lang w:eastAsia="pl-PL"/>
              </w:rPr>
              <w:t xml:space="preserve">Funkcjonalność gminnych terenów/obiektów (m.in. Zakup sprzętu medycznego, wyposażenie strefy aktywności, poprawa ruchu kołowego i pieszego, wykonanie elementów małej architektury.)  </w:t>
            </w:r>
          </w:p>
        </w:tc>
        <w:tc>
          <w:tcPr>
            <w:tcW w:w="1830" w:type="dxa"/>
            <w:noWrap/>
            <w:hideMark/>
          </w:tcPr>
          <w:p w:rsidR="00EE0C8C" w:rsidRPr="00EE0C8C" w:rsidRDefault="00EE0C8C" w:rsidP="00EE0C8C">
            <w:pPr>
              <w:ind w:left="720"/>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eastAsia="pl-PL"/>
              </w:rPr>
            </w:pPr>
            <w:r w:rsidRPr="00EE0C8C">
              <w:rPr>
                <w:rFonts w:ascii="Calibri" w:eastAsia="Calibri" w:hAnsi="Calibri" w:cs="Times New Roman"/>
                <w:lang w:eastAsia="pl-PL"/>
              </w:rPr>
              <w:t>119</w:t>
            </w:r>
          </w:p>
        </w:tc>
      </w:tr>
      <w:tr w:rsidR="00EE0C8C" w:rsidRPr="00EE0C8C" w:rsidTr="00A76BDB">
        <w:trPr>
          <w:trHeight w:val="301"/>
        </w:trPr>
        <w:tc>
          <w:tcPr>
            <w:cnfStyle w:val="001000000000" w:firstRow="0" w:lastRow="0" w:firstColumn="1" w:lastColumn="0" w:oddVBand="0" w:evenVBand="0" w:oddHBand="0" w:evenHBand="0" w:firstRowFirstColumn="0" w:firstRowLastColumn="0" w:lastRowFirstColumn="0" w:lastRowLastColumn="0"/>
            <w:tcW w:w="8169" w:type="dxa"/>
            <w:noWrap/>
            <w:hideMark/>
          </w:tcPr>
          <w:p w:rsidR="00EE0C8C" w:rsidRPr="00EE0C8C" w:rsidRDefault="00EE0C8C" w:rsidP="00EE0C8C">
            <w:pPr>
              <w:ind w:left="720"/>
              <w:contextualSpacing/>
              <w:rPr>
                <w:rFonts w:ascii="Calibri" w:eastAsia="Calibri" w:hAnsi="Calibri" w:cs="Times New Roman"/>
                <w:lang w:eastAsia="pl-PL"/>
              </w:rPr>
            </w:pPr>
            <w:r w:rsidRPr="00EE0C8C">
              <w:rPr>
                <w:rFonts w:ascii="Calibri" w:eastAsia="Calibri" w:hAnsi="Calibri" w:cs="Times New Roman"/>
                <w:lang w:eastAsia="pl-PL"/>
              </w:rPr>
              <w:t>Zagospodarowanie czasu wolnego m.in. w kierunku aktywnego trybu życia</w:t>
            </w:r>
          </w:p>
        </w:tc>
        <w:tc>
          <w:tcPr>
            <w:tcW w:w="1830" w:type="dxa"/>
            <w:noWrap/>
            <w:hideMark/>
          </w:tcPr>
          <w:p w:rsidR="00EE0C8C" w:rsidRPr="00EE0C8C" w:rsidRDefault="00EE0C8C" w:rsidP="00EE0C8C">
            <w:pPr>
              <w:ind w:left="720"/>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eastAsia="pl-PL"/>
              </w:rPr>
            </w:pPr>
            <w:r w:rsidRPr="00EE0C8C">
              <w:rPr>
                <w:rFonts w:ascii="Calibri" w:eastAsia="Calibri" w:hAnsi="Calibri" w:cs="Times New Roman"/>
                <w:lang w:eastAsia="pl-PL"/>
              </w:rPr>
              <w:t>116</w:t>
            </w:r>
          </w:p>
        </w:tc>
      </w:tr>
      <w:tr w:rsidR="00EE0C8C" w:rsidRPr="00EE0C8C" w:rsidTr="00A76BD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169" w:type="dxa"/>
            <w:noWrap/>
            <w:hideMark/>
          </w:tcPr>
          <w:p w:rsidR="00EE0C8C" w:rsidRPr="00EE0C8C" w:rsidRDefault="00EE0C8C" w:rsidP="00EE0C8C">
            <w:pPr>
              <w:ind w:left="720"/>
              <w:contextualSpacing/>
              <w:rPr>
                <w:rFonts w:ascii="Calibri" w:eastAsia="Calibri" w:hAnsi="Calibri" w:cs="Times New Roman"/>
                <w:lang w:eastAsia="pl-PL"/>
              </w:rPr>
            </w:pPr>
            <w:r w:rsidRPr="00EE0C8C">
              <w:rPr>
                <w:rFonts w:ascii="Calibri" w:eastAsia="Calibri" w:hAnsi="Calibri" w:cs="Times New Roman"/>
                <w:lang w:eastAsia="pl-PL"/>
              </w:rPr>
              <w:t>Powstanie miejsc/a aktywnego wypoczynku</w:t>
            </w:r>
          </w:p>
        </w:tc>
        <w:tc>
          <w:tcPr>
            <w:tcW w:w="1830" w:type="dxa"/>
            <w:noWrap/>
            <w:hideMark/>
          </w:tcPr>
          <w:p w:rsidR="00EE0C8C" w:rsidRPr="00EE0C8C" w:rsidRDefault="00EE0C8C" w:rsidP="00EE0C8C">
            <w:pPr>
              <w:ind w:left="720"/>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eastAsia="pl-PL"/>
              </w:rPr>
            </w:pPr>
            <w:r w:rsidRPr="00EE0C8C">
              <w:rPr>
                <w:rFonts w:ascii="Calibri" w:eastAsia="Calibri" w:hAnsi="Calibri" w:cs="Times New Roman"/>
                <w:lang w:eastAsia="pl-PL"/>
              </w:rPr>
              <w:t>114</w:t>
            </w:r>
          </w:p>
        </w:tc>
      </w:tr>
      <w:tr w:rsidR="00EE0C8C" w:rsidRPr="00EE0C8C" w:rsidTr="00A76BDB">
        <w:trPr>
          <w:trHeight w:val="301"/>
        </w:trPr>
        <w:tc>
          <w:tcPr>
            <w:cnfStyle w:val="001000000000" w:firstRow="0" w:lastRow="0" w:firstColumn="1" w:lastColumn="0" w:oddVBand="0" w:evenVBand="0" w:oddHBand="0" w:evenHBand="0" w:firstRowFirstColumn="0" w:firstRowLastColumn="0" w:lastRowFirstColumn="0" w:lastRowLastColumn="0"/>
            <w:tcW w:w="8169" w:type="dxa"/>
            <w:noWrap/>
            <w:hideMark/>
          </w:tcPr>
          <w:p w:rsidR="00EE0C8C" w:rsidRPr="00EE0C8C" w:rsidRDefault="00EE0C8C" w:rsidP="00EE0C8C">
            <w:pPr>
              <w:ind w:left="720"/>
              <w:contextualSpacing/>
              <w:rPr>
                <w:rFonts w:ascii="Calibri" w:eastAsia="Calibri" w:hAnsi="Calibri" w:cs="Times New Roman"/>
                <w:lang w:eastAsia="pl-PL"/>
              </w:rPr>
            </w:pPr>
            <w:r w:rsidRPr="00EE0C8C">
              <w:rPr>
                <w:rFonts w:ascii="Calibri" w:eastAsia="Calibri" w:hAnsi="Calibri" w:cs="Times New Roman"/>
                <w:lang w:eastAsia="pl-PL"/>
              </w:rPr>
              <w:t>Poprawa estetyki przestrzeni publicznej</w:t>
            </w:r>
          </w:p>
        </w:tc>
        <w:tc>
          <w:tcPr>
            <w:tcW w:w="1830" w:type="dxa"/>
            <w:noWrap/>
            <w:hideMark/>
          </w:tcPr>
          <w:p w:rsidR="00EE0C8C" w:rsidRPr="00EE0C8C" w:rsidRDefault="00EE0C8C" w:rsidP="00EE0C8C">
            <w:pPr>
              <w:ind w:left="720"/>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eastAsia="pl-PL"/>
              </w:rPr>
            </w:pPr>
            <w:r w:rsidRPr="00EE0C8C">
              <w:rPr>
                <w:rFonts w:ascii="Calibri" w:eastAsia="Calibri" w:hAnsi="Calibri" w:cs="Times New Roman"/>
                <w:lang w:eastAsia="pl-PL"/>
              </w:rPr>
              <w:t>25</w:t>
            </w:r>
          </w:p>
        </w:tc>
      </w:tr>
    </w:tbl>
    <w:p w:rsidR="00EE0C8C" w:rsidRPr="00EE0C8C" w:rsidRDefault="00EE0C8C" w:rsidP="00EE0C8C">
      <w:pPr>
        <w:contextualSpacing/>
        <w:jc w:val="both"/>
        <w:rPr>
          <w:rFonts w:ascii="Calibri" w:eastAsia="Calibri" w:hAnsi="Calibri" w:cs="Times New Roman"/>
          <w:lang w:eastAsia="pl-PL"/>
        </w:rPr>
      </w:pPr>
      <w:r w:rsidRPr="00EE0C8C">
        <w:rPr>
          <w:rFonts w:ascii="Calibri" w:eastAsia="Times New Roman" w:hAnsi="Calibri" w:cs="Times New Roman"/>
          <w:noProof/>
          <w:lang w:eastAsia="pl-PL"/>
        </w:rPr>
        <w:drawing>
          <wp:anchor distT="0" distB="0" distL="114300" distR="114300" simplePos="0" relativeHeight="251661312" behindDoc="0" locked="0" layoutInCell="1" allowOverlap="1" wp14:anchorId="67E5D5D9" wp14:editId="7749DB8B">
            <wp:simplePos x="0" y="0"/>
            <wp:positionH relativeFrom="margin">
              <wp:posOffset>-542290</wp:posOffset>
            </wp:positionH>
            <wp:positionV relativeFrom="margin">
              <wp:posOffset>3367405</wp:posOffset>
            </wp:positionV>
            <wp:extent cx="6723380" cy="5446395"/>
            <wp:effectExtent l="0" t="0" r="1270" b="1905"/>
            <wp:wrapSquare wrapText="bothSides"/>
            <wp:docPr id="18"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sidRPr="00EE0C8C">
        <w:rPr>
          <w:rFonts w:ascii="Calibri" w:eastAsia="Calibri" w:hAnsi="Calibri" w:cs="Times New Roman"/>
          <w:lang w:eastAsia="pl-PL"/>
        </w:rPr>
        <w:t xml:space="preserve">1. Na jakie priorytetowe działania rewitalizacji centrum Mirca wydałby/aby Pan/i środki </w:t>
      </w:r>
      <w:r w:rsidRPr="00EE0C8C">
        <w:rPr>
          <w:rFonts w:ascii="Calibri" w:eastAsia="Calibri" w:hAnsi="Calibri" w:cs="Times New Roman"/>
          <w:lang w:eastAsia="pl-PL"/>
        </w:rPr>
        <w:br/>
      </w:r>
      <w:r w:rsidRPr="00EE0C8C">
        <w:rPr>
          <w:rFonts w:ascii="Calibri" w:eastAsia="Calibri" w:hAnsi="Calibri" w:cs="Times New Roman"/>
          <w:lang w:eastAsia="pl-PL"/>
        </w:rPr>
        <w:lastRenderedPageBreak/>
        <w:t>z budżetu Gminy Mirzec (licząc z dofinansowaniem unijnym) w celu osiągnięcia najważniejszych efektów procesu rewitalizacji?</w:t>
      </w:r>
    </w:p>
    <w:p w:rsidR="00EE0C8C" w:rsidRPr="00EE0C8C" w:rsidRDefault="00EE0C8C" w:rsidP="00EE0C8C">
      <w:pPr>
        <w:ind w:left="1080"/>
        <w:contextualSpacing/>
        <w:rPr>
          <w:rFonts w:ascii="Calibri" w:eastAsia="Calibri" w:hAnsi="Calibri" w:cs="Times New Roman"/>
          <w:sz w:val="16"/>
          <w:szCs w:val="16"/>
          <w:lang w:eastAsia="pl-PL"/>
        </w:rPr>
      </w:pPr>
    </w:p>
    <w:p w:rsidR="00EE0C8C" w:rsidRPr="00EE0C8C" w:rsidRDefault="00EE0C8C" w:rsidP="00EE0C8C">
      <w:pPr>
        <w:spacing w:after="0"/>
        <w:contextualSpacing/>
        <w:jc w:val="center"/>
        <w:rPr>
          <w:rFonts w:ascii="Calibri" w:eastAsia="Times New Roman" w:hAnsi="Calibri" w:cs="Times New Roman"/>
          <w:lang w:eastAsia="pl-PL"/>
        </w:rPr>
      </w:pPr>
    </w:p>
    <w:p w:rsidR="00EE0C8C" w:rsidRPr="00EE0C8C" w:rsidRDefault="00EE0C8C" w:rsidP="00EE0C8C">
      <w:pPr>
        <w:spacing w:after="0"/>
        <w:contextualSpacing/>
        <w:rPr>
          <w:rFonts w:ascii="Calibri" w:eastAsia="Times New Roman" w:hAnsi="Calibri" w:cs="Times New Roman"/>
          <w:lang w:eastAsia="pl-PL"/>
        </w:rPr>
      </w:pPr>
      <w:r w:rsidRPr="00EE0C8C">
        <w:rPr>
          <w:rFonts w:ascii="Calibri" w:eastAsia="Times New Roman" w:hAnsi="Calibri" w:cs="Times New Roman"/>
          <w:lang w:eastAsia="pl-PL"/>
        </w:rPr>
        <w:t>Pytanie 2 i 4 zostało podsumowane w jednym wykresie:</w:t>
      </w:r>
    </w:p>
    <w:p w:rsidR="00EE0C8C" w:rsidRPr="00EE0C8C" w:rsidRDefault="00EE0C8C" w:rsidP="00EE0C8C">
      <w:pPr>
        <w:spacing w:after="0"/>
        <w:contextualSpacing/>
        <w:rPr>
          <w:rFonts w:ascii="Calibri" w:eastAsia="Times New Roman" w:hAnsi="Calibri" w:cs="Times New Roman"/>
          <w:lang w:eastAsia="pl-PL"/>
        </w:rPr>
      </w:pPr>
    </w:p>
    <w:p w:rsidR="00EE0C8C" w:rsidRPr="00EE0C8C" w:rsidRDefault="00EE0C8C" w:rsidP="00DC61B1">
      <w:pPr>
        <w:numPr>
          <w:ilvl w:val="0"/>
          <w:numId w:val="26"/>
        </w:numPr>
        <w:spacing w:after="0"/>
        <w:ind w:left="284" w:hanging="284"/>
        <w:contextualSpacing/>
        <w:jc w:val="both"/>
        <w:rPr>
          <w:rFonts w:ascii="Calibri" w:eastAsia="Times New Roman" w:hAnsi="Calibri" w:cs="Times New Roman"/>
          <w:lang w:eastAsia="pl-PL"/>
        </w:rPr>
      </w:pPr>
      <w:r w:rsidRPr="00EE0C8C">
        <w:rPr>
          <w:rFonts w:ascii="Calibri" w:eastAsia="Times New Roman" w:hAnsi="Calibri" w:cs="Times New Roman"/>
          <w:lang w:eastAsia="pl-PL"/>
        </w:rPr>
        <w:t>Jak zagospodarowałbyś/abyś zdegradowane tereny należące do Gminy Mirzec za Dworkiem Modrzewiowym (tzw. Mini park, tereny parku dworskiego) wraz z boiskiem trawiastym (za budynkiem ośrodka zdrowia), a także część niezagospodarowanej działki za kompleksem Orlik?</w:t>
      </w:r>
    </w:p>
    <w:p w:rsidR="00EE0C8C" w:rsidRPr="00EE0C8C" w:rsidRDefault="00EE0C8C" w:rsidP="00EE0C8C">
      <w:pPr>
        <w:spacing w:after="0"/>
        <w:ind w:left="284"/>
        <w:contextualSpacing/>
        <w:jc w:val="both"/>
        <w:rPr>
          <w:rFonts w:ascii="Calibri" w:eastAsia="Times New Roman" w:hAnsi="Calibri" w:cs="Times New Roman"/>
          <w:lang w:eastAsia="pl-PL"/>
        </w:rPr>
      </w:pPr>
    </w:p>
    <w:p w:rsidR="00EE0C8C" w:rsidRPr="00EE0C8C" w:rsidRDefault="00EE0C8C" w:rsidP="00DC61B1">
      <w:pPr>
        <w:numPr>
          <w:ilvl w:val="0"/>
          <w:numId w:val="26"/>
        </w:numPr>
        <w:spacing w:after="0"/>
        <w:ind w:left="284" w:hanging="284"/>
        <w:contextualSpacing/>
        <w:jc w:val="both"/>
        <w:rPr>
          <w:rFonts w:ascii="Calibri" w:eastAsia="Times New Roman" w:hAnsi="Calibri" w:cs="Times New Roman"/>
          <w:lang w:eastAsia="pl-PL"/>
        </w:rPr>
      </w:pPr>
      <w:r w:rsidRPr="00EE0C8C">
        <w:rPr>
          <w:rFonts w:ascii="Calibri" w:eastAsia="Times New Roman" w:hAnsi="Calibri" w:cs="Times New Roman"/>
          <w:lang w:eastAsia="pl-PL"/>
        </w:rPr>
        <w:t>Inne propozycje (koncepcje rewitalizacji np. z zakresu aktywnej rekreacji, sportu) uwagi, sugestie.</w:t>
      </w:r>
    </w:p>
    <w:p w:rsidR="00EE0C8C" w:rsidRPr="00EE0C8C" w:rsidRDefault="00EE0C8C" w:rsidP="00EE0C8C">
      <w:pPr>
        <w:spacing w:after="0"/>
        <w:contextualSpacing/>
        <w:rPr>
          <w:rFonts w:ascii="Calibri" w:eastAsia="Times New Roman" w:hAnsi="Calibri" w:cs="Times New Roman"/>
          <w:lang w:eastAsia="pl-PL"/>
        </w:rPr>
      </w:pPr>
      <w:r w:rsidRPr="00EE0C8C">
        <w:rPr>
          <w:rFonts w:ascii="Calibri" w:eastAsia="Calibri" w:hAnsi="Calibri" w:cs="Times New Roman"/>
          <w:noProof/>
          <w:lang w:eastAsia="pl-PL"/>
        </w:rPr>
        <w:lastRenderedPageBreak/>
        <w:drawing>
          <wp:anchor distT="0" distB="0" distL="114300" distR="114300" simplePos="0" relativeHeight="251663360" behindDoc="0" locked="0" layoutInCell="1" allowOverlap="1" wp14:anchorId="67784B0B" wp14:editId="0CE3E640">
            <wp:simplePos x="902335" y="1056640"/>
            <wp:positionH relativeFrom="margin">
              <wp:align>center</wp:align>
            </wp:positionH>
            <wp:positionV relativeFrom="margin">
              <wp:align>center</wp:align>
            </wp:positionV>
            <wp:extent cx="6911340" cy="10129520"/>
            <wp:effectExtent l="0" t="0" r="3810" b="5080"/>
            <wp:wrapSquare wrapText="bothSides"/>
            <wp:docPr id="19"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tbl>
      <w:tblPr>
        <w:tblStyle w:val="Jasnasiatkaakcent51"/>
        <w:tblW w:w="0" w:type="auto"/>
        <w:jc w:val="center"/>
        <w:tblLook w:val="04A0" w:firstRow="1" w:lastRow="0" w:firstColumn="1" w:lastColumn="0" w:noHBand="0" w:noVBand="1"/>
      </w:tblPr>
      <w:tblGrid>
        <w:gridCol w:w="4863"/>
        <w:gridCol w:w="3170"/>
      </w:tblGrid>
      <w:tr w:rsidR="00EE0C8C" w:rsidRPr="00A76BDB" w:rsidTr="00A76BDB">
        <w:trPr>
          <w:cnfStyle w:val="100000000000" w:firstRow="1" w:lastRow="0" w:firstColumn="0" w:lastColumn="0" w:oddVBand="0" w:evenVBand="0" w:oddHBand="0" w:evenHBand="0" w:firstRowFirstColumn="0" w:firstRowLastColumn="0" w:lastRowFirstColumn="0" w:lastRowLastColumn="0"/>
          <w:trHeight w:hRule="exact" w:val="297"/>
          <w:jc w:val="center"/>
        </w:trPr>
        <w:tc>
          <w:tcPr>
            <w:cnfStyle w:val="001000000000" w:firstRow="0" w:lastRow="0" w:firstColumn="1" w:lastColumn="0" w:oddVBand="0" w:evenVBand="0" w:oddHBand="0" w:evenHBand="0" w:firstRowFirstColumn="0" w:firstRowLastColumn="0" w:lastRowFirstColumn="0" w:lastRowLastColumn="0"/>
            <w:tcW w:w="4863" w:type="dxa"/>
            <w:noWrap/>
          </w:tcPr>
          <w:p w:rsidR="00EE0C8C" w:rsidRPr="00A76BDB" w:rsidRDefault="00EE0C8C" w:rsidP="00EE0C8C">
            <w:pPr>
              <w:pBdr>
                <w:bottom w:val="single" w:sz="8" w:space="4" w:color="4F81BD" w:themeColor="accent1"/>
              </w:pBdr>
              <w:spacing w:after="300"/>
              <w:contextualSpacing/>
              <w:jc w:val="both"/>
              <w:rPr>
                <w:rFonts w:ascii="Calibri" w:eastAsiaTheme="majorEastAsia" w:hAnsi="Calibri" w:cstheme="majorBidi"/>
                <w:color w:val="17365D" w:themeColor="text2" w:themeShade="BF"/>
                <w:spacing w:val="5"/>
                <w:kern w:val="28"/>
              </w:rPr>
            </w:pPr>
          </w:p>
        </w:tc>
        <w:tc>
          <w:tcPr>
            <w:tcW w:w="3170" w:type="dxa"/>
            <w:noWrap/>
          </w:tcPr>
          <w:p w:rsidR="00EE0C8C" w:rsidRPr="00A76BDB" w:rsidRDefault="00EE0C8C" w:rsidP="00EE0C8C">
            <w:pPr>
              <w:pBdr>
                <w:bottom w:val="single" w:sz="8" w:space="4" w:color="4F81BD" w:themeColor="accent1"/>
              </w:pBdr>
              <w:spacing w:after="300"/>
              <w:contextualSpacing/>
              <w:jc w:val="center"/>
              <w:cnfStyle w:val="100000000000" w:firstRow="1" w:lastRow="0" w:firstColumn="0" w:lastColumn="0" w:oddVBand="0" w:evenVBand="0" w:oddHBand="0" w:evenHBand="0" w:firstRowFirstColumn="0" w:firstRowLastColumn="0" w:lastRowFirstColumn="0" w:lastRowLastColumn="0"/>
              <w:rPr>
                <w:rFonts w:ascii="Calibri" w:eastAsiaTheme="majorEastAsia" w:hAnsi="Calibri" w:cstheme="majorBidi"/>
                <w:color w:val="17365D" w:themeColor="text2" w:themeShade="BF"/>
                <w:spacing w:val="5"/>
                <w:kern w:val="28"/>
              </w:rPr>
            </w:pPr>
            <w:r w:rsidRPr="00A76BDB">
              <w:rPr>
                <w:rFonts w:ascii="Calibri" w:eastAsiaTheme="majorEastAsia" w:hAnsi="Calibri" w:cstheme="majorBidi"/>
                <w:color w:val="17365D" w:themeColor="text2" w:themeShade="BF"/>
                <w:spacing w:val="5"/>
                <w:kern w:val="28"/>
              </w:rPr>
              <w:t>Liczba odpowiedzi</w:t>
            </w:r>
          </w:p>
        </w:tc>
      </w:tr>
      <w:tr w:rsidR="00EE0C8C" w:rsidRPr="00A76BDB" w:rsidTr="00A76BDB">
        <w:trPr>
          <w:cnfStyle w:val="000000100000" w:firstRow="0" w:lastRow="0" w:firstColumn="0" w:lastColumn="0" w:oddVBand="0" w:evenVBand="0" w:oddHBand="1" w:evenHBand="0" w:firstRowFirstColumn="0" w:firstRowLastColumn="0" w:lastRowFirstColumn="0" w:lastRowLastColumn="0"/>
          <w:trHeight w:hRule="exact" w:val="297"/>
          <w:jc w:val="center"/>
        </w:trPr>
        <w:tc>
          <w:tcPr>
            <w:cnfStyle w:val="001000000000" w:firstRow="0" w:lastRow="0" w:firstColumn="1" w:lastColumn="0" w:oddVBand="0" w:evenVBand="0" w:oddHBand="0" w:evenHBand="0" w:firstRowFirstColumn="0" w:firstRowLastColumn="0" w:lastRowFirstColumn="0" w:lastRowLastColumn="0"/>
            <w:tcW w:w="4863" w:type="dxa"/>
            <w:noWrap/>
            <w:hideMark/>
          </w:tcPr>
          <w:p w:rsidR="00EE0C8C" w:rsidRPr="00A76BDB" w:rsidRDefault="00EE0C8C" w:rsidP="00EE0C8C">
            <w:pPr>
              <w:pBdr>
                <w:bottom w:val="single" w:sz="8" w:space="4" w:color="4F81BD" w:themeColor="accent1"/>
              </w:pBdr>
              <w:spacing w:after="300"/>
              <w:contextualSpacing/>
              <w:jc w:val="both"/>
              <w:rPr>
                <w:rFonts w:ascii="Calibri" w:eastAsiaTheme="majorEastAsia" w:hAnsi="Calibri" w:cstheme="majorBidi"/>
                <w:color w:val="17365D" w:themeColor="text2" w:themeShade="BF"/>
                <w:spacing w:val="5"/>
                <w:kern w:val="28"/>
              </w:rPr>
            </w:pPr>
            <w:r w:rsidRPr="00A76BDB">
              <w:rPr>
                <w:rFonts w:ascii="Calibri" w:eastAsiaTheme="majorEastAsia" w:hAnsi="Calibri" w:cstheme="majorBidi"/>
                <w:color w:val="17365D" w:themeColor="text2" w:themeShade="BF"/>
                <w:spacing w:val="5"/>
                <w:kern w:val="28"/>
              </w:rPr>
              <w:t>Zbiornik wodny (rekreacyjny)</w:t>
            </w:r>
          </w:p>
        </w:tc>
        <w:tc>
          <w:tcPr>
            <w:tcW w:w="3170" w:type="dxa"/>
            <w:noWrap/>
            <w:hideMark/>
          </w:tcPr>
          <w:p w:rsidR="00EE0C8C" w:rsidRPr="00A76BDB" w:rsidRDefault="00EE0C8C" w:rsidP="00EE0C8C">
            <w:pPr>
              <w:pBdr>
                <w:bottom w:val="single" w:sz="8" w:space="4" w:color="4F81BD" w:themeColor="accent1"/>
              </w:pBdr>
              <w:spacing w:after="300"/>
              <w:contextualSpacing/>
              <w:jc w:val="center"/>
              <w:cnfStyle w:val="000000100000" w:firstRow="0" w:lastRow="0" w:firstColumn="0" w:lastColumn="0" w:oddVBand="0" w:evenVBand="0" w:oddHBand="1" w:evenHBand="0" w:firstRowFirstColumn="0" w:firstRowLastColumn="0" w:lastRowFirstColumn="0" w:lastRowLastColumn="0"/>
              <w:rPr>
                <w:rFonts w:ascii="Calibri" w:eastAsiaTheme="majorEastAsia" w:hAnsi="Calibri" w:cs="Times New Roman"/>
                <w:color w:val="17365D" w:themeColor="text2" w:themeShade="BF"/>
                <w:spacing w:val="5"/>
                <w:kern w:val="28"/>
              </w:rPr>
            </w:pPr>
            <w:r w:rsidRPr="00A76BDB">
              <w:rPr>
                <w:rFonts w:ascii="Calibri" w:eastAsiaTheme="majorEastAsia" w:hAnsi="Calibri" w:cs="Times New Roman"/>
                <w:color w:val="17365D" w:themeColor="text2" w:themeShade="BF"/>
                <w:spacing w:val="5"/>
                <w:kern w:val="28"/>
              </w:rPr>
              <w:t>90</w:t>
            </w:r>
          </w:p>
        </w:tc>
      </w:tr>
      <w:tr w:rsidR="00EE0C8C" w:rsidRPr="00A76BDB" w:rsidTr="00A76BDB">
        <w:trPr>
          <w:cnfStyle w:val="000000010000" w:firstRow="0" w:lastRow="0" w:firstColumn="0" w:lastColumn="0" w:oddVBand="0" w:evenVBand="0" w:oddHBand="0" w:evenHBand="1" w:firstRowFirstColumn="0" w:firstRowLastColumn="0" w:lastRowFirstColumn="0" w:lastRowLastColumn="0"/>
          <w:trHeight w:hRule="exact" w:val="297"/>
          <w:jc w:val="center"/>
        </w:trPr>
        <w:tc>
          <w:tcPr>
            <w:cnfStyle w:val="001000000000" w:firstRow="0" w:lastRow="0" w:firstColumn="1" w:lastColumn="0" w:oddVBand="0" w:evenVBand="0" w:oddHBand="0" w:evenHBand="0" w:firstRowFirstColumn="0" w:firstRowLastColumn="0" w:lastRowFirstColumn="0" w:lastRowLastColumn="0"/>
            <w:tcW w:w="4863" w:type="dxa"/>
            <w:noWrap/>
            <w:hideMark/>
          </w:tcPr>
          <w:p w:rsidR="00EE0C8C" w:rsidRPr="00A76BDB" w:rsidRDefault="00EE0C8C" w:rsidP="00EE0C8C">
            <w:pPr>
              <w:pBdr>
                <w:bottom w:val="single" w:sz="8" w:space="4" w:color="4F81BD" w:themeColor="accent1"/>
              </w:pBdr>
              <w:spacing w:after="300"/>
              <w:contextualSpacing/>
              <w:jc w:val="both"/>
              <w:rPr>
                <w:rFonts w:ascii="Calibri" w:eastAsiaTheme="majorEastAsia" w:hAnsi="Calibri" w:cstheme="majorBidi"/>
                <w:color w:val="17365D" w:themeColor="text2" w:themeShade="BF"/>
                <w:spacing w:val="5"/>
                <w:kern w:val="28"/>
              </w:rPr>
            </w:pPr>
            <w:r w:rsidRPr="00A76BDB">
              <w:rPr>
                <w:rFonts w:ascii="Calibri" w:eastAsiaTheme="majorEastAsia" w:hAnsi="Calibri" w:cstheme="majorBidi"/>
                <w:color w:val="17365D" w:themeColor="text2" w:themeShade="BF"/>
                <w:spacing w:val="5"/>
                <w:kern w:val="28"/>
              </w:rPr>
              <w:t>Plac zabaw</w:t>
            </w:r>
          </w:p>
        </w:tc>
        <w:tc>
          <w:tcPr>
            <w:tcW w:w="3170" w:type="dxa"/>
            <w:noWrap/>
            <w:hideMark/>
          </w:tcPr>
          <w:p w:rsidR="00EE0C8C" w:rsidRPr="00A76BDB" w:rsidRDefault="00EE0C8C" w:rsidP="00EE0C8C">
            <w:pPr>
              <w:pBdr>
                <w:bottom w:val="single" w:sz="8" w:space="4" w:color="4F81BD" w:themeColor="accent1"/>
              </w:pBdr>
              <w:spacing w:after="300"/>
              <w:contextualSpacing/>
              <w:jc w:val="center"/>
              <w:cnfStyle w:val="000000010000" w:firstRow="0" w:lastRow="0" w:firstColumn="0" w:lastColumn="0" w:oddVBand="0" w:evenVBand="0" w:oddHBand="0" w:evenHBand="1" w:firstRowFirstColumn="0" w:firstRowLastColumn="0" w:lastRowFirstColumn="0" w:lastRowLastColumn="0"/>
              <w:rPr>
                <w:rFonts w:ascii="Calibri" w:eastAsiaTheme="majorEastAsia" w:hAnsi="Calibri" w:cs="Times New Roman"/>
                <w:color w:val="17365D" w:themeColor="text2" w:themeShade="BF"/>
                <w:spacing w:val="5"/>
                <w:kern w:val="28"/>
              </w:rPr>
            </w:pPr>
            <w:r w:rsidRPr="00A76BDB">
              <w:rPr>
                <w:rFonts w:ascii="Calibri" w:eastAsiaTheme="majorEastAsia" w:hAnsi="Calibri" w:cs="Times New Roman"/>
                <w:color w:val="17365D" w:themeColor="text2" w:themeShade="BF"/>
                <w:spacing w:val="5"/>
                <w:kern w:val="28"/>
              </w:rPr>
              <w:t>75</w:t>
            </w:r>
          </w:p>
        </w:tc>
      </w:tr>
      <w:tr w:rsidR="00EE0C8C" w:rsidRPr="00A76BDB" w:rsidTr="00A76BDB">
        <w:trPr>
          <w:cnfStyle w:val="000000100000" w:firstRow="0" w:lastRow="0" w:firstColumn="0" w:lastColumn="0" w:oddVBand="0" w:evenVBand="0" w:oddHBand="1" w:evenHBand="0" w:firstRowFirstColumn="0" w:firstRowLastColumn="0" w:lastRowFirstColumn="0" w:lastRowLastColumn="0"/>
          <w:trHeight w:hRule="exact" w:val="297"/>
          <w:jc w:val="center"/>
        </w:trPr>
        <w:tc>
          <w:tcPr>
            <w:cnfStyle w:val="001000000000" w:firstRow="0" w:lastRow="0" w:firstColumn="1" w:lastColumn="0" w:oddVBand="0" w:evenVBand="0" w:oddHBand="0" w:evenHBand="0" w:firstRowFirstColumn="0" w:firstRowLastColumn="0" w:lastRowFirstColumn="0" w:lastRowLastColumn="0"/>
            <w:tcW w:w="4863" w:type="dxa"/>
            <w:noWrap/>
            <w:hideMark/>
          </w:tcPr>
          <w:p w:rsidR="00EE0C8C" w:rsidRPr="00A76BDB" w:rsidRDefault="00EE0C8C" w:rsidP="00EE0C8C">
            <w:pPr>
              <w:pBdr>
                <w:bottom w:val="single" w:sz="8" w:space="4" w:color="4F81BD" w:themeColor="accent1"/>
              </w:pBdr>
              <w:spacing w:after="300"/>
              <w:contextualSpacing/>
              <w:jc w:val="both"/>
              <w:rPr>
                <w:rFonts w:ascii="Calibri" w:eastAsiaTheme="majorEastAsia" w:hAnsi="Calibri" w:cstheme="majorBidi"/>
                <w:color w:val="17365D" w:themeColor="text2" w:themeShade="BF"/>
                <w:spacing w:val="5"/>
                <w:kern w:val="28"/>
              </w:rPr>
            </w:pPr>
            <w:r w:rsidRPr="00A76BDB">
              <w:rPr>
                <w:rFonts w:ascii="Calibri" w:eastAsiaTheme="majorEastAsia" w:hAnsi="Calibri" w:cstheme="majorBidi"/>
                <w:color w:val="17365D" w:themeColor="text2" w:themeShade="BF"/>
                <w:spacing w:val="5"/>
                <w:kern w:val="28"/>
              </w:rPr>
              <w:t>ścieżki rowerowe</w:t>
            </w:r>
          </w:p>
        </w:tc>
        <w:tc>
          <w:tcPr>
            <w:tcW w:w="3170" w:type="dxa"/>
            <w:noWrap/>
            <w:hideMark/>
          </w:tcPr>
          <w:p w:rsidR="00EE0C8C" w:rsidRPr="00A76BDB" w:rsidRDefault="00EE0C8C" w:rsidP="00EE0C8C">
            <w:pPr>
              <w:pBdr>
                <w:bottom w:val="single" w:sz="8" w:space="4" w:color="4F81BD" w:themeColor="accent1"/>
              </w:pBdr>
              <w:spacing w:after="300"/>
              <w:contextualSpacing/>
              <w:jc w:val="center"/>
              <w:cnfStyle w:val="000000100000" w:firstRow="0" w:lastRow="0" w:firstColumn="0" w:lastColumn="0" w:oddVBand="0" w:evenVBand="0" w:oddHBand="1" w:evenHBand="0" w:firstRowFirstColumn="0" w:firstRowLastColumn="0" w:lastRowFirstColumn="0" w:lastRowLastColumn="0"/>
              <w:rPr>
                <w:rFonts w:ascii="Calibri" w:eastAsiaTheme="majorEastAsia" w:hAnsi="Calibri" w:cs="Times New Roman"/>
                <w:color w:val="17365D" w:themeColor="text2" w:themeShade="BF"/>
                <w:spacing w:val="5"/>
                <w:kern w:val="28"/>
              </w:rPr>
            </w:pPr>
            <w:r w:rsidRPr="00A76BDB">
              <w:rPr>
                <w:rFonts w:ascii="Calibri" w:eastAsiaTheme="majorEastAsia" w:hAnsi="Calibri" w:cs="Times New Roman"/>
                <w:color w:val="17365D" w:themeColor="text2" w:themeShade="BF"/>
                <w:spacing w:val="5"/>
                <w:kern w:val="28"/>
              </w:rPr>
              <w:t>90</w:t>
            </w:r>
          </w:p>
        </w:tc>
      </w:tr>
      <w:tr w:rsidR="00EE0C8C" w:rsidRPr="00A76BDB" w:rsidTr="00A76BDB">
        <w:trPr>
          <w:cnfStyle w:val="000000010000" w:firstRow="0" w:lastRow="0" w:firstColumn="0" w:lastColumn="0" w:oddVBand="0" w:evenVBand="0" w:oddHBand="0" w:evenHBand="1" w:firstRowFirstColumn="0" w:firstRowLastColumn="0" w:lastRowFirstColumn="0" w:lastRowLastColumn="0"/>
          <w:trHeight w:hRule="exact" w:val="297"/>
          <w:jc w:val="center"/>
        </w:trPr>
        <w:tc>
          <w:tcPr>
            <w:cnfStyle w:val="001000000000" w:firstRow="0" w:lastRow="0" w:firstColumn="1" w:lastColumn="0" w:oddVBand="0" w:evenVBand="0" w:oddHBand="0" w:evenHBand="0" w:firstRowFirstColumn="0" w:firstRowLastColumn="0" w:lastRowFirstColumn="0" w:lastRowLastColumn="0"/>
            <w:tcW w:w="4863" w:type="dxa"/>
            <w:noWrap/>
            <w:hideMark/>
          </w:tcPr>
          <w:p w:rsidR="00EE0C8C" w:rsidRPr="00A76BDB" w:rsidRDefault="00EE0C8C" w:rsidP="00EE0C8C">
            <w:pPr>
              <w:pBdr>
                <w:bottom w:val="single" w:sz="8" w:space="4" w:color="4F81BD" w:themeColor="accent1"/>
              </w:pBdr>
              <w:spacing w:after="300"/>
              <w:contextualSpacing/>
              <w:jc w:val="both"/>
              <w:rPr>
                <w:rFonts w:ascii="Calibri" w:eastAsiaTheme="majorEastAsia" w:hAnsi="Calibri" w:cstheme="majorBidi"/>
                <w:color w:val="17365D" w:themeColor="text2" w:themeShade="BF"/>
                <w:spacing w:val="5"/>
                <w:kern w:val="28"/>
              </w:rPr>
            </w:pPr>
            <w:r w:rsidRPr="00A76BDB">
              <w:rPr>
                <w:rFonts w:ascii="Calibri" w:eastAsiaTheme="majorEastAsia" w:hAnsi="Calibri" w:cstheme="majorBidi"/>
                <w:color w:val="17365D" w:themeColor="text2" w:themeShade="BF"/>
                <w:spacing w:val="5"/>
                <w:kern w:val="28"/>
              </w:rPr>
              <w:t>Miejsce na grilla</w:t>
            </w:r>
          </w:p>
        </w:tc>
        <w:tc>
          <w:tcPr>
            <w:tcW w:w="3170" w:type="dxa"/>
            <w:noWrap/>
            <w:hideMark/>
          </w:tcPr>
          <w:p w:rsidR="00EE0C8C" w:rsidRPr="00A76BDB" w:rsidRDefault="00EE0C8C" w:rsidP="00EE0C8C">
            <w:pPr>
              <w:pBdr>
                <w:bottom w:val="single" w:sz="8" w:space="4" w:color="4F81BD" w:themeColor="accent1"/>
              </w:pBdr>
              <w:spacing w:after="300"/>
              <w:contextualSpacing/>
              <w:jc w:val="center"/>
              <w:cnfStyle w:val="000000010000" w:firstRow="0" w:lastRow="0" w:firstColumn="0" w:lastColumn="0" w:oddVBand="0" w:evenVBand="0" w:oddHBand="0" w:evenHBand="1" w:firstRowFirstColumn="0" w:firstRowLastColumn="0" w:lastRowFirstColumn="0" w:lastRowLastColumn="0"/>
              <w:rPr>
                <w:rFonts w:ascii="Calibri" w:eastAsiaTheme="majorEastAsia" w:hAnsi="Calibri" w:cs="Times New Roman"/>
                <w:color w:val="17365D" w:themeColor="text2" w:themeShade="BF"/>
                <w:spacing w:val="5"/>
                <w:kern w:val="28"/>
              </w:rPr>
            </w:pPr>
            <w:r w:rsidRPr="00A76BDB">
              <w:rPr>
                <w:rFonts w:ascii="Calibri" w:eastAsiaTheme="majorEastAsia" w:hAnsi="Calibri" w:cs="Times New Roman"/>
                <w:color w:val="17365D" w:themeColor="text2" w:themeShade="BF"/>
                <w:spacing w:val="5"/>
                <w:kern w:val="28"/>
              </w:rPr>
              <w:t>72</w:t>
            </w:r>
          </w:p>
        </w:tc>
      </w:tr>
      <w:tr w:rsidR="00EE0C8C" w:rsidRPr="00A76BDB" w:rsidTr="00A76BDB">
        <w:trPr>
          <w:cnfStyle w:val="000000100000" w:firstRow="0" w:lastRow="0" w:firstColumn="0" w:lastColumn="0" w:oddVBand="0" w:evenVBand="0" w:oddHBand="1" w:evenHBand="0" w:firstRowFirstColumn="0" w:firstRowLastColumn="0" w:lastRowFirstColumn="0" w:lastRowLastColumn="0"/>
          <w:trHeight w:hRule="exact" w:val="297"/>
          <w:jc w:val="center"/>
        </w:trPr>
        <w:tc>
          <w:tcPr>
            <w:cnfStyle w:val="001000000000" w:firstRow="0" w:lastRow="0" w:firstColumn="1" w:lastColumn="0" w:oddVBand="0" w:evenVBand="0" w:oddHBand="0" w:evenHBand="0" w:firstRowFirstColumn="0" w:firstRowLastColumn="0" w:lastRowFirstColumn="0" w:lastRowLastColumn="0"/>
            <w:tcW w:w="4863" w:type="dxa"/>
            <w:noWrap/>
            <w:hideMark/>
          </w:tcPr>
          <w:p w:rsidR="00EE0C8C" w:rsidRPr="00A76BDB" w:rsidRDefault="00EE0C8C" w:rsidP="00EE0C8C">
            <w:pPr>
              <w:pBdr>
                <w:bottom w:val="single" w:sz="8" w:space="4" w:color="4F81BD" w:themeColor="accent1"/>
              </w:pBdr>
              <w:spacing w:after="300"/>
              <w:contextualSpacing/>
              <w:jc w:val="both"/>
              <w:rPr>
                <w:rFonts w:ascii="Calibri" w:eastAsiaTheme="majorEastAsia" w:hAnsi="Calibri" w:cstheme="majorBidi"/>
                <w:color w:val="17365D" w:themeColor="text2" w:themeShade="BF"/>
                <w:spacing w:val="5"/>
                <w:kern w:val="28"/>
              </w:rPr>
            </w:pPr>
            <w:r w:rsidRPr="00A76BDB">
              <w:rPr>
                <w:rFonts w:ascii="Calibri" w:eastAsiaTheme="majorEastAsia" w:hAnsi="Calibri" w:cstheme="majorBidi"/>
                <w:color w:val="17365D" w:themeColor="text2" w:themeShade="BF"/>
                <w:spacing w:val="5"/>
                <w:kern w:val="28"/>
              </w:rPr>
              <w:t>Górka saneczkowa</w:t>
            </w:r>
          </w:p>
        </w:tc>
        <w:tc>
          <w:tcPr>
            <w:tcW w:w="3170" w:type="dxa"/>
            <w:noWrap/>
            <w:hideMark/>
          </w:tcPr>
          <w:p w:rsidR="00EE0C8C" w:rsidRPr="00A76BDB" w:rsidRDefault="00EE0C8C" w:rsidP="00EE0C8C">
            <w:pPr>
              <w:pBdr>
                <w:bottom w:val="single" w:sz="8" w:space="4" w:color="4F81BD" w:themeColor="accent1"/>
              </w:pBdr>
              <w:spacing w:after="300"/>
              <w:contextualSpacing/>
              <w:jc w:val="center"/>
              <w:cnfStyle w:val="000000100000" w:firstRow="0" w:lastRow="0" w:firstColumn="0" w:lastColumn="0" w:oddVBand="0" w:evenVBand="0" w:oddHBand="1" w:evenHBand="0" w:firstRowFirstColumn="0" w:firstRowLastColumn="0" w:lastRowFirstColumn="0" w:lastRowLastColumn="0"/>
              <w:rPr>
                <w:rFonts w:ascii="Calibri" w:eastAsiaTheme="majorEastAsia" w:hAnsi="Calibri" w:cs="Times New Roman"/>
                <w:color w:val="17365D" w:themeColor="text2" w:themeShade="BF"/>
                <w:spacing w:val="5"/>
                <w:kern w:val="28"/>
              </w:rPr>
            </w:pPr>
            <w:r w:rsidRPr="00A76BDB">
              <w:rPr>
                <w:rFonts w:ascii="Calibri" w:eastAsiaTheme="majorEastAsia" w:hAnsi="Calibri" w:cs="Times New Roman"/>
                <w:color w:val="17365D" w:themeColor="text2" w:themeShade="BF"/>
                <w:spacing w:val="5"/>
                <w:kern w:val="28"/>
              </w:rPr>
              <w:t>76</w:t>
            </w:r>
          </w:p>
        </w:tc>
      </w:tr>
      <w:tr w:rsidR="00EE0C8C" w:rsidRPr="00A76BDB" w:rsidTr="00A76BDB">
        <w:trPr>
          <w:cnfStyle w:val="000000010000" w:firstRow="0" w:lastRow="0" w:firstColumn="0" w:lastColumn="0" w:oddVBand="0" w:evenVBand="0" w:oddHBand="0" w:evenHBand="1" w:firstRowFirstColumn="0" w:firstRowLastColumn="0" w:lastRowFirstColumn="0" w:lastRowLastColumn="0"/>
          <w:trHeight w:hRule="exact" w:val="297"/>
          <w:jc w:val="center"/>
        </w:trPr>
        <w:tc>
          <w:tcPr>
            <w:cnfStyle w:val="001000000000" w:firstRow="0" w:lastRow="0" w:firstColumn="1" w:lastColumn="0" w:oddVBand="0" w:evenVBand="0" w:oddHBand="0" w:evenHBand="0" w:firstRowFirstColumn="0" w:firstRowLastColumn="0" w:lastRowFirstColumn="0" w:lastRowLastColumn="0"/>
            <w:tcW w:w="4863" w:type="dxa"/>
            <w:noWrap/>
            <w:hideMark/>
          </w:tcPr>
          <w:p w:rsidR="00EE0C8C" w:rsidRPr="00A76BDB" w:rsidRDefault="00EE0C8C" w:rsidP="00EE0C8C">
            <w:pPr>
              <w:pBdr>
                <w:bottom w:val="single" w:sz="8" w:space="4" w:color="4F81BD" w:themeColor="accent1"/>
              </w:pBdr>
              <w:spacing w:after="300"/>
              <w:contextualSpacing/>
              <w:jc w:val="both"/>
              <w:rPr>
                <w:rFonts w:ascii="Calibri" w:eastAsiaTheme="majorEastAsia" w:hAnsi="Calibri" w:cstheme="majorBidi"/>
                <w:color w:val="17365D" w:themeColor="text2" w:themeShade="BF"/>
                <w:spacing w:val="5"/>
                <w:kern w:val="28"/>
              </w:rPr>
            </w:pPr>
            <w:r w:rsidRPr="00A76BDB">
              <w:rPr>
                <w:rFonts w:ascii="Calibri" w:eastAsiaTheme="majorEastAsia" w:hAnsi="Calibri" w:cstheme="majorBidi"/>
                <w:color w:val="17365D" w:themeColor="text2" w:themeShade="BF"/>
                <w:spacing w:val="5"/>
                <w:kern w:val="28"/>
              </w:rPr>
              <w:t>Miejsce na urządzenie zimą lodowiska</w:t>
            </w:r>
          </w:p>
        </w:tc>
        <w:tc>
          <w:tcPr>
            <w:tcW w:w="3170" w:type="dxa"/>
            <w:noWrap/>
            <w:hideMark/>
          </w:tcPr>
          <w:p w:rsidR="00EE0C8C" w:rsidRPr="00A76BDB" w:rsidRDefault="00EE0C8C" w:rsidP="00EE0C8C">
            <w:pPr>
              <w:pBdr>
                <w:bottom w:val="single" w:sz="8" w:space="4" w:color="4F81BD" w:themeColor="accent1"/>
              </w:pBdr>
              <w:spacing w:after="300"/>
              <w:contextualSpacing/>
              <w:jc w:val="center"/>
              <w:cnfStyle w:val="000000010000" w:firstRow="0" w:lastRow="0" w:firstColumn="0" w:lastColumn="0" w:oddVBand="0" w:evenVBand="0" w:oddHBand="0" w:evenHBand="1" w:firstRowFirstColumn="0" w:firstRowLastColumn="0" w:lastRowFirstColumn="0" w:lastRowLastColumn="0"/>
              <w:rPr>
                <w:rFonts w:ascii="Calibri" w:eastAsiaTheme="majorEastAsia" w:hAnsi="Calibri" w:cs="Times New Roman"/>
                <w:color w:val="17365D" w:themeColor="text2" w:themeShade="BF"/>
                <w:spacing w:val="5"/>
                <w:kern w:val="28"/>
              </w:rPr>
            </w:pPr>
            <w:r w:rsidRPr="00A76BDB">
              <w:rPr>
                <w:rFonts w:ascii="Calibri" w:eastAsiaTheme="majorEastAsia" w:hAnsi="Calibri" w:cs="Times New Roman"/>
                <w:color w:val="17365D" w:themeColor="text2" w:themeShade="BF"/>
                <w:spacing w:val="5"/>
                <w:kern w:val="28"/>
              </w:rPr>
              <w:t>77</w:t>
            </w:r>
          </w:p>
        </w:tc>
      </w:tr>
      <w:tr w:rsidR="00EE0C8C" w:rsidRPr="00A76BDB" w:rsidTr="00A76BDB">
        <w:trPr>
          <w:cnfStyle w:val="000000100000" w:firstRow="0" w:lastRow="0" w:firstColumn="0" w:lastColumn="0" w:oddVBand="0" w:evenVBand="0" w:oddHBand="1" w:evenHBand="0" w:firstRowFirstColumn="0" w:firstRowLastColumn="0" w:lastRowFirstColumn="0" w:lastRowLastColumn="0"/>
          <w:trHeight w:hRule="exact" w:val="297"/>
          <w:jc w:val="center"/>
        </w:trPr>
        <w:tc>
          <w:tcPr>
            <w:cnfStyle w:val="001000000000" w:firstRow="0" w:lastRow="0" w:firstColumn="1" w:lastColumn="0" w:oddVBand="0" w:evenVBand="0" w:oddHBand="0" w:evenHBand="0" w:firstRowFirstColumn="0" w:firstRowLastColumn="0" w:lastRowFirstColumn="0" w:lastRowLastColumn="0"/>
            <w:tcW w:w="4863" w:type="dxa"/>
            <w:noWrap/>
            <w:hideMark/>
          </w:tcPr>
          <w:p w:rsidR="00EE0C8C" w:rsidRPr="00A76BDB" w:rsidRDefault="00EE0C8C" w:rsidP="00EE0C8C">
            <w:pPr>
              <w:pBdr>
                <w:bottom w:val="single" w:sz="8" w:space="4" w:color="4F81BD" w:themeColor="accent1"/>
              </w:pBdr>
              <w:spacing w:after="300"/>
              <w:contextualSpacing/>
              <w:jc w:val="both"/>
              <w:rPr>
                <w:rFonts w:ascii="Calibri" w:eastAsiaTheme="majorEastAsia" w:hAnsi="Calibri" w:cstheme="majorBidi"/>
                <w:color w:val="17365D" w:themeColor="text2" w:themeShade="BF"/>
                <w:spacing w:val="5"/>
                <w:kern w:val="28"/>
              </w:rPr>
            </w:pPr>
            <w:r w:rsidRPr="00A76BDB">
              <w:rPr>
                <w:rFonts w:ascii="Calibri" w:eastAsiaTheme="majorEastAsia" w:hAnsi="Calibri" w:cstheme="majorBidi"/>
                <w:color w:val="17365D" w:themeColor="text2" w:themeShade="BF"/>
                <w:spacing w:val="5"/>
                <w:kern w:val="28"/>
              </w:rPr>
              <w:t>Altana biesiadna</w:t>
            </w:r>
          </w:p>
        </w:tc>
        <w:tc>
          <w:tcPr>
            <w:tcW w:w="3170" w:type="dxa"/>
            <w:noWrap/>
            <w:hideMark/>
          </w:tcPr>
          <w:p w:rsidR="00EE0C8C" w:rsidRPr="00A76BDB" w:rsidRDefault="00EE0C8C" w:rsidP="00EE0C8C">
            <w:pPr>
              <w:pBdr>
                <w:bottom w:val="single" w:sz="8" w:space="4" w:color="4F81BD" w:themeColor="accent1"/>
              </w:pBdr>
              <w:spacing w:after="300"/>
              <w:contextualSpacing/>
              <w:jc w:val="center"/>
              <w:cnfStyle w:val="000000100000" w:firstRow="0" w:lastRow="0" w:firstColumn="0" w:lastColumn="0" w:oddVBand="0" w:evenVBand="0" w:oddHBand="1" w:evenHBand="0" w:firstRowFirstColumn="0" w:firstRowLastColumn="0" w:lastRowFirstColumn="0" w:lastRowLastColumn="0"/>
              <w:rPr>
                <w:rFonts w:ascii="Calibri" w:eastAsiaTheme="majorEastAsia" w:hAnsi="Calibri" w:cs="Times New Roman"/>
                <w:color w:val="17365D" w:themeColor="text2" w:themeShade="BF"/>
                <w:spacing w:val="5"/>
                <w:kern w:val="28"/>
              </w:rPr>
            </w:pPr>
            <w:r w:rsidRPr="00A76BDB">
              <w:rPr>
                <w:rFonts w:ascii="Calibri" w:eastAsiaTheme="majorEastAsia" w:hAnsi="Calibri" w:cs="Times New Roman"/>
                <w:color w:val="17365D" w:themeColor="text2" w:themeShade="BF"/>
                <w:spacing w:val="5"/>
                <w:kern w:val="28"/>
              </w:rPr>
              <w:t>91</w:t>
            </w:r>
          </w:p>
        </w:tc>
      </w:tr>
      <w:tr w:rsidR="00EE0C8C" w:rsidRPr="00A76BDB" w:rsidTr="00A76BDB">
        <w:trPr>
          <w:cnfStyle w:val="000000010000" w:firstRow="0" w:lastRow="0" w:firstColumn="0" w:lastColumn="0" w:oddVBand="0" w:evenVBand="0" w:oddHBand="0" w:evenHBand="1" w:firstRowFirstColumn="0" w:firstRowLastColumn="0" w:lastRowFirstColumn="0" w:lastRowLastColumn="0"/>
          <w:trHeight w:hRule="exact" w:val="297"/>
          <w:jc w:val="center"/>
        </w:trPr>
        <w:tc>
          <w:tcPr>
            <w:cnfStyle w:val="001000000000" w:firstRow="0" w:lastRow="0" w:firstColumn="1" w:lastColumn="0" w:oddVBand="0" w:evenVBand="0" w:oddHBand="0" w:evenHBand="0" w:firstRowFirstColumn="0" w:firstRowLastColumn="0" w:lastRowFirstColumn="0" w:lastRowLastColumn="0"/>
            <w:tcW w:w="4863" w:type="dxa"/>
            <w:noWrap/>
            <w:hideMark/>
          </w:tcPr>
          <w:p w:rsidR="00EE0C8C" w:rsidRPr="00A76BDB" w:rsidRDefault="00EE0C8C" w:rsidP="00EE0C8C">
            <w:pPr>
              <w:pBdr>
                <w:bottom w:val="single" w:sz="8" w:space="4" w:color="4F81BD" w:themeColor="accent1"/>
              </w:pBdr>
              <w:spacing w:after="300"/>
              <w:contextualSpacing/>
              <w:jc w:val="both"/>
              <w:rPr>
                <w:rFonts w:ascii="Calibri" w:eastAsiaTheme="majorEastAsia" w:hAnsi="Calibri" w:cstheme="majorBidi"/>
                <w:color w:val="17365D" w:themeColor="text2" w:themeShade="BF"/>
                <w:spacing w:val="5"/>
                <w:kern w:val="28"/>
              </w:rPr>
            </w:pPr>
            <w:r w:rsidRPr="00A76BDB">
              <w:rPr>
                <w:rFonts w:ascii="Calibri" w:eastAsiaTheme="majorEastAsia" w:hAnsi="Calibri" w:cstheme="majorBidi"/>
                <w:color w:val="17365D" w:themeColor="text2" w:themeShade="BF"/>
                <w:spacing w:val="5"/>
                <w:kern w:val="28"/>
              </w:rPr>
              <w:t>Plac pod ognisko</w:t>
            </w:r>
          </w:p>
        </w:tc>
        <w:tc>
          <w:tcPr>
            <w:tcW w:w="3170" w:type="dxa"/>
            <w:noWrap/>
            <w:hideMark/>
          </w:tcPr>
          <w:p w:rsidR="00EE0C8C" w:rsidRPr="00A76BDB" w:rsidRDefault="00EE0C8C" w:rsidP="00EE0C8C">
            <w:pPr>
              <w:pBdr>
                <w:bottom w:val="single" w:sz="8" w:space="4" w:color="4F81BD" w:themeColor="accent1"/>
              </w:pBdr>
              <w:spacing w:after="300"/>
              <w:contextualSpacing/>
              <w:jc w:val="center"/>
              <w:cnfStyle w:val="000000010000" w:firstRow="0" w:lastRow="0" w:firstColumn="0" w:lastColumn="0" w:oddVBand="0" w:evenVBand="0" w:oddHBand="0" w:evenHBand="1" w:firstRowFirstColumn="0" w:firstRowLastColumn="0" w:lastRowFirstColumn="0" w:lastRowLastColumn="0"/>
              <w:rPr>
                <w:rFonts w:ascii="Calibri" w:eastAsiaTheme="majorEastAsia" w:hAnsi="Calibri" w:cs="Times New Roman"/>
                <w:color w:val="17365D" w:themeColor="text2" w:themeShade="BF"/>
                <w:spacing w:val="5"/>
                <w:kern w:val="28"/>
              </w:rPr>
            </w:pPr>
            <w:r w:rsidRPr="00A76BDB">
              <w:rPr>
                <w:rFonts w:ascii="Calibri" w:eastAsiaTheme="majorEastAsia" w:hAnsi="Calibri" w:cs="Times New Roman"/>
                <w:color w:val="17365D" w:themeColor="text2" w:themeShade="BF"/>
                <w:spacing w:val="5"/>
                <w:kern w:val="28"/>
              </w:rPr>
              <w:t>88</w:t>
            </w:r>
          </w:p>
        </w:tc>
      </w:tr>
      <w:tr w:rsidR="00EE0C8C" w:rsidRPr="00A76BDB" w:rsidTr="00A76BDB">
        <w:trPr>
          <w:cnfStyle w:val="000000100000" w:firstRow="0" w:lastRow="0" w:firstColumn="0" w:lastColumn="0" w:oddVBand="0" w:evenVBand="0" w:oddHBand="1" w:evenHBand="0" w:firstRowFirstColumn="0" w:firstRowLastColumn="0" w:lastRowFirstColumn="0" w:lastRowLastColumn="0"/>
          <w:trHeight w:hRule="exact" w:val="297"/>
          <w:jc w:val="center"/>
        </w:trPr>
        <w:tc>
          <w:tcPr>
            <w:cnfStyle w:val="001000000000" w:firstRow="0" w:lastRow="0" w:firstColumn="1" w:lastColumn="0" w:oddVBand="0" w:evenVBand="0" w:oddHBand="0" w:evenHBand="0" w:firstRowFirstColumn="0" w:firstRowLastColumn="0" w:lastRowFirstColumn="0" w:lastRowLastColumn="0"/>
            <w:tcW w:w="4863" w:type="dxa"/>
            <w:noWrap/>
            <w:hideMark/>
          </w:tcPr>
          <w:p w:rsidR="00EE0C8C" w:rsidRPr="00A76BDB" w:rsidRDefault="00EE0C8C" w:rsidP="00EE0C8C">
            <w:pPr>
              <w:pBdr>
                <w:bottom w:val="single" w:sz="8" w:space="4" w:color="4F81BD" w:themeColor="accent1"/>
              </w:pBdr>
              <w:spacing w:after="300"/>
              <w:contextualSpacing/>
              <w:jc w:val="both"/>
              <w:rPr>
                <w:rFonts w:ascii="Calibri" w:eastAsiaTheme="majorEastAsia" w:hAnsi="Calibri" w:cstheme="majorBidi"/>
                <w:color w:val="17365D" w:themeColor="text2" w:themeShade="BF"/>
                <w:spacing w:val="5"/>
                <w:kern w:val="28"/>
              </w:rPr>
            </w:pPr>
            <w:r w:rsidRPr="00A76BDB">
              <w:rPr>
                <w:rFonts w:ascii="Calibri" w:eastAsiaTheme="majorEastAsia" w:hAnsi="Calibri" w:cstheme="majorBidi"/>
                <w:color w:val="17365D" w:themeColor="text2" w:themeShade="BF"/>
                <w:spacing w:val="5"/>
                <w:kern w:val="28"/>
              </w:rPr>
              <w:t>Budowa toalety publicznej bliżej centrum Mirca</w:t>
            </w:r>
          </w:p>
        </w:tc>
        <w:tc>
          <w:tcPr>
            <w:tcW w:w="3170" w:type="dxa"/>
            <w:noWrap/>
            <w:hideMark/>
          </w:tcPr>
          <w:p w:rsidR="00EE0C8C" w:rsidRPr="00A76BDB" w:rsidRDefault="00EE0C8C" w:rsidP="00EE0C8C">
            <w:pPr>
              <w:pBdr>
                <w:bottom w:val="single" w:sz="8" w:space="4" w:color="4F81BD" w:themeColor="accent1"/>
              </w:pBdr>
              <w:spacing w:after="300"/>
              <w:contextualSpacing/>
              <w:jc w:val="center"/>
              <w:cnfStyle w:val="000000100000" w:firstRow="0" w:lastRow="0" w:firstColumn="0" w:lastColumn="0" w:oddVBand="0" w:evenVBand="0" w:oddHBand="1" w:evenHBand="0" w:firstRowFirstColumn="0" w:firstRowLastColumn="0" w:lastRowFirstColumn="0" w:lastRowLastColumn="0"/>
              <w:rPr>
                <w:rFonts w:ascii="Calibri" w:eastAsiaTheme="majorEastAsia" w:hAnsi="Calibri" w:cs="Times New Roman"/>
                <w:color w:val="17365D" w:themeColor="text2" w:themeShade="BF"/>
                <w:spacing w:val="5"/>
                <w:kern w:val="28"/>
              </w:rPr>
            </w:pPr>
            <w:r w:rsidRPr="00A76BDB">
              <w:rPr>
                <w:rFonts w:ascii="Calibri" w:eastAsiaTheme="majorEastAsia" w:hAnsi="Calibri" w:cs="Times New Roman"/>
                <w:color w:val="17365D" w:themeColor="text2" w:themeShade="BF"/>
                <w:spacing w:val="5"/>
                <w:kern w:val="28"/>
              </w:rPr>
              <w:t>71</w:t>
            </w:r>
          </w:p>
        </w:tc>
      </w:tr>
      <w:tr w:rsidR="00EE0C8C" w:rsidRPr="00A76BDB" w:rsidTr="00A76BDB">
        <w:trPr>
          <w:cnfStyle w:val="000000010000" w:firstRow="0" w:lastRow="0" w:firstColumn="0" w:lastColumn="0" w:oddVBand="0" w:evenVBand="0" w:oddHBand="0" w:evenHBand="1" w:firstRowFirstColumn="0" w:firstRowLastColumn="0" w:lastRowFirstColumn="0" w:lastRowLastColumn="0"/>
          <w:trHeight w:hRule="exact" w:val="297"/>
          <w:jc w:val="center"/>
        </w:trPr>
        <w:tc>
          <w:tcPr>
            <w:cnfStyle w:val="001000000000" w:firstRow="0" w:lastRow="0" w:firstColumn="1" w:lastColumn="0" w:oddVBand="0" w:evenVBand="0" w:oddHBand="0" w:evenHBand="0" w:firstRowFirstColumn="0" w:firstRowLastColumn="0" w:lastRowFirstColumn="0" w:lastRowLastColumn="0"/>
            <w:tcW w:w="4863" w:type="dxa"/>
            <w:noWrap/>
            <w:hideMark/>
          </w:tcPr>
          <w:p w:rsidR="00EE0C8C" w:rsidRPr="00A76BDB" w:rsidRDefault="00EE0C8C" w:rsidP="00EE0C8C">
            <w:pPr>
              <w:pBdr>
                <w:bottom w:val="single" w:sz="8" w:space="4" w:color="4F81BD" w:themeColor="accent1"/>
              </w:pBdr>
              <w:spacing w:after="300"/>
              <w:contextualSpacing/>
              <w:jc w:val="both"/>
              <w:rPr>
                <w:rFonts w:ascii="Calibri" w:eastAsiaTheme="majorEastAsia" w:hAnsi="Calibri" w:cstheme="majorBidi"/>
                <w:color w:val="17365D" w:themeColor="text2" w:themeShade="BF"/>
                <w:spacing w:val="5"/>
                <w:kern w:val="28"/>
              </w:rPr>
            </w:pPr>
            <w:r w:rsidRPr="00A76BDB">
              <w:rPr>
                <w:rFonts w:ascii="Calibri" w:eastAsiaTheme="majorEastAsia" w:hAnsi="Calibri" w:cstheme="majorBidi"/>
                <w:color w:val="17365D" w:themeColor="text2" w:themeShade="BF"/>
                <w:spacing w:val="5"/>
                <w:kern w:val="28"/>
              </w:rPr>
              <w:t>Dokończenie chodnika od Przedszkola do przystanku</w:t>
            </w:r>
          </w:p>
        </w:tc>
        <w:tc>
          <w:tcPr>
            <w:tcW w:w="3170" w:type="dxa"/>
            <w:noWrap/>
            <w:hideMark/>
          </w:tcPr>
          <w:p w:rsidR="00EE0C8C" w:rsidRPr="00A76BDB" w:rsidRDefault="00EE0C8C" w:rsidP="00EE0C8C">
            <w:pPr>
              <w:pBdr>
                <w:bottom w:val="single" w:sz="8" w:space="4" w:color="4F81BD" w:themeColor="accent1"/>
              </w:pBdr>
              <w:spacing w:after="300"/>
              <w:contextualSpacing/>
              <w:jc w:val="center"/>
              <w:cnfStyle w:val="000000010000" w:firstRow="0" w:lastRow="0" w:firstColumn="0" w:lastColumn="0" w:oddVBand="0" w:evenVBand="0" w:oddHBand="0" w:evenHBand="1" w:firstRowFirstColumn="0" w:firstRowLastColumn="0" w:lastRowFirstColumn="0" w:lastRowLastColumn="0"/>
              <w:rPr>
                <w:rFonts w:ascii="Calibri" w:eastAsiaTheme="majorEastAsia" w:hAnsi="Calibri" w:cs="Times New Roman"/>
                <w:color w:val="17365D" w:themeColor="text2" w:themeShade="BF"/>
                <w:spacing w:val="5"/>
                <w:kern w:val="28"/>
              </w:rPr>
            </w:pPr>
            <w:r w:rsidRPr="00A76BDB">
              <w:rPr>
                <w:rFonts w:ascii="Calibri" w:eastAsiaTheme="majorEastAsia" w:hAnsi="Calibri" w:cs="Times New Roman"/>
                <w:color w:val="17365D" w:themeColor="text2" w:themeShade="BF"/>
                <w:spacing w:val="5"/>
                <w:kern w:val="28"/>
              </w:rPr>
              <w:t>77</w:t>
            </w:r>
          </w:p>
        </w:tc>
      </w:tr>
      <w:tr w:rsidR="00EE0C8C" w:rsidRPr="00A76BDB" w:rsidTr="00A76BDB">
        <w:trPr>
          <w:cnfStyle w:val="000000100000" w:firstRow="0" w:lastRow="0" w:firstColumn="0" w:lastColumn="0" w:oddVBand="0" w:evenVBand="0" w:oddHBand="1" w:evenHBand="0" w:firstRowFirstColumn="0" w:firstRowLastColumn="0" w:lastRowFirstColumn="0" w:lastRowLastColumn="0"/>
          <w:trHeight w:hRule="exact" w:val="297"/>
          <w:jc w:val="center"/>
        </w:trPr>
        <w:tc>
          <w:tcPr>
            <w:cnfStyle w:val="001000000000" w:firstRow="0" w:lastRow="0" w:firstColumn="1" w:lastColumn="0" w:oddVBand="0" w:evenVBand="0" w:oddHBand="0" w:evenHBand="0" w:firstRowFirstColumn="0" w:firstRowLastColumn="0" w:lastRowFirstColumn="0" w:lastRowLastColumn="0"/>
            <w:tcW w:w="4863" w:type="dxa"/>
            <w:noWrap/>
            <w:hideMark/>
          </w:tcPr>
          <w:p w:rsidR="00EE0C8C" w:rsidRPr="00A76BDB" w:rsidRDefault="00EE0C8C" w:rsidP="00EE0C8C">
            <w:pPr>
              <w:pBdr>
                <w:bottom w:val="single" w:sz="8" w:space="4" w:color="4F81BD" w:themeColor="accent1"/>
              </w:pBdr>
              <w:spacing w:after="300"/>
              <w:contextualSpacing/>
              <w:jc w:val="both"/>
              <w:rPr>
                <w:rFonts w:ascii="Calibri" w:eastAsiaTheme="majorEastAsia" w:hAnsi="Calibri" w:cstheme="majorBidi"/>
                <w:color w:val="17365D" w:themeColor="text2" w:themeShade="BF"/>
                <w:spacing w:val="5"/>
                <w:kern w:val="28"/>
              </w:rPr>
            </w:pPr>
            <w:r w:rsidRPr="00A76BDB">
              <w:rPr>
                <w:rFonts w:ascii="Calibri" w:eastAsiaTheme="majorEastAsia" w:hAnsi="Calibri" w:cstheme="majorBidi"/>
                <w:color w:val="17365D" w:themeColor="text2" w:themeShade="BF"/>
                <w:spacing w:val="5"/>
                <w:kern w:val="28"/>
              </w:rPr>
              <w:t>Parking</w:t>
            </w:r>
          </w:p>
        </w:tc>
        <w:tc>
          <w:tcPr>
            <w:tcW w:w="3170" w:type="dxa"/>
            <w:noWrap/>
            <w:hideMark/>
          </w:tcPr>
          <w:p w:rsidR="00EE0C8C" w:rsidRPr="00A76BDB" w:rsidRDefault="00EE0C8C" w:rsidP="00EE0C8C">
            <w:pPr>
              <w:pBdr>
                <w:bottom w:val="single" w:sz="8" w:space="4" w:color="4F81BD" w:themeColor="accent1"/>
              </w:pBdr>
              <w:spacing w:after="300"/>
              <w:contextualSpacing/>
              <w:jc w:val="center"/>
              <w:cnfStyle w:val="000000100000" w:firstRow="0" w:lastRow="0" w:firstColumn="0" w:lastColumn="0" w:oddVBand="0" w:evenVBand="0" w:oddHBand="1" w:evenHBand="0" w:firstRowFirstColumn="0" w:firstRowLastColumn="0" w:lastRowFirstColumn="0" w:lastRowLastColumn="0"/>
              <w:rPr>
                <w:rFonts w:ascii="Calibri" w:eastAsiaTheme="majorEastAsia" w:hAnsi="Calibri" w:cs="Times New Roman"/>
                <w:color w:val="17365D" w:themeColor="text2" w:themeShade="BF"/>
                <w:spacing w:val="5"/>
                <w:kern w:val="28"/>
              </w:rPr>
            </w:pPr>
            <w:r w:rsidRPr="00A76BDB">
              <w:rPr>
                <w:rFonts w:ascii="Calibri" w:eastAsiaTheme="majorEastAsia" w:hAnsi="Calibri" w:cs="Times New Roman"/>
                <w:color w:val="17365D" w:themeColor="text2" w:themeShade="BF"/>
                <w:spacing w:val="5"/>
                <w:kern w:val="28"/>
              </w:rPr>
              <w:t>78</w:t>
            </w:r>
          </w:p>
        </w:tc>
      </w:tr>
      <w:tr w:rsidR="00EE0C8C" w:rsidRPr="00A76BDB" w:rsidTr="00A76BDB">
        <w:trPr>
          <w:cnfStyle w:val="000000010000" w:firstRow="0" w:lastRow="0" w:firstColumn="0" w:lastColumn="0" w:oddVBand="0" w:evenVBand="0" w:oddHBand="0" w:evenHBand="1" w:firstRowFirstColumn="0" w:firstRowLastColumn="0" w:lastRowFirstColumn="0" w:lastRowLastColumn="0"/>
          <w:trHeight w:hRule="exact" w:val="297"/>
          <w:jc w:val="center"/>
        </w:trPr>
        <w:tc>
          <w:tcPr>
            <w:cnfStyle w:val="001000000000" w:firstRow="0" w:lastRow="0" w:firstColumn="1" w:lastColumn="0" w:oddVBand="0" w:evenVBand="0" w:oddHBand="0" w:evenHBand="0" w:firstRowFirstColumn="0" w:firstRowLastColumn="0" w:lastRowFirstColumn="0" w:lastRowLastColumn="0"/>
            <w:tcW w:w="4863" w:type="dxa"/>
            <w:noWrap/>
            <w:hideMark/>
          </w:tcPr>
          <w:p w:rsidR="00EE0C8C" w:rsidRPr="00A76BDB" w:rsidRDefault="00EE0C8C" w:rsidP="00EE0C8C">
            <w:pPr>
              <w:pBdr>
                <w:bottom w:val="single" w:sz="8" w:space="4" w:color="4F81BD" w:themeColor="accent1"/>
              </w:pBdr>
              <w:spacing w:after="300"/>
              <w:contextualSpacing/>
              <w:jc w:val="both"/>
              <w:rPr>
                <w:rFonts w:ascii="Calibri" w:eastAsiaTheme="majorEastAsia" w:hAnsi="Calibri" w:cstheme="majorBidi"/>
                <w:color w:val="17365D" w:themeColor="text2" w:themeShade="BF"/>
                <w:spacing w:val="5"/>
                <w:kern w:val="28"/>
              </w:rPr>
            </w:pPr>
            <w:r w:rsidRPr="00A76BDB">
              <w:rPr>
                <w:rFonts w:ascii="Calibri" w:eastAsiaTheme="majorEastAsia" w:hAnsi="Calibri" w:cstheme="majorBidi"/>
                <w:color w:val="17365D" w:themeColor="text2" w:themeShade="BF"/>
                <w:spacing w:val="5"/>
                <w:kern w:val="28"/>
              </w:rPr>
              <w:t>Skatepark</w:t>
            </w:r>
          </w:p>
        </w:tc>
        <w:tc>
          <w:tcPr>
            <w:tcW w:w="3170" w:type="dxa"/>
            <w:noWrap/>
            <w:hideMark/>
          </w:tcPr>
          <w:p w:rsidR="00EE0C8C" w:rsidRPr="00A76BDB" w:rsidRDefault="00EE0C8C" w:rsidP="00EE0C8C">
            <w:pPr>
              <w:pBdr>
                <w:bottom w:val="single" w:sz="8" w:space="4" w:color="4F81BD" w:themeColor="accent1"/>
              </w:pBdr>
              <w:spacing w:after="300"/>
              <w:contextualSpacing/>
              <w:jc w:val="center"/>
              <w:cnfStyle w:val="000000010000" w:firstRow="0" w:lastRow="0" w:firstColumn="0" w:lastColumn="0" w:oddVBand="0" w:evenVBand="0" w:oddHBand="0" w:evenHBand="1" w:firstRowFirstColumn="0" w:firstRowLastColumn="0" w:lastRowFirstColumn="0" w:lastRowLastColumn="0"/>
              <w:rPr>
                <w:rFonts w:ascii="Calibri" w:eastAsiaTheme="majorEastAsia" w:hAnsi="Calibri" w:cs="Times New Roman"/>
                <w:color w:val="17365D" w:themeColor="text2" w:themeShade="BF"/>
                <w:spacing w:val="5"/>
                <w:kern w:val="28"/>
              </w:rPr>
            </w:pPr>
            <w:r w:rsidRPr="00A76BDB">
              <w:rPr>
                <w:rFonts w:ascii="Calibri" w:eastAsiaTheme="majorEastAsia" w:hAnsi="Calibri" w:cs="Times New Roman"/>
                <w:color w:val="17365D" w:themeColor="text2" w:themeShade="BF"/>
                <w:spacing w:val="5"/>
                <w:kern w:val="28"/>
              </w:rPr>
              <w:t>82</w:t>
            </w:r>
          </w:p>
        </w:tc>
      </w:tr>
      <w:tr w:rsidR="00EE0C8C" w:rsidRPr="00A76BDB" w:rsidTr="00A76BDB">
        <w:trPr>
          <w:cnfStyle w:val="000000100000" w:firstRow="0" w:lastRow="0" w:firstColumn="0" w:lastColumn="0" w:oddVBand="0" w:evenVBand="0" w:oddHBand="1" w:evenHBand="0" w:firstRowFirstColumn="0" w:firstRowLastColumn="0" w:lastRowFirstColumn="0" w:lastRowLastColumn="0"/>
          <w:trHeight w:hRule="exact" w:val="297"/>
          <w:jc w:val="center"/>
        </w:trPr>
        <w:tc>
          <w:tcPr>
            <w:cnfStyle w:val="001000000000" w:firstRow="0" w:lastRow="0" w:firstColumn="1" w:lastColumn="0" w:oddVBand="0" w:evenVBand="0" w:oddHBand="0" w:evenHBand="0" w:firstRowFirstColumn="0" w:firstRowLastColumn="0" w:lastRowFirstColumn="0" w:lastRowLastColumn="0"/>
            <w:tcW w:w="4863" w:type="dxa"/>
            <w:noWrap/>
            <w:hideMark/>
          </w:tcPr>
          <w:p w:rsidR="00EE0C8C" w:rsidRPr="00A76BDB" w:rsidRDefault="00EE0C8C" w:rsidP="00EE0C8C">
            <w:pPr>
              <w:pBdr>
                <w:bottom w:val="single" w:sz="8" w:space="4" w:color="4F81BD" w:themeColor="accent1"/>
              </w:pBdr>
              <w:spacing w:after="300"/>
              <w:contextualSpacing/>
              <w:jc w:val="both"/>
              <w:rPr>
                <w:rFonts w:ascii="Calibri" w:eastAsiaTheme="majorEastAsia" w:hAnsi="Calibri" w:cstheme="majorBidi"/>
                <w:color w:val="17365D" w:themeColor="text2" w:themeShade="BF"/>
                <w:spacing w:val="5"/>
                <w:kern w:val="28"/>
              </w:rPr>
            </w:pPr>
            <w:r w:rsidRPr="00A76BDB">
              <w:rPr>
                <w:rFonts w:ascii="Calibri" w:eastAsiaTheme="majorEastAsia" w:hAnsi="Calibri" w:cstheme="majorBidi"/>
                <w:color w:val="17365D" w:themeColor="text2" w:themeShade="BF"/>
                <w:spacing w:val="5"/>
                <w:kern w:val="28"/>
              </w:rPr>
              <w:t>Siłownia wielofunkcyjna lub fitness</w:t>
            </w:r>
          </w:p>
        </w:tc>
        <w:tc>
          <w:tcPr>
            <w:tcW w:w="3170" w:type="dxa"/>
            <w:noWrap/>
            <w:hideMark/>
          </w:tcPr>
          <w:p w:rsidR="00EE0C8C" w:rsidRPr="00A76BDB" w:rsidRDefault="00EE0C8C" w:rsidP="00EE0C8C">
            <w:pPr>
              <w:pBdr>
                <w:bottom w:val="single" w:sz="8" w:space="4" w:color="4F81BD" w:themeColor="accent1"/>
              </w:pBdr>
              <w:spacing w:after="300"/>
              <w:contextualSpacing/>
              <w:jc w:val="center"/>
              <w:cnfStyle w:val="000000100000" w:firstRow="0" w:lastRow="0" w:firstColumn="0" w:lastColumn="0" w:oddVBand="0" w:evenVBand="0" w:oddHBand="1" w:evenHBand="0" w:firstRowFirstColumn="0" w:firstRowLastColumn="0" w:lastRowFirstColumn="0" w:lastRowLastColumn="0"/>
              <w:rPr>
                <w:rFonts w:ascii="Calibri" w:eastAsiaTheme="majorEastAsia" w:hAnsi="Calibri" w:cs="Times New Roman"/>
                <w:color w:val="17365D" w:themeColor="text2" w:themeShade="BF"/>
                <w:spacing w:val="5"/>
                <w:kern w:val="28"/>
              </w:rPr>
            </w:pPr>
            <w:r w:rsidRPr="00A76BDB">
              <w:rPr>
                <w:rFonts w:ascii="Calibri" w:eastAsiaTheme="majorEastAsia" w:hAnsi="Calibri" w:cs="Times New Roman"/>
                <w:color w:val="17365D" w:themeColor="text2" w:themeShade="BF"/>
                <w:spacing w:val="5"/>
                <w:kern w:val="28"/>
              </w:rPr>
              <w:t>90</w:t>
            </w:r>
          </w:p>
        </w:tc>
      </w:tr>
      <w:tr w:rsidR="00EE0C8C" w:rsidRPr="00A76BDB" w:rsidTr="00A76BDB">
        <w:trPr>
          <w:cnfStyle w:val="000000010000" w:firstRow="0" w:lastRow="0" w:firstColumn="0" w:lastColumn="0" w:oddVBand="0" w:evenVBand="0" w:oddHBand="0" w:evenHBand="1" w:firstRowFirstColumn="0" w:firstRowLastColumn="0" w:lastRowFirstColumn="0" w:lastRowLastColumn="0"/>
          <w:trHeight w:hRule="exact" w:val="297"/>
          <w:jc w:val="center"/>
        </w:trPr>
        <w:tc>
          <w:tcPr>
            <w:cnfStyle w:val="001000000000" w:firstRow="0" w:lastRow="0" w:firstColumn="1" w:lastColumn="0" w:oddVBand="0" w:evenVBand="0" w:oddHBand="0" w:evenHBand="0" w:firstRowFirstColumn="0" w:firstRowLastColumn="0" w:lastRowFirstColumn="0" w:lastRowLastColumn="0"/>
            <w:tcW w:w="4863" w:type="dxa"/>
            <w:noWrap/>
            <w:hideMark/>
          </w:tcPr>
          <w:p w:rsidR="00EE0C8C" w:rsidRPr="00A76BDB" w:rsidRDefault="00EE0C8C" w:rsidP="00EE0C8C">
            <w:pPr>
              <w:pBdr>
                <w:bottom w:val="single" w:sz="8" w:space="4" w:color="4F81BD" w:themeColor="accent1"/>
              </w:pBdr>
              <w:spacing w:after="300"/>
              <w:contextualSpacing/>
              <w:jc w:val="both"/>
              <w:rPr>
                <w:rFonts w:ascii="Calibri" w:eastAsiaTheme="majorEastAsia" w:hAnsi="Calibri" w:cstheme="majorBidi"/>
                <w:color w:val="17365D" w:themeColor="text2" w:themeShade="BF"/>
                <w:spacing w:val="5"/>
                <w:kern w:val="28"/>
              </w:rPr>
            </w:pPr>
            <w:r w:rsidRPr="00A76BDB">
              <w:rPr>
                <w:rFonts w:ascii="Calibri" w:eastAsiaTheme="majorEastAsia" w:hAnsi="Calibri" w:cstheme="majorBidi"/>
                <w:color w:val="17365D" w:themeColor="text2" w:themeShade="BF"/>
                <w:spacing w:val="5"/>
                <w:kern w:val="28"/>
              </w:rPr>
              <w:t>Zagospodarowanie terenów wokół przedszkola</w:t>
            </w:r>
          </w:p>
        </w:tc>
        <w:tc>
          <w:tcPr>
            <w:tcW w:w="3170" w:type="dxa"/>
            <w:noWrap/>
            <w:hideMark/>
          </w:tcPr>
          <w:p w:rsidR="00EE0C8C" w:rsidRPr="00A76BDB" w:rsidRDefault="00EE0C8C" w:rsidP="00EE0C8C">
            <w:pPr>
              <w:pBdr>
                <w:bottom w:val="single" w:sz="8" w:space="4" w:color="4F81BD" w:themeColor="accent1"/>
              </w:pBdr>
              <w:spacing w:after="300"/>
              <w:contextualSpacing/>
              <w:jc w:val="center"/>
              <w:cnfStyle w:val="000000010000" w:firstRow="0" w:lastRow="0" w:firstColumn="0" w:lastColumn="0" w:oddVBand="0" w:evenVBand="0" w:oddHBand="0" w:evenHBand="1" w:firstRowFirstColumn="0" w:firstRowLastColumn="0" w:lastRowFirstColumn="0" w:lastRowLastColumn="0"/>
              <w:rPr>
                <w:rFonts w:ascii="Calibri" w:eastAsiaTheme="majorEastAsia" w:hAnsi="Calibri" w:cs="Times New Roman"/>
                <w:color w:val="17365D" w:themeColor="text2" w:themeShade="BF"/>
                <w:spacing w:val="5"/>
                <w:kern w:val="28"/>
              </w:rPr>
            </w:pPr>
            <w:r w:rsidRPr="00A76BDB">
              <w:rPr>
                <w:rFonts w:ascii="Calibri" w:eastAsiaTheme="majorEastAsia" w:hAnsi="Calibri" w:cs="Times New Roman"/>
                <w:color w:val="17365D" w:themeColor="text2" w:themeShade="BF"/>
                <w:spacing w:val="5"/>
                <w:kern w:val="28"/>
              </w:rPr>
              <w:t>77</w:t>
            </w:r>
          </w:p>
        </w:tc>
      </w:tr>
      <w:tr w:rsidR="00EE0C8C" w:rsidRPr="00A76BDB" w:rsidTr="00A76BDB">
        <w:trPr>
          <w:cnfStyle w:val="000000100000" w:firstRow="0" w:lastRow="0" w:firstColumn="0" w:lastColumn="0" w:oddVBand="0" w:evenVBand="0" w:oddHBand="1" w:evenHBand="0" w:firstRowFirstColumn="0" w:firstRowLastColumn="0" w:lastRowFirstColumn="0" w:lastRowLastColumn="0"/>
          <w:trHeight w:hRule="exact" w:val="297"/>
          <w:jc w:val="center"/>
        </w:trPr>
        <w:tc>
          <w:tcPr>
            <w:cnfStyle w:val="001000000000" w:firstRow="0" w:lastRow="0" w:firstColumn="1" w:lastColumn="0" w:oddVBand="0" w:evenVBand="0" w:oddHBand="0" w:evenHBand="0" w:firstRowFirstColumn="0" w:firstRowLastColumn="0" w:lastRowFirstColumn="0" w:lastRowLastColumn="0"/>
            <w:tcW w:w="4863" w:type="dxa"/>
            <w:noWrap/>
            <w:hideMark/>
          </w:tcPr>
          <w:p w:rsidR="00EE0C8C" w:rsidRPr="00A76BDB" w:rsidRDefault="00EE0C8C" w:rsidP="00EE0C8C">
            <w:pPr>
              <w:pBdr>
                <w:bottom w:val="single" w:sz="8" w:space="4" w:color="4F81BD" w:themeColor="accent1"/>
              </w:pBdr>
              <w:spacing w:after="300"/>
              <w:contextualSpacing/>
              <w:jc w:val="both"/>
              <w:rPr>
                <w:rFonts w:ascii="Calibri" w:eastAsiaTheme="majorEastAsia" w:hAnsi="Calibri" w:cstheme="majorBidi"/>
                <w:color w:val="17365D" w:themeColor="text2" w:themeShade="BF"/>
                <w:spacing w:val="5"/>
                <w:kern w:val="28"/>
              </w:rPr>
            </w:pPr>
            <w:r w:rsidRPr="00A76BDB">
              <w:rPr>
                <w:rFonts w:ascii="Calibri" w:eastAsiaTheme="majorEastAsia" w:hAnsi="Calibri" w:cstheme="majorBidi"/>
                <w:color w:val="17365D" w:themeColor="text2" w:themeShade="BF"/>
                <w:spacing w:val="5"/>
                <w:kern w:val="28"/>
              </w:rPr>
              <w:t>Rewitalizacja PZOZ Ośrodka w Mircu (wyposażenie w sprzęt, poszerzenie usług)</w:t>
            </w:r>
          </w:p>
        </w:tc>
        <w:tc>
          <w:tcPr>
            <w:tcW w:w="3170" w:type="dxa"/>
            <w:noWrap/>
            <w:hideMark/>
          </w:tcPr>
          <w:p w:rsidR="00EE0C8C" w:rsidRPr="00A76BDB" w:rsidRDefault="00EE0C8C" w:rsidP="00EE0C8C">
            <w:pPr>
              <w:pBdr>
                <w:bottom w:val="single" w:sz="8" w:space="4" w:color="4F81BD" w:themeColor="accent1"/>
              </w:pBdr>
              <w:spacing w:after="300"/>
              <w:contextualSpacing/>
              <w:jc w:val="center"/>
              <w:cnfStyle w:val="000000100000" w:firstRow="0" w:lastRow="0" w:firstColumn="0" w:lastColumn="0" w:oddVBand="0" w:evenVBand="0" w:oddHBand="1" w:evenHBand="0" w:firstRowFirstColumn="0" w:firstRowLastColumn="0" w:lastRowFirstColumn="0" w:lastRowLastColumn="0"/>
              <w:rPr>
                <w:rFonts w:ascii="Calibri" w:eastAsiaTheme="majorEastAsia" w:hAnsi="Calibri" w:cs="Times New Roman"/>
                <w:color w:val="17365D" w:themeColor="text2" w:themeShade="BF"/>
                <w:spacing w:val="5"/>
                <w:kern w:val="28"/>
              </w:rPr>
            </w:pPr>
            <w:r w:rsidRPr="00A76BDB">
              <w:rPr>
                <w:rFonts w:ascii="Calibri" w:eastAsiaTheme="majorEastAsia" w:hAnsi="Calibri" w:cs="Times New Roman"/>
                <w:color w:val="17365D" w:themeColor="text2" w:themeShade="BF"/>
                <w:spacing w:val="5"/>
                <w:kern w:val="28"/>
              </w:rPr>
              <w:t>77</w:t>
            </w:r>
          </w:p>
        </w:tc>
      </w:tr>
      <w:tr w:rsidR="00EE0C8C" w:rsidRPr="00A76BDB" w:rsidTr="00A76BDB">
        <w:trPr>
          <w:cnfStyle w:val="000000010000" w:firstRow="0" w:lastRow="0" w:firstColumn="0" w:lastColumn="0" w:oddVBand="0" w:evenVBand="0" w:oddHBand="0" w:evenHBand="1" w:firstRowFirstColumn="0" w:firstRowLastColumn="0" w:lastRowFirstColumn="0" w:lastRowLastColumn="0"/>
          <w:trHeight w:hRule="exact" w:val="297"/>
          <w:jc w:val="center"/>
        </w:trPr>
        <w:tc>
          <w:tcPr>
            <w:cnfStyle w:val="001000000000" w:firstRow="0" w:lastRow="0" w:firstColumn="1" w:lastColumn="0" w:oddVBand="0" w:evenVBand="0" w:oddHBand="0" w:evenHBand="0" w:firstRowFirstColumn="0" w:firstRowLastColumn="0" w:lastRowFirstColumn="0" w:lastRowLastColumn="0"/>
            <w:tcW w:w="4863" w:type="dxa"/>
            <w:noWrap/>
            <w:hideMark/>
          </w:tcPr>
          <w:p w:rsidR="00EE0C8C" w:rsidRPr="00A76BDB" w:rsidRDefault="00EE0C8C" w:rsidP="00EE0C8C">
            <w:pPr>
              <w:pBdr>
                <w:bottom w:val="single" w:sz="8" w:space="4" w:color="4F81BD" w:themeColor="accent1"/>
              </w:pBdr>
              <w:spacing w:after="300"/>
              <w:contextualSpacing/>
              <w:jc w:val="both"/>
              <w:rPr>
                <w:rFonts w:ascii="Calibri" w:eastAsiaTheme="majorEastAsia" w:hAnsi="Calibri" w:cstheme="majorBidi"/>
                <w:color w:val="17365D" w:themeColor="text2" w:themeShade="BF"/>
                <w:spacing w:val="5"/>
                <w:kern w:val="28"/>
              </w:rPr>
            </w:pPr>
            <w:r w:rsidRPr="00A76BDB">
              <w:rPr>
                <w:rFonts w:ascii="Calibri" w:eastAsiaTheme="majorEastAsia" w:hAnsi="Calibri" w:cstheme="majorBidi"/>
                <w:color w:val="17365D" w:themeColor="text2" w:themeShade="BF"/>
                <w:spacing w:val="5"/>
                <w:kern w:val="28"/>
              </w:rPr>
              <w:t>Modernizacja drogi od SKR do Mirca Majorat</w:t>
            </w:r>
          </w:p>
        </w:tc>
        <w:tc>
          <w:tcPr>
            <w:tcW w:w="3170" w:type="dxa"/>
            <w:noWrap/>
            <w:hideMark/>
          </w:tcPr>
          <w:p w:rsidR="00EE0C8C" w:rsidRPr="00A76BDB" w:rsidRDefault="00EE0C8C" w:rsidP="00EE0C8C">
            <w:pPr>
              <w:pBdr>
                <w:bottom w:val="single" w:sz="8" w:space="4" w:color="4F81BD" w:themeColor="accent1"/>
              </w:pBdr>
              <w:spacing w:after="300"/>
              <w:contextualSpacing/>
              <w:jc w:val="center"/>
              <w:cnfStyle w:val="000000010000" w:firstRow="0" w:lastRow="0" w:firstColumn="0" w:lastColumn="0" w:oddVBand="0" w:evenVBand="0" w:oddHBand="0" w:evenHBand="1" w:firstRowFirstColumn="0" w:firstRowLastColumn="0" w:lastRowFirstColumn="0" w:lastRowLastColumn="0"/>
              <w:rPr>
                <w:rFonts w:ascii="Calibri" w:eastAsiaTheme="majorEastAsia" w:hAnsi="Calibri" w:cs="Times New Roman"/>
                <w:color w:val="17365D" w:themeColor="text2" w:themeShade="BF"/>
                <w:spacing w:val="5"/>
                <w:kern w:val="28"/>
              </w:rPr>
            </w:pPr>
            <w:r w:rsidRPr="00A76BDB">
              <w:rPr>
                <w:rFonts w:ascii="Calibri" w:eastAsiaTheme="majorEastAsia" w:hAnsi="Calibri" w:cs="Times New Roman"/>
                <w:color w:val="17365D" w:themeColor="text2" w:themeShade="BF"/>
                <w:spacing w:val="5"/>
                <w:kern w:val="28"/>
              </w:rPr>
              <w:t>6</w:t>
            </w:r>
          </w:p>
        </w:tc>
      </w:tr>
      <w:tr w:rsidR="00EE0C8C" w:rsidRPr="00A76BDB" w:rsidTr="00A76BDB">
        <w:trPr>
          <w:cnfStyle w:val="000000100000" w:firstRow="0" w:lastRow="0" w:firstColumn="0" w:lastColumn="0" w:oddVBand="0" w:evenVBand="0" w:oddHBand="1" w:evenHBand="0" w:firstRowFirstColumn="0" w:firstRowLastColumn="0" w:lastRowFirstColumn="0" w:lastRowLastColumn="0"/>
          <w:trHeight w:hRule="exact" w:val="297"/>
          <w:jc w:val="center"/>
        </w:trPr>
        <w:tc>
          <w:tcPr>
            <w:cnfStyle w:val="001000000000" w:firstRow="0" w:lastRow="0" w:firstColumn="1" w:lastColumn="0" w:oddVBand="0" w:evenVBand="0" w:oddHBand="0" w:evenHBand="0" w:firstRowFirstColumn="0" w:firstRowLastColumn="0" w:lastRowFirstColumn="0" w:lastRowLastColumn="0"/>
            <w:tcW w:w="4863" w:type="dxa"/>
            <w:noWrap/>
            <w:hideMark/>
          </w:tcPr>
          <w:p w:rsidR="00EE0C8C" w:rsidRPr="00A76BDB" w:rsidRDefault="00EE0C8C" w:rsidP="00EE0C8C">
            <w:pPr>
              <w:pBdr>
                <w:bottom w:val="single" w:sz="8" w:space="4" w:color="4F81BD" w:themeColor="accent1"/>
              </w:pBdr>
              <w:spacing w:after="300"/>
              <w:contextualSpacing/>
              <w:jc w:val="both"/>
              <w:rPr>
                <w:rFonts w:ascii="Calibri" w:eastAsiaTheme="majorEastAsia" w:hAnsi="Calibri" w:cstheme="majorBidi"/>
                <w:color w:val="17365D" w:themeColor="text2" w:themeShade="BF"/>
                <w:spacing w:val="5"/>
                <w:kern w:val="28"/>
              </w:rPr>
            </w:pPr>
            <w:r w:rsidRPr="00A76BDB">
              <w:rPr>
                <w:rFonts w:ascii="Calibri" w:eastAsiaTheme="majorEastAsia" w:hAnsi="Calibri" w:cstheme="majorBidi"/>
                <w:color w:val="17365D" w:themeColor="text2" w:themeShade="BF"/>
                <w:spacing w:val="5"/>
                <w:kern w:val="28"/>
              </w:rPr>
              <w:t>Basen</w:t>
            </w:r>
          </w:p>
        </w:tc>
        <w:tc>
          <w:tcPr>
            <w:tcW w:w="3170" w:type="dxa"/>
            <w:noWrap/>
            <w:hideMark/>
          </w:tcPr>
          <w:p w:rsidR="00EE0C8C" w:rsidRPr="00A76BDB" w:rsidRDefault="00EE0C8C" w:rsidP="00EE0C8C">
            <w:pPr>
              <w:pBdr>
                <w:bottom w:val="single" w:sz="8" w:space="4" w:color="4F81BD" w:themeColor="accent1"/>
              </w:pBdr>
              <w:spacing w:after="300"/>
              <w:contextualSpacing/>
              <w:jc w:val="center"/>
              <w:cnfStyle w:val="000000100000" w:firstRow="0" w:lastRow="0" w:firstColumn="0" w:lastColumn="0" w:oddVBand="0" w:evenVBand="0" w:oddHBand="1" w:evenHBand="0" w:firstRowFirstColumn="0" w:firstRowLastColumn="0" w:lastRowFirstColumn="0" w:lastRowLastColumn="0"/>
              <w:rPr>
                <w:rFonts w:ascii="Calibri" w:eastAsiaTheme="majorEastAsia" w:hAnsi="Calibri" w:cs="Times New Roman"/>
                <w:color w:val="17365D" w:themeColor="text2" w:themeShade="BF"/>
                <w:spacing w:val="5"/>
                <w:kern w:val="28"/>
              </w:rPr>
            </w:pPr>
            <w:r w:rsidRPr="00A76BDB">
              <w:rPr>
                <w:rFonts w:ascii="Calibri" w:eastAsiaTheme="majorEastAsia" w:hAnsi="Calibri" w:cs="Times New Roman"/>
                <w:color w:val="17365D" w:themeColor="text2" w:themeShade="BF"/>
                <w:spacing w:val="5"/>
                <w:kern w:val="28"/>
              </w:rPr>
              <w:t>14</w:t>
            </w:r>
          </w:p>
        </w:tc>
      </w:tr>
      <w:tr w:rsidR="00EE0C8C" w:rsidRPr="00A76BDB" w:rsidTr="00A76BDB">
        <w:trPr>
          <w:cnfStyle w:val="000000010000" w:firstRow="0" w:lastRow="0" w:firstColumn="0" w:lastColumn="0" w:oddVBand="0" w:evenVBand="0" w:oddHBand="0" w:evenHBand="1" w:firstRowFirstColumn="0" w:firstRowLastColumn="0" w:lastRowFirstColumn="0" w:lastRowLastColumn="0"/>
          <w:trHeight w:hRule="exact" w:val="297"/>
          <w:jc w:val="center"/>
        </w:trPr>
        <w:tc>
          <w:tcPr>
            <w:cnfStyle w:val="001000000000" w:firstRow="0" w:lastRow="0" w:firstColumn="1" w:lastColumn="0" w:oddVBand="0" w:evenVBand="0" w:oddHBand="0" w:evenHBand="0" w:firstRowFirstColumn="0" w:firstRowLastColumn="0" w:lastRowFirstColumn="0" w:lastRowLastColumn="0"/>
            <w:tcW w:w="4863" w:type="dxa"/>
            <w:noWrap/>
            <w:hideMark/>
          </w:tcPr>
          <w:p w:rsidR="00EE0C8C" w:rsidRPr="00A76BDB" w:rsidRDefault="00EE0C8C" w:rsidP="00EE0C8C">
            <w:pPr>
              <w:pBdr>
                <w:bottom w:val="single" w:sz="8" w:space="4" w:color="4F81BD" w:themeColor="accent1"/>
              </w:pBdr>
              <w:spacing w:after="300"/>
              <w:contextualSpacing/>
              <w:jc w:val="both"/>
              <w:rPr>
                <w:rFonts w:ascii="Calibri" w:eastAsiaTheme="majorEastAsia" w:hAnsi="Calibri" w:cstheme="majorBidi"/>
                <w:color w:val="17365D" w:themeColor="text2" w:themeShade="BF"/>
                <w:spacing w:val="5"/>
                <w:kern w:val="28"/>
              </w:rPr>
            </w:pPr>
            <w:r w:rsidRPr="00A76BDB">
              <w:rPr>
                <w:rFonts w:ascii="Calibri" w:eastAsiaTheme="majorEastAsia" w:hAnsi="Calibri" w:cstheme="majorBidi"/>
                <w:color w:val="17365D" w:themeColor="text2" w:themeShade="BF"/>
                <w:spacing w:val="5"/>
                <w:kern w:val="28"/>
              </w:rPr>
              <w:t>Odnowa Parku Dworskiego</w:t>
            </w:r>
          </w:p>
        </w:tc>
        <w:tc>
          <w:tcPr>
            <w:tcW w:w="3170" w:type="dxa"/>
            <w:noWrap/>
            <w:hideMark/>
          </w:tcPr>
          <w:p w:rsidR="00EE0C8C" w:rsidRPr="00A76BDB" w:rsidRDefault="00EE0C8C" w:rsidP="00EE0C8C">
            <w:pPr>
              <w:pBdr>
                <w:bottom w:val="single" w:sz="8" w:space="4" w:color="4F81BD" w:themeColor="accent1"/>
              </w:pBdr>
              <w:spacing w:after="300"/>
              <w:contextualSpacing/>
              <w:jc w:val="center"/>
              <w:cnfStyle w:val="000000010000" w:firstRow="0" w:lastRow="0" w:firstColumn="0" w:lastColumn="0" w:oddVBand="0" w:evenVBand="0" w:oddHBand="0" w:evenHBand="1" w:firstRowFirstColumn="0" w:firstRowLastColumn="0" w:lastRowFirstColumn="0" w:lastRowLastColumn="0"/>
              <w:rPr>
                <w:rFonts w:ascii="Calibri" w:eastAsiaTheme="majorEastAsia" w:hAnsi="Calibri" w:cs="Times New Roman"/>
                <w:color w:val="17365D" w:themeColor="text2" w:themeShade="BF"/>
                <w:spacing w:val="5"/>
                <w:kern w:val="28"/>
              </w:rPr>
            </w:pPr>
            <w:r w:rsidRPr="00A76BDB">
              <w:rPr>
                <w:rFonts w:ascii="Calibri" w:eastAsiaTheme="majorEastAsia" w:hAnsi="Calibri" w:cs="Times New Roman"/>
                <w:color w:val="17365D" w:themeColor="text2" w:themeShade="BF"/>
                <w:spacing w:val="5"/>
                <w:kern w:val="28"/>
              </w:rPr>
              <w:t>17</w:t>
            </w:r>
          </w:p>
        </w:tc>
      </w:tr>
      <w:tr w:rsidR="00EE0C8C" w:rsidRPr="00A76BDB" w:rsidTr="00A76BDB">
        <w:trPr>
          <w:cnfStyle w:val="000000100000" w:firstRow="0" w:lastRow="0" w:firstColumn="0" w:lastColumn="0" w:oddVBand="0" w:evenVBand="0" w:oddHBand="1" w:evenHBand="0" w:firstRowFirstColumn="0" w:firstRowLastColumn="0" w:lastRowFirstColumn="0" w:lastRowLastColumn="0"/>
          <w:trHeight w:hRule="exact" w:val="297"/>
          <w:jc w:val="center"/>
        </w:trPr>
        <w:tc>
          <w:tcPr>
            <w:cnfStyle w:val="001000000000" w:firstRow="0" w:lastRow="0" w:firstColumn="1" w:lastColumn="0" w:oddVBand="0" w:evenVBand="0" w:oddHBand="0" w:evenHBand="0" w:firstRowFirstColumn="0" w:firstRowLastColumn="0" w:lastRowFirstColumn="0" w:lastRowLastColumn="0"/>
            <w:tcW w:w="4863" w:type="dxa"/>
            <w:noWrap/>
            <w:hideMark/>
          </w:tcPr>
          <w:p w:rsidR="00EE0C8C" w:rsidRPr="00A76BDB" w:rsidRDefault="00EE0C8C" w:rsidP="00EE0C8C">
            <w:pPr>
              <w:pBdr>
                <w:bottom w:val="single" w:sz="8" w:space="4" w:color="4F81BD" w:themeColor="accent1"/>
              </w:pBdr>
              <w:spacing w:after="300"/>
              <w:contextualSpacing/>
              <w:jc w:val="both"/>
              <w:rPr>
                <w:rFonts w:ascii="Calibri" w:eastAsiaTheme="majorEastAsia" w:hAnsi="Calibri" w:cstheme="majorBidi"/>
                <w:color w:val="17365D" w:themeColor="text2" w:themeShade="BF"/>
                <w:spacing w:val="5"/>
                <w:kern w:val="28"/>
              </w:rPr>
            </w:pPr>
            <w:r w:rsidRPr="00A76BDB">
              <w:rPr>
                <w:rFonts w:ascii="Calibri" w:eastAsiaTheme="majorEastAsia" w:hAnsi="Calibri" w:cstheme="majorBidi"/>
                <w:color w:val="17365D" w:themeColor="text2" w:themeShade="BF"/>
                <w:spacing w:val="5"/>
                <w:kern w:val="28"/>
              </w:rPr>
              <w:t>Stadnina koni</w:t>
            </w:r>
          </w:p>
        </w:tc>
        <w:tc>
          <w:tcPr>
            <w:tcW w:w="3170" w:type="dxa"/>
            <w:noWrap/>
            <w:hideMark/>
          </w:tcPr>
          <w:p w:rsidR="00EE0C8C" w:rsidRPr="00A76BDB" w:rsidRDefault="00EE0C8C" w:rsidP="00EE0C8C">
            <w:pPr>
              <w:pBdr>
                <w:bottom w:val="single" w:sz="8" w:space="4" w:color="4F81BD" w:themeColor="accent1"/>
              </w:pBdr>
              <w:spacing w:after="300"/>
              <w:contextualSpacing/>
              <w:jc w:val="center"/>
              <w:cnfStyle w:val="000000100000" w:firstRow="0" w:lastRow="0" w:firstColumn="0" w:lastColumn="0" w:oddVBand="0" w:evenVBand="0" w:oddHBand="1" w:evenHBand="0" w:firstRowFirstColumn="0" w:firstRowLastColumn="0" w:lastRowFirstColumn="0" w:lastRowLastColumn="0"/>
              <w:rPr>
                <w:rFonts w:ascii="Calibri" w:eastAsiaTheme="majorEastAsia" w:hAnsi="Calibri" w:cs="Times New Roman"/>
                <w:color w:val="17365D" w:themeColor="text2" w:themeShade="BF"/>
                <w:spacing w:val="5"/>
                <w:kern w:val="28"/>
              </w:rPr>
            </w:pPr>
            <w:r w:rsidRPr="00A76BDB">
              <w:rPr>
                <w:rFonts w:ascii="Calibri" w:eastAsiaTheme="majorEastAsia" w:hAnsi="Calibri" w:cs="Times New Roman"/>
                <w:color w:val="17365D" w:themeColor="text2" w:themeShade="BF"/>
                <w:spacing w:val="5"/>
                <w:kern w:val="28"/>
              </w:rPr>
              <w:t>4</w:t>
            </w:r>
          </w:p>
        </w:tc>
      </w:tr>
      <w:tr w:rsidR="00EE0C8C" w:rsidRPr="00A76BDB" w:rsidTr="00A76BDB">
        <w:trPr>
          <w:cnfStyle w:val="000000010000" w:firstRow="0" w:lastRow="0" w:firstColumn="0" w:lastColumn="0" w:oddVBand="0" w:evenVBand="0" w:oddHBand="0" w:evenHBand="1" w:firstRowFirstColumn="0" w:firstRowLastColumn="0" w:lastRowFirstColumn="0" w:lastRowLastColumn="0"/>
          <w:trHeight w:hRule="exact" w:val="297"/>
          <w:jc w:val="center"/>
        </w:trPr>
        <w:tc>
          <w:tcPr>
            <w:cnfStyle w:val="001000000000" w:firstRow="0" w:lastRow="0" w:firstColumn="1" w:lastColumn="0" w:oddVBand="0" w:evenVBand="0" w:oddHBand="0" w:evenHBand="0" w:firstRowFirstColumn="0" w:firstRowLastColumn="0" w:lastRowFirstColumn="0" w:lastRowLastColumn="0"/>
            <w:tcW w:w="4863" w:type="dxa"/>
            <w:noWrap/>
            <w:hideMark/>
          </w:tcPr>
          <w:p w:rsidR="00EE0C8C" w:rsidRPr="00A76BDB" w:rsidRDefault="00EE0C8C" w:rsidP="00EE0C8C">
            <w:pPr>
              <w:pBdr>
                <w:bottom w:val="single" w:sz="8" w:space="4" w:color="4F81BD" w:themeColor="accent1"/>
              </w:pBdr>
              <w:spacing w:after="300"/>
              <w:contextualSpacing/>
              <w:jc w:val="both"/>
              <w:rPr>
                <w:rFonts w:ascii="Calibri" w:eastAsiaTheme="majorEastAsia" w:hAnsi="Calibri" w:cstheme="majorBidi"/>
                <w:color w:val="17365D" w:themeColor="text2" w:themeShade="BF"/>
                <w:spacing w:val="5"/>
                <w:kern w:val="28"/>
              </w:rPr>
            </w:pPr>
            <w:r w:rsidRPr="00A76BDB">
              <w:rPr>
                <w:rFonts w:ascii="Calibri" w:eastAsiaTheme="majorEastAsia" w:hAnsi="Calibri" w:cstheme="majorBidi"/>
                <w:color w:val="17365D" w:themeColor="text2" w:themeShade="BF"/>
                <w:spacing w:val="5"/>
                <w:kern w:val="28"/>
              </w:rPr>
              <w:t>Wypożyczalnia rowerów</w:t>
            </w:r>
          </w:p>
        </w:tc>
        <w:tc>
          <w:tcPr>
            <w:tcW w:w="3170" w:type="dxa"/>
            <w:noWrap/>
            <w:hideMark/>
          </w:tcPr>
          <w:p w:rsidR="00EE0C8C" w:rsidRPr="00A76BDB" w:rsidRDefault="00EE0C8C" w:rsidP="00EE0C8C">
            <w:pPr>
              <w:pBdr>
                <w:bottom w:val="single" w:sz="8" w:space="4" w:color="4F81BD" w:themeColor="accent1"/>
              </w:pBdr>
              <w:spacing w:after="300"/>
              <w:contextualSpacing/>
              <w:jc w:val="center"/>
              <w:cnfStyle w:val="000000010000" w:firstRow="0" w:lastRow="0" w:firstColumn="0" w:lastColumn="0" w:oddVBand="0" w:evenVBand="0" w:oddHBand="0" w:evenHBand="1" w:firstRowFirstColumn="0" w:firstRowLastColumn="0" w:lastRowFirstColumn="0" w:lastRowLastColumn="0"/>
              <w:rPr>
                <w:rFonts w:ascii="Calibri" w:eastAsiaTheme="majorEastAsia" w:hAnsi="Calibri" w:cs="Times New Roman"/>
                <w:color w:val="17365D" w:themeColor="text2" w:themeShade="BF"/>
                <w:spacing w:val="5"/>
                <w:kern w:val="28"/>
              </w:rPr>
            </w:pPr>
            <w:r w:rsidRPr="00A76BDB">
              <w:rPr>
                <w:rFonts w:ascii="Calibri" w:eastAsiaTheme="majorEastAsia" w:hAnsi="Calibri" w:cs="Times New Roman"/>
                <w:color w:val="17365D" w:themeColor="text2" w:themeShade="BF"/>
                <w:spacing w:val="5"/>
                <w:kern w:val="28"/>
              </w:rPr>
              <w:t>6</w:t>
            </w:r>
          </w:p>
        </w:tc>
      </w:tr>
      <w:tr w:rsidR="00EE0C8C" w:rsidRPr="00A76BDB" w:rsidTr="00A76BDB">
        <w:trPr>
          <w:cnfStyle w:val="000000100000" w:firstRow="0" w:lastRow="0" w:firstColumn="0" w:lastColumn="0" w:oddVBand="0" w:evenVBand="0" w:oddHBand="1" w:evenHBand="0" w:firstRowFirstColumn="0" w:firstRowLastColumn="0" w:lastRowFirstColumn="0" w:lastRowLastColumn="0"/>
          <w:trHeight w:hRule="exact" w:val="297"/>
          <w:jc w:val="center"/>
        </w:trPr>
        <w:tc>
          <w:tcPr>
            <w:cnfStyle w:val="001000000000" w:firstRow="0" w:lastRow="0" w:firstColumn="1" w:lastColumn="0" w:oddVBand="0" w:evenVBand="0" w:oddHBand="0" w:evenHBand="0" w:firstRowFirstColumn="0" w:firstRowLastColumn="0" w:lastRowFirstColumn="0" w:lastRowLastColumn="0"/>
            <w:tcW w:w="4863" w:type="dxa"/>
            <w:noWrap/>
            <w:hideMark/>
          </w:tcPr>
          <w:p w:rsidR="00EE0C8C" w:rsidRPr="00A76BDB" w:rsidRDefault="00EE0C8C" w:rsidP="00EE0C8C">
            <w:pPr>
              <w:pBdr>
                <w:bottom w:val="single" w:sz="8" w:space="4" w:color="4F81BD" w:themeColor="accent1"/>
              </w:pBdr>
              <w:spacing w:after="300"/>
              <w:contextualSpacing/>
              <w:jc w:val="both"/>
              <w:rPr>
                <w:rFonts w:ascii="Calibri" w:eastAsiaTheme="majorEastAsia" w:hAnsi="Calibri" w:cstheme="majorBidi"/>
                <w:color w:val="17365D" w:themeColor="text2" w:themeShade="BF"/>
                <w:spacing w:val="5"/>
                <w:kern w:val="28"/>
              </w:rPr>
            </w:pPr>
            <w:r w:rsidRPr="00A76BDB">
              <w:rPr>
                <w:rFonts w:ascii="Calibri" w:eastAsiaTheme="majorEastAsia" w:hAnsi="Calibri" w:cstheme="majorBidi"/>
                <w:color w:val="17365D" w:themeColor="text2" w:themeShade="BF"/>
                <w:spacing w:val="5"/>
                <w:kern w:val="28"/>
              </w:rPr>
              <w:t>Park linowy</w:t>
            </w:r>
          </w:p>
        </w:tc>
        <w:tc>
          <w:tcPr>
            <w:tcW w:w="3170" w:type="dxa"/>
            <w:noWrap/>
            <w:hideMark/>
          </w:tcPr>
          <w:p w:rsidR="00EE0C8C" w:rsidRPr="00A76BDB" w:rsidRDefault="00EE0C8C" w:rsidP="00EE0C8C">
            <w:pPr>
              <w:pBdr>
                <w:bottom w:val="single" w:sz="8" w:space="4" w:color="4F81BD" w:themeColor="accent1"/>
              </w:pBdr>
              <w:spacing w:after="300"/>
              <w:contextualSpacing/>
              <w:jc w:val="center"/>
              <w:cnfStyle w:val="000000100000" w:firstRow="0" w:lastRow="0" w:firstColumn="0" w:lastColumn="0" w:oddVBand="0" w:evenVBand="0" w:oddHBand="1" w:evenHBand="0" w:firstRowFirstColumn="0" w:firstRowLastColumn="0" w:lastRowFirstColumn="0" w:lastRowLastColumn="0"/>
              <w:rPr>
                <w:rFonts w:ascii="Calibri" w:eastAsiaTheme="majorEastAsia" w:hAnsi="Calibri" w:cs="Times New Roman"/>
                <w:color w:val="17365D" w:themeColor="text2" w:themeShade="BF"/>
                <w:spacing w:val="5"/>
                <w:kern w:val="28"/>
              </w:rPr>
            </w:pPr>
            <w:r w:rsidRPr="00A76BDB">
              <w:rPr>
                <w:rFonts w:ascii="Calibri" w:eastAsiaTheme="majorEastAsia" w:hAnsi="Calibri" w:cs="Times New Roman"/>
                <w:color w:val="17365D" w:themeColor="text2" w:themeShade="BF"/>
                <w:spacing w:val="5"/>
                <w:kern w:val="28"/>
              </w:rPr>
              <w:t>6</w:t>
            </w:r>
          </w:p>
        </w:tc>
      </w:tr>
      <w:tr w:rsidR="00EE0C8C" w:rsidRPr="00A76BDB" w:rsidTr="00A76BDB">
        <w:trPr>
          <w:cnfStyle w:val="000000010000" w:firstRow="0" w:lastRow="0" w:firstColumn="0" w:lastColumn="0" w:oddVBand="0" w:evenVBand="0" w:oddHBand="0" w:evenHBand="1" w:firstRowFirstColumn="0" w:firstRowLastColumn="0" w:lastRowFirstColumn="0" w:lastRowLastColumn="0"/>
          <w:trHeight w:hRule="exact" w:val="297"/>
          <w:jc w:val="center"/>
        </w:trPr>
        <w:tc>
          <w:tcPr>
            <w:cnfStyle w:val="001000000000" w:firstRow="0" w:lastRow="0" w:firstColumn="1" w:lastColumn="0" w:oddVBand="0" w:evenVBand="0" w:oddHBand="0" w:evenHBand="0" w:firstRowFirstColumn="0" w:firstRowLastColumn="0" w:lastRowFirstColumn="0" w:lastRowLastColumn="0"/>
            <w:tcW w:w="4863" w:type="dxa"/>
            <w:noWrap/>
            <w:hideMark/>
          </w:tcPr>
          <w:p w:rsidR="00EE0C8C" w:rsidRPr="00A76BDB" w:rsidRDefault="00EE0C8C" w:rsidP="00EE0C8C">
            <w:pPr>
              <w:pBdr>
                <w:bottom w:val="single" w:sz="8" w:space="4" w:color="4F81BD" w:themeColor="accent1"/>
              </w:pBdr>
              <w:spacing w:after="300"/>
              <w:contextualSpacing/>
              <w:jc w:val="both"/>
              <w:rPr>
                <w:rFonts w:ascii="Calibri" w:eastAsiaTheme="majorEastAsia" w:hAnsi="Calibri" w:cstheme="majorBidi"/>
                <w:color w:val="17365D" w:themeColor="text2" w:themeShade="BF"/>
                <w:spacing w:val="5"/>
                <w:kern w:val="28"/>
              </w:rPr>
            </w:pPr>
            <w:r w:rsidRPr="00A76BDB">
              <w:rPr>
                <w:rFonts w:ascii="Calibri" w:eastAsiaTheme="majorEastAsia" w:hAnsi="Calibri" w:cstheme="majorBidi"/>
                <w:color w:val="17365D" w:themeColor="text2" w:themeShade="BF"/>
                <w:spacing w:val="5"/>
                <w:kern w:val="28"/>
              </w:rPr>
              <w:t>Pole do paintballu</w:t>
            </w:r>
          </w:p>
        </w:tc>
        <w:tc>
          <w:tcPr>
            <w:tcW w:w="3170" w:type="dxa"/>
            <w:noWrap/>
            <w:hideMark/>
          </w:tcPr>
          <w:p w:rsidR="00EE0C8C" w:rsidRPr="00A76BDB" w:rsidRDefault="00EE0C8C" w:rsidP="00EE0C8C">
            <w:pPr>
              <w:pBdr>
                <w:bottom w:val="single" w:sz="8" w:space="4" w:color="4F81BD" w:themeColor="accent1"/>
              </w:pBdr>
              <w:spacing w:after="300"/>
              <w:contextualSpacing/>
              <w:jc w:val="center"/>
              <w:cnfStyle w:val="000000010000" w:firstRow="0" w:lastRow="0" w:firstColumn="0" w:lastColumn="0" w:oddVBand="0" w:evenVBand="0" w:oddHBand="0" w:evenHBand="1" w:firstRowFirstColumn="0" w:firstRowLastColumn="0" w:lastRowFirstColumn="0" w:lastRowLastColumn="0"/>
              <w:rPr>
                <w:rFonts w:ascii="Calibri" w:eastAsiaTheme="majorEastAsia" w:hAnsi="Calibri" w:cs="Times New Roman"/>
                <w:color w:val="17365D" w:themeColor="text2" w:themeShade="BF"/>
                <w:spacing w:val="5"/>
                <w:kern w:val="28"/>
              </w:rPr>
            </w:pPr>
            <w:r w:rsidRPr="00A76BDB">
              <w:rPr>
                <w:rFonts w:ascii="Calibri" w:eastAsiaTheme="majorEastAsia" w:hAnsi="Calibri" w:cs="Times New Roman"/>
                <w:color w:val="17365D" w:themeColor="text2" w:themeShade="BF"/>
                <w:spacing w:val="5"/>
                <w:kern w:val="28"/>
              </w:rPr>
              <w:t>6</w:t>
            </w:r>
          </w:p>
        </w:tc>
      </w:tr>
      <w:tr w:rsidR="00EE0C8C" w:rsidRPr="00A76BDB" w:rsidTr="00A76BDB">
        <w:trPr>
          <w:cnfStyle w:val="000000100000" w:firstRow="0" w:lastRow="0" w:firstColumn="0" w:lastColumn="0" w:oddVBand="0" w:evenVBand="0" w:oddHBand="1" w:evenHBand="0" w:firstRowFirstColumn="0" w:firstRowLastColumn="0" w:lastRowFirstColumn="0" w:lastRowLastColumn="0"/>
          <w:trHeight w:hRule="exact" w:val="297"/>
          <w:jc w:val="center"/>
        </w:trPr>
        <w:tc>
          <w:tcPr>
            <w:cnfStyle w:val="001000000000" w:firstRow="0" w:lastRow="0" w:firstColumn="1" w:lastColumn="0" w:oddVBand="0" w:evenVBand="0" w:oddHBand="0" w:evenHBand="0" w:firstRowFirstColumn="0" w:firstRowLastColumn="0" w:lastRowFirstColumn="0" w:lastRowLastColumn="0"/>
            <w:tcW w:w="4863" w:type="dxa"/>
            <w:noWrap/>
            <w:hideMark/>
          </w:tcPr>
          <w:p w:rsidR="00EE0C8C" w:rsidRPr="00A76BDB" w:rsidRDefault="00EE0C8C" w:rsidP="00EE0C8C">
            <w:pPr>
              <w:pBdr>
                <w:bottom w:val="single" w:sz="8" w:space="4" w:color="4F81BD" w:themeColor="accent1"/>
              </w:pBdr>
              <w:spacing w:after="300"/>
              <w:contextualSpacing/>
              <w:jc w:val="both"/>
              <w:rPr>
                <w:rFonts w:ascii="Calibri" w:eastAsiaTheme="majorEastAsia" w:hAnsi="Calibri" w:cstheme="majorBidi"/>
                <w:color w:val="17365D" w:themeColor="text2" w:themeShade="BF"/>
                <w:spacing w:val="5"/>
                <w:kern w:val="28"/>
              </w:rPr>
            </w:pPr>
            <w:r w:rsidRPr="00A76BDB">
              <w:rPr>
                <w:rFonts w:ascii="Calibri" w:eastAsiaTheme="majorEastAsia" w:hAnsi="Calibri" w:cstheme="majorBidi"/>
                <w:color w:val="17365D" w:themeColor="text2" w:themeShade="BF"/>
                <w:spacing w:val="5"/>
                <w:kern w:val="28"/>
              </w:rPr>
              <w:t>Monitoring w centrum Mirca</w:t>
            </w:r>
          </w:p>
        </w:tc>
        <w:tc>
          <w:tcPr>
            <w:tcW w:w="3170" w:type="dxa"/>
            <w:noWrap/>
            <w:hideMark/>
          </w:tcPr>
          <w:p w:rsidR="00EE0C8C" w:rsidRPr="00A76BDB" w:rsidRDefault="00EE0C8C" w:rsidP="00EE0C8C">
            <w:pPr>
              <w:pBdr>
                <w:bottom w:val="single" w:sz="8" w:space="4" w:color="4F81BD" w:themeColor="accent1"/>
              </w:pBdr>
              <w:spacing w:after="300"/>
              <w:contextualSpacing/>
              <w:jc w:val="center"/>
              <w:cnfStyle w:val="000000100000" w:firstRow="0" w:lastRow="0" w:firstColumn="0" w:lastColumn="0" w:oddVBand="0" w:evenVBand="0" w:oddHBand="1" w:evenHBand="0" w:firstRowFirstColumn="0" w:firstRowLastColumn="0" w:lastRowFirstColumn="0" w:lastRowLastColumn="0"/>
              <w:rPr>
                <w:rFonts w:ascii="Calibri" w:eastAsiaTheme="majorEastAsia" w:hAnsi="Calibri" w:cs="Times New Roman"/>
                <w:color w:val="17365D" w:themeColor="text2" w:themeShade="BF"/>
                <w:spacing w:val="5"/>
                <w:kern w:val="28"/>
              </w:rPr>
            </w:pPr>
            <w:r w:rsidRPr="00A76BDB">
              <w:rPr>
                <w:rFonts w:ascii="Calibri" w:eastAsiaTheme="majorEastAsia" w:hAnsi="Calibri" w:cs="Times New Roman"/>
                <w:color w:val="17365D" w:themeColor="text2" w:themeShade="BF"/>
                <w:spacing w:val="5"/>
                <w:kern w:val="28"/>
              </w:rPr>
              <w:t>4</w:t>
            </w:r>
          </w:p>
        </w:tc>
      </w:tr>
      <w:tr w:rsidR="00EE0C8C" w:rsidRPr="00A76BDB" w:rsidTr="00A76BDB">
        <w:trPr>
          <w:cnfStyle w:val="000000010000" w:firstRow="0" w:lastRow="0" w:firstColumn="0" w:lastColumn="0" w:oddVBand="0" w:evenVBand="0" w:oddHBand="0" w:evenHBand="1" w:firstRowFirstColumn="0" w:firstRowLastColumn="0" w:lastRowFirstColumn="0" w:lastRowLastColumn="0"/>
          <w:trHeight w:hRule="exact" w:val="297"/>
          <w:jc w:val="center"/>
        </w:trPr>
        <w:tc>
          <w:tcPr>
            <w:cnfStyle w:val="001000000000" w:firstRow="0" w:lastRow="0" w:firstColumn="1" w:lastColumn="0" w:oddVBand="0" w:evenVBand="0" w:oddHBand="0" w:evenHBand="0" w:firstRowFirstColumn="0" w:firstRowLastColumn="0" w:lastRowFirstColumn="0" w:lastRowLastColumn="0"/>
            <w:tcW w:w="4863" w:type="dxa"/>
            <w:noWrap/>
            <w:hideMark/>
          </w:tcPr>
          <w:p w:rsidR="00EE0C8C" w:rsidRPr="00A76BDB" w:rsidRDefault="00EE0C8C" w:rsidP="00EE0C8C">
            <w:pPr>
              <w:pBdr>
                <w:bottom w:val="single" w:sz="8" w:space="4" w:color="4F81BD" w:themeColor="accent1"/>
              </w:pBdr>
              <w:spacing w:after="300"/>
              <w:contextualSpacing/>
              <w:jc w:val="both"/>
              <w:rPr>
                <w:rFonts w:ascii="Calibri" w:eastAsiaTheme="majorEastAsia" w:hAnsi="Calibri" w:cstheme="majorBidi"/>
                <w:color w:val="17365D" w:themeColor="text2" w:themeShade="BF"/>
                <w:spacing w:val="5"/>
                <w:kern w:val="28"/>
              </w:rPr>
            </w:pPr>
            <w:r w:rsidRPr="00A76BDB">
              <w:rPr>
                <w:rFonts w:ascii="Calibri" w:eastAsiaTheme="majorEastAsia" w:hAnsi="Calibri" w:cstheme="majorBidi"/>
                <w:color w:val="17365D" w:themeColor="text2" w:themeShade="BF"/>
                <w:spacing w:val="5"/>
                <w:kern w:val="28"/>
              </w:rPr>
              <w:t>Fontanna w kształcie przysmaku świętokrzyskiego</w:t>
            </w:r>
          </w:p>
        </w:tc>
        <w:tc>
          <w:tcPr>
            <w:tcW w:w="3170" w:type="dxa"/>
            <w:noWrap/>
            <w:hideMark/>
          </w:tcPr>
          <w:p w:rsidR="00EE0C8C" w:rsidRPr="00A76BDB" w:rsidRDefault="00EE0C8C" w:rsidP="00EE0C8C">
            <w:pPr>
              <w:pBdr>
                <w:bottom w:val="single" w:sz="8" w:space="4" w:color="4F81BD" w:themeColor="accent1"/>
              </w:pBdr>
              <w:spacing w:after="300"/>
              <w:contextualSpacing/>
              <w:jc w:val="center"/>
              <w:cnfStyle w:val="000000010000" w:firstRow="0" w:lastRow="0" w:firstColumn="0" w:lastColumn="0" w:oddVBand="0" w:evenVBand="0" w:oddHBand="0" w:evenHBand="1" w:firstRowFirstColumn="0" w:firstRowLastColumn="0" w:lastRowFirstColumn="0" w:lastRowLastColumn="0"/>
              <w:rPr>
                <w:rFonts w:ascii="Calibri" w:eastAsiaTheme="majorEastAsia" w:hAnsi="Calibri" w:cs="Times New Roman"/>
                <w:color w:val="17365D" w:themeColor="text2" w:themeShade="BF"/>
                <w:spacing w:val="5"/>
                <w:kern w:val="28"/>
              </w:rPr>
            </w:pPr>
            <w:r w:rsidRPr="00A76BDB">
              <w:rPr>
                <w:rFonts w:ascii="Calibri" w:eastAsiaTheme="majorEastAsia" w:hAnsi="Calibri" w:cs="Times New Roman"/>
                <w:color w:val="17365D" w:themeColor="text2" w:themeShade="BF"/>
                <w:spacing w:val="5"/>
                <w:kern w:val="28"/>
              </w:rPr>
              <w:t>3</w:t>
            </w:r>
          </w:p>
        </w:tc>
      </w:tr>
      <w:tr w:rsidR="00EE0C8C" w:rsidRPr="00A76BDB" w:rsidTr="00A76BDB">
        <w:trPr>
          <w:cnfStyle w:val="000000100000" w:firstRow="0" w:lastRow="0" w:firstColumn="0" w:lastColumn="0" w:oddVBand="0" w:evenVBand="0" w:oddHBand="1" w:evenHBand="0" w:firstRowFirstColumn="0" w:firstRowLastColumn="0" w:lastRowFirstColumn="0" w:lastRowLastColumn="0"/>
          <w:trHeight w:hRule="exact" w:val="297"/>
          <w:jc w:val="center"/>
        </w:trPr>
        <w:tc>
          <w:tcPr>
            <w:cnfStyle w:val="001000000000" w:firstRow="0" w:lastRow="0" w:firstColumn="1" w:lastColumn="0" w:oddVBand="0" w:evenVBand="0" w:oddHBand="0" w:evenHBand="0" w:firstRowFirstColumn="0" w:firstRowLastColumn="0" w:lastRowFirstColumn="0" w:lastRowLastColumn="0"/>
            <w:tcW w:w="4863" w:type="dxa"/>
            <w:noWrap/>
            <w:hideMark/>
          </w:tcPr>
          <w:p w:rsidR="00EE0C8C" w:rsidRPr="00A76BDB" w:rsidRDefault="00EE0C8C" w:rsidP="00EE0C8C">
            <w:pPr>
              <w:pBdr>
                <w:bottom w:val="single" w:sz="8" w:space="4" w:color="4F81BD" w:themeColor="accent1"/>
              </w:pBdr>
              <w:spacing w:after="300"/>
              <w:contextualSpacing/>
              <w:jc w:val="both"/>
              <w:rPr>
                <w:rFonts w:ascii="Calibri" w:eastAsiaTheme="majorEastAsia" w:hAnsi="Calibri" w:cstheme="majorBidi"/>
                <w:color w:val="17365D" w:themeColor="text2" w:themeShade="BF"/>
                <w:spacing w:val="5"/>
                <w:kern w:val="28"/>
              </w:rPr>
            </w:pPr>
            <w:r w:rsidRPr="00A76BDB">
              <w:rPr>
                <w:rFonts w:ascii="Calibri" w:eastAsiaTheme="majorEastAsia" w:hAnsi="Calibri" w:cstheme="majorBidi"/>
                <w:color w:val="17365D" w:themeColor="text2" w:themeShade="BF"/>
                <w:spacing w:val="5"/>
                <w:kern w:val="28"/>
              </w:rPr>
              <w:t>Plac pod targowisko</w:t>
            </w:r>
          </w:p>
        </w:tc>
        <w:tc>
          <w:tcPr>
            <w:tcW w:w="3170" w:type="dxa"/>
            <w:noWrap/>
            <w:hideMark/>
          </w:tcPr>
          <w:p w:rsidR="00EE0C8C" w:rsidRPr="00A76BDB" w:rsidRDefault="00EE0C8C" w:rsidP="00EE0C8C">
            <w:pPr>
              <w:pBdr>
                <w:bottom w:val="single" w:sz="8" w:space="4" w:color="4F81BD" w:themeColor="accent1"/>
              </w:pBdr>
              <w:spacing w:after="300"/>
              <w:contextualSpacing/>
              <w:jc w:val="center"/>
              <w:cnfStyle w:val="000000100000" w:firstRow="0" w:lastRow="0" w:firstColumn="0" w:lastColumn="0" w:oddVBand="0" w:evenVBand="0" w:oddHBand="1" w:evenHBand="0" w:firstRowFirstColumn="0" w:firstRowLastColumn="0" w:lastRowFirstColumn="0" w:lastRowLastColumn="0"/>
              <w:rPr>
                <w:rFonts w:ascii="Calibri" w:eastAsiaTheme="majorEastAsia" w:hAnsi="Calibri" w:cs="Times New Roman"/>
                <w:color w:val="17365D" w:themeColor="text2" w:themeShade="BF"/>
                <w:spacing w:val="5"/>
                <w:kern w:val="28"/>
              </w:rPr>
            </w:pPr>
            <w:r w:rsidRPr="00A76BDB">
              <w:rPr>
                <w:rFonts w:ascii="Calibri" w:eastAsiaTheme="majorEastAsia" w:hAnsi="Calibri" w:cs="Times New Roman"/>
                <w:color w:val="17365D" w:themeColor="text2" w:themeShade="BF"/>
                <w:spacing w:val="5"/>
                <w:kern w:val="28"/>
              </w:rPr>
              <w:t>2</w:t>
            </w:r>
          </w:p>
        </w:tc>
      </w:tr>
      <w:tr w:rsidR="00EE0C8C" w:rsidRPr="00A76BDB" w:rsidTr="00A76BDB">
        <w:trPr>
          <w:cnfStyle w:val="000000010000" w:firstRow="0" w:lastRow="0" w:firstColumn="0" w:lastColumn="0" w:oddVBand="0" w:evenVBand="0" w:oddHBand="0" w:evenHBand="1" w:firstRowFirstColumn="0" w:firstRowLastColumn="0" w:lastRowFirstColumn="0" w:lastRowLastColumn="0"/>
          <w:trHeight w:hRule="exact" w:val="297"/>
          <w:jc w:val="center"/>
        </w:trPr>
        <w:tc>
          <w:tcPr>
            <w:cnfStyle w:val="001000000000" w:firstRow="0" w:lastRow="0" w:firstColumn="1" w:lastColumn="0" w:oddVBand="0" w:evenVBand="0" w:oddHBand="0" w:evenHBand="0" w:firstRowFirstColumn="0" w:firstRowLastColumn="0" w:lastRowFirstColumn="0" w:lastRowLastColumn="0"/>
            <w:tcW w:w="4863" w:type="dxa"/>
            <w:noWrap/>
            <w:hideMark/>
          </w:tcPr>
          <w:p w:rsidR="00EE0C8C" w:rsidRPr="00A76BDB" w:rsidRDefault="00EE0C8C" w:rsidP="00EE0C8C">
            <w:pPr>
              <w:pBdr>
                <w:bottom w:val="single" w:sz="8" w:space="4" w:color="4F81BD" w:themeColor="accent1"/>
              </w:pBdr>
              <w:spacing w:after="300"/>
              <w:contextualSpacing/>
              <w:jc w:val="both"/>
              <w:rPr>
                <w:rFonts w:ascii="Calibri" w:eastAsiaTheme="majorEastAsia" w:hAnsi="Calibri" w:cstheme="majorBidi"/>
                <w:color w:val="17365D" w:themeColor="text2" w:themeShade="BF"/>
                <w:spacing w:val="5"/>
                <w:kern w:val="28"/>
              </w:rPr>
            </w:pPr>
            <w:r w:rsidRPr="00A76BDB">
              <w:rPr>
                <w:rFonts w:ascii="Calibri" w:eastAsiaTheme="majorEastAsia" w:hAnsi="Calibri" w:cstheme="majorBidi"/>
                <w:color w:val="17365D" w:themeColor="text2" w:themeShade="BF"/>
                <w:spacing w:val="5"/>
                <w:kern w:val="28"/>
              </w:rPr>
              <w:t>Mała gastronomia</w:t>
            </w:r>
          </w:p>
        </w:tc>
        <w:tc>
          <w:tcPr>
            <w:tcW w:w="3170" w:type="dxa"/>
            <w:noWrap/>
            <w:hideMark/>
          </w:tcPr>
          <w:p w:rsidR="00EE0C8C" w:rsidRPr="00A76BDB" w:rsidRDefault="00EE0C8C" w:rsidP="00EE0C8C">
            <w:pPr>
              <w:pBdr>
                <w:bottom w:val="single" w:sz="8" w:space="4" w:color="4F81BD" w:themeColor="accent1"/>
              </w:pBdr>
              <w:spacing w:after="300"/>
              <w:contextualSpacing/>
              <w:jc w:val="center"/>
              <w:cnfStyle w:val="000000010000" w:firstRow="0" w:lastRow="0" w:firstColumn="0" w:lastColumn="0" w:oddVBand="0" w:evenVBand="0" w:oddHBand="0" w:evenHBand="1" w:firstRowFirstColumn="0" w:firstRowLastColumn="0" w:lastRowFirstColumn="0" w:lastRowLastColumn="0"/>
              <w:rPr>
                <w:rFonts w:ascii="Calibri" w:eastAsiaTheme="majorEastAsia" w:hAnsi="Calibri" w:cs="Times New Roman"/>
                <w:color w:val="17365D" w:themeColor="text2" w:themeShade="BF"/>
                <w:spacing w:val="5"/>
                <w:kern w:val="28"/>
              </w:rPr>
            </w:pPr>
            <w:r w:rsidRPr="00A76BDB">
              <w:rPr>
                <w:rFonts w:ascii="Calibri" w:eastAsiaTheme="majorEastAsia" w:hAnsi="Calibri" w:cs="Times New Roman"/>
                <w:color w:val="17365D" w:themeColor="text2" w:themeShade="BF"/>
                <w:spacing w:val="5"/>
                <w:kern w:val="28"/>
              </w:rPr>
              <w:t>3</w:t>
            </w:r>
          </w:p>
        </w:tc>
      </w:tr>
      <w:tr w:rsidR="00EE0C8C" w:rsidRPr="00A76BDB" w:rsidTr="00A76BDB">
        <w:trPr>
          <w:cnfStyle w:val="000000100000" w:firstRow="0" w:lastRow="0" w:firstColumn="0" w:lastColumn="0" w:oddVBand="0" w:evenVBand="0" w:oddHBand="1" w:evenHBand="0" w:firstRowFirstColumn="0" w:firstRowLastColumn="0" w:lastRowFirstColumn="0" w:lastRowLastColumn="0"/>
          <w:trHeight w:hRule="exact" w:val="297"/>
          <w:jc w:val="center"/>
        </w:trPr>
        <w:tc>
          <w:tcPr>
            <w:cnfStyle w:val="001000000000" w:firstRow="0" w:lastRow="0" w:firstColumn="1" w:lastColumn="0" w:oddVBand="0" w:evenVBand="0" w:oddHBand="0" w:evenHBand="0" w:firstRowFirstColumn="0" w:firstRowLastColumn="0" w:lastRowFirstColumn="0" w:lastRowLastColumn="0"/>
            <w:tcW w:w="4863" w:type="dxa"/>
            <w:noWrap/>
            <w:hideMark/>
          </w:tcPr>
          <w:p w:rsidR="00EE0C8C" w:rsidRPr="00A76BDB" w:rsidRDefault="00EE0C8C" w:rsidP="00EE0C8C">
            <w:pPr>
              <w:pBdr>
                <w:bottom w:val="single" w:sz="8" w:space="4" w:color="4F81BD" w:themeColor="accent1"/>
              </w:pBdr>
              <w:spacing w:after="300"/>
              <w:contextualSpacing/>
              <w:jc w:val="both"/>
              <w:rPr>
                <w:rFonts w:ascii="Calibri" w:eastAsiaTheme="majorEastAsia" w:hAnsi="Calibri" w:cstheme="majorBidi"/>
                <w:color w:val="17365D" w:themeColor="text2" w:themeShade="BF"/>
                <w:spacing w:val="5"/>
                <w:kern w:val="28"/>
              </w:rPr>
            </w:pPr>
            <w:r w:rsidRPr="00A76BDB">
              <w:rPr>
                <w:rFonts w:ascii="Calibri" w:eastAsiaTheme="majorEastAsia" w:hAnsi="Calibri" w:cstheme="majorBidi"/>
                <w:color w:val="17365D" w:themeColor="text2" w:themeShade="BF"/>
                <w:spacing w:val="5"/>
                <w:kern w:val="28"/>
              </w:rPr>
              <w:t>Boisko do gry w siatkówkę plażową</w:t>
            </w:r>
          </w:p>
        </w:tc>
        <w:tc>
          <w:tcPr>
            <w:tcW w:w="3170" w:type="dxa"/>
            <w:noWrap/>
            <w:hideMark/>
          </w:tcPr>
          <w:p w:rsidR="00EE0C8C" w:rsidRPr="00A76BDB" w:rsidRDefault="00EE0C8C" w:rsidP="00EE0C8C">
            <w:pPr>
              <w:pBdr>
                <w:bottom w:val="single" w:sz="8" w:space="4" w:color="4F81BD" w:themeColor="accent1"/>
              </w:pBdr>
              <w:spacing w:after="300"/>
              <w:contextualSpacing/>
              <w:jc w:val="center"/>
              <w:cnfStyle w:val="000000100000" w:firstRow="0" w:lastRow="0" w:firstColumn="0" w:lastColumn="0" w:oddVBand="0" w:evenVBand="0" w:oddHBand="1" w:evenHBand="0" w:firstRowFirstColumn="0" w:firstRowLastColumn="0" w:lastRowFirstColumn="0" w:lastRowLastColumn="0"/>
              <w:rPr>
                <w:rFonts w:ascii="Calibri" w:eastAsiaTheme="majorEastAsia" w:hAnsi="Calibri" w:cs="Times New Roman"/>
                <w:color w:val="17365D" w:themeColor="text2" w:themeShade="BF"/>
                <w:spacing w:val="5"/>
                <w:kern w:val="28"/>
              </w:rPr>
            </w:pPr>
            <w:r w:rsidRPr="00A76BDB">
              <w:rPr>
                <w:rFonts w:ascii="Calibri" w:eastAsiaTheme="majorEastAsia" w:hAnsi="Calibri" w:cs="Times New Roman"/>
                <w:color w:val="17365D" w:themeColor="text2" w:themeShade="BF"/>
                <w:spacing w:val="5"/>
                <w:kern w:val="28"/>
              </w:rPr>
              <w:t>15</w:t>
            </w:r>
          </w:p>
        </w:tc>
      </w:tr>
      <w:tr w:rsidR="00EE0C8C" w:rsidRPr="00A76BDB" w:rsidTr="00A76BDB">
        <w:trPr>
          <w:cnfStyle w:val="000000010000" w:firstRow="0" w:lastRow="0" w:firstColumn="0" w:lastColumn="0" w:oddVBand="0" w:evenVBand="0" w:oddHBand="0" w:evenHBand="1" w:firstRowFirstColumn="0" w:firstRowLastColumn="0" w:lastRowFirstColumn="0" w:lastRowLastColumn="0"/>
          <w:trHeight w:hRule="exact" w:val="297"/>
          <w:jc w:val="center"/>
        </w:trPr>
        <w:tc>
          <w:tcPr>
            <w:cnfStyle w:val="001000000000" w:firstRow="0" w:lastRow="0" w:firstColumn="1" w:lastColumn="0" w:oddVBand="0" w:evenVBand="0" w:oddHBand="0" w:evenHBand="0" w:firstRowFirstColumn="0" w:firstRowLastColumn="0" w:lastRowFirstColumn="0" w:lastRowLastColumn="0"/>
            <w:tcW w:w="4863" w:type="dxa"/>
            <w:noWrap/>
            <w:hideMark/>
          </w:tcPr>
          <w:p w:rsidR="00EE0C8C" w:rsidRPr="00A76BDB" w:rsidRDefault="00EE0C8C" w:rsidP="00EE0C8C">
            <w:pPr>
              <w:pBdr>
                <w:bottom w:val="single" w:sz="8" w:space="4" w:color="4F81BD" w:themeColor="accent1"/>
              </w:pBdr>
              <w:spacing w:after="300"/>
              <w:contextualSpacing/>
              <w:jc w:val="both"/>
              <w:rPr>
                <w:rFonts w:ascii="Calibri" w:eastAsiaTheme="majorEastAsia" w:hAnsi="Calibri" w:cstheme="majorBidi"/>
                <w:color w:val="17365D" w:themeColor="text2" w:themeShade="BF"/>
                <w:spacing w:val="5"/>
                <w:kern w:val="28"/>
              </w:rPr>
            </w:pPr>
            <w:r w:rsidRPr="00A76BDB">
              <w:rPr>
                <w:rFonts w:ascii="Calibri" w:eastAsiaTheme="majorEastAsia" w:hAnsi="Calibri" w:cstheme="majorBidi"/>
                <w:color w:val="17365D" w:themeColor="text2" w:themeShade="BF"/>
                <w:spacing w:val="5"/>
                <w:kern w:val="28"/>
              </w:rPr>
              <w:t>Ścieżki spacerowe</w:t>
            </w:r>
          </w:p>
        </w:tc>
        <w:tc>
          <w:tcPr>
            <w:tcW w:w="3170" w:type="dxa"/>
            <w:noWrap/>
            <w:hideMark/>
          </w:tcPr>
          <w:p w:rsidR="00EE0C8C" w:rsidRPr="00A76BDB" w:rsidRDefault="00EE0C8C" w:rsidP="00EE0C8C">
            <w:pPr>
              <w:pBdr>
                <w:bottom w:val="single" w:sz="8" w:space="4" w:color="4F81BD" w:themeColor="accent1"/>
              </w:pBdr>
              <w:spacing w:after="300"/>
              <w:contextualSpacing/>
              <w:jc w:val="center"/>
              <w:cnfStyle w:val="000000010000" w:firstRow="0" w:lastRow="0" w:firstColumn="0" w:lastColumn="0" w:oddVBand="0" w:evenVBand="0" w:oddHBand="0" w:evenHBand="1" w:firstRowFirstColumn="0" w:firstRowLastColumn="0" w:lastRowFirstColumn="0" w:lastRowLastColumn="0"/>
              <w:rPr>
                <w:rFonts w:ascii="Calibri" w:eastAsiaTheme="majorEastAsia" w:hAnsi="Calibri" w:cs="Times New Roman"/>
                <w:color w:val="17365D" w:themeColor="text2" w:themeShade="BF"/>
                <w:spacing w:val="5"/>
                <w:kern w:val="28"/>
              </w:rPr>
            </w:pPr>
            <w:r w:rsidRPr="00A76BDB">
              <w:rPr>
                <w:rFonts w:ascii="Calibri" w:eastAsiaTheme="majorEastAsia" w:hAnsi="Calibri" w:cs="Times New Roman"/>
                <w:color w:val="17365D" w:themeColor="text2" w:themeShade="BF"/>
                <w:spacing w:val="5"/>
                <w:kern w:val="28"/>
              </w:rPr>
              <w:t>17</w:t>
            </w:r>
          </w:p>
        </w:tc>
      </w:tr>
      <w:tr w:rsidR="00EE0C8C" w:rsidRPr="00A76BDB" w:rsidTr="00A76BDB">
        <w:trPr>
          <w:cnfStyle w:val="000000100000" w:firstRow="0" w:lastRow="0" w:firstColumn="0" w:lastColumn="0" w:oddVBand="0" w:evenVBand="0" w:oddHBand="1" w:evenHBand="0" w:firstRowFirstColumn="0" w:firstRowLastColumn="0" w:lastRowFirstColumn="0" w:lastRowLastColumn="0"/>
          <w:trHeight w:hRule="exact" w:val="297"/>
          <w:jc w:val="center"/>
        </w:trPr>
        <w:tc>
          <w:tcPr>
            <w:cnfStyle w:val="001000000000" w:firstRow="0" w:lastRow="0" w:firstColumn="1" w:lastColumn="0" w:oddVBand="0" w:evenVBand="0" w:oddHBand="0" w:evenHBand="0" w:firstRowFirstColumn="0" w:firstRowLastColumn="0" w:lastRowFirstColumn="0" w:lastRowLastColumn="0"/>
            <w:tcW w:w="4863" w:type="dxa"/>
            <w:noWrap/>
            <w:hideMark/>
          </w:tcPr>
          <w:p w:rsidR="00EE0C8C" w:rsidRPr="00A76BDB" w:rsidRDefault="00EE0C8C" w:rsidP="00EE0C8C">
            <w:pPr>
              <w:pBdr>
                <w:bottom w:val="single" w:sz="8" w:space="4" w:color="4F81BD" w:themeColor="accent1"/>
              </w:pBdr>
              <w:spacing w:after="300"/>
              <w:contextualSpacing/>
              <w:jc w:val="both"/>
              <w:rPr>
                <w:rFonts w:ascii="Calibri" w:eastAsiaTheme="majorEastAsia" w:hAnsi="Calibri" w:cstheme="majorBidi"/>
                <w:color w:val="17365D" w:themeColor="text2" w:themeShade="BF"/>
                <w:spacing w:val="5"/>
                <w:kern w:val="28"/>
              </w:rPr>
            </w:pPr>
            <w:r w:rsidRPr="00A76BDB">
              <w:rPr>
                <w:rFonts w:ascii="Calibri" w:eastAsiaTheme="majorEastAsia" w:hAnsi="Calibri" w:cstheme="majorBidi"/>
                <w:color w:val="17365D" w:themeColor="text2" w:themeShade="BF"/>
                <w:spacing w:val="5"/>
                <w:kern w:val="28"/>
              </w:rPr>
              <w:t>Budowa kortu tenisa ziemnego</w:t>
            </w:r>
          </w:p>
        </w:tc>
        <w:tc>
          <w:tcPr>
            <w:tcW w:w="3170" w:type="dxa"/>
            <w:noWrap/>
            <w:hideMark/>
          </w:tcPr>
          <w:p w:rsidR="00EE0C8C" w:rsidRPr="00A76BDB" w:rsidRDefault="00EE0C8C" w:rsidP="00EE0C8C">
            <w:pPr>
              <w:pBdr>
                <w:bottom w:val="single" w:sz="8" w:space="4" w:color="4F81BD" w:themeColor="accent1"/>
              </w:pBdr>
              <w:spacing w:after="300"/>
              <w:contextualSpacing/>
              <w:jc w:val="center"/>
              <w:cnfStyle w:val="000000100000" w:firstRow="0" w:lastRow="0" w:firstColumn="0" w:lastColumn="0" w:oddVBand="0" w:evenVBand="0" w:oddHBand="1" w:evenHBand="0" w:firstRowFirstColumn="0" w:firstRowLastColumn="0" w:lastRowFirstColumn="0" w:lastRowLastColumn="0"/>
              <w:rPr>
                <w:rFonts w:ascii="Calibri" w:eastAsiaTheme="majorEastAsia" w:hAnsi="Calibri" w:cs="Times New Roman"/>
                <w:color w:val="17365D" w:themeColor="text2" w:themeShade="BF"/>
                <w:spacing w:val="5"/>
                <w:kern w:val="28"/>
              </w:rPr>
            </w:pPr>
            <w:r w:rsidRPr="00A76BDB">
              <w:rPr>
                <w:rFonts w:ascii="Calibri" w:eastAsiaTheme="majorEastAsia" w:hAnsi="Calibri" w:cs="Times New Roman"/>
                <w:color w:val="17365D" w:themeColor="text2" w:themeShade="BF"/>
                <w:spacing w:val="5"/>
                <w:kern w:val="28"/>
              </w:rPr>
              <w:t>6</w:t>
            </w:r>
          </w:p>
        </w:tc>
      </w:tr>
      <w:tr w:rsidR="00EE0C8C" w:rsidRPr="00A76BDB" w:rsidTr="00A76BDB">
        <w:trPr>
          <w:cnfStyle w:val="000000010000" w:firstRow="0" w:lastRow="0" w:firstColumn="0" w:lastColumn="0" w:oddVBand="0" w:evenVBand="0" w:oddHBand="0" w:evenHBand="1" w:firstRowFirstColumn="0" w:firstRowLastColumn="0" w:lastRowFirstColumn="0" w:lastRowLastColumn="0"/>
          <w:trHeight w:hRule="exact" w:val="297"/>
          <w:jc w:val="center"/>
        </w:trPr>
        <w:tc>
          <w:tcPr>
            <w:cnfStyle w:val="001000000000" w:firstRow="0" w:lastRow="0" w:firstColumn="1" w:lastColumn="0" w:oddVBand="0" w:evenVBand="0" w:oddHBand="0" w:evenHBand="0" w:firstRowFirstColumn="0" w:firstRowLastColumn="0" w:lastRowFirstColumn="0" w:lastRowLastColumn="0"/>
            <w:tcW w:w="4863" w:type="dxa"/>
            <w:noWrap/>
            <w:hideMark/>
          </w:tcPr>
          <w:p w:rsidR="00EE0C8C" w:rsidRPr="00A76BDB" w:rsidRDefault="00EE0C8C" w:rsidP="00EE0C8C">
            <w:pPr>
              <w:pBdr>
                <w:bottom w:val="single" w:sz="8" w:space="4" w:color="4F81BD" w:themeColor="accent1"/>
              </w:pBdr>
              <w:spacing w:after="300"/>
              <w:contextualSpacing/>
              <w:jc w:val="both"/>
              <w:rPr>
                <w:rFonts w:ascii="Calibri" w:eastAsiaTheme="majorEastAsia" w:hAnsi="Calibri" w:cstheme="majorBidi"/>
                <w:color w:val="17365D" w:themeColor="text2" w:themeShade="BF"/>
                <w:spacing w:val="5"/>
                <w:kern w:val="28"/>
              </w:rPr>
            </w:pPr>
            <w:r w:rsidRPr="00A76BDB">
              <w:rPr>
                <w:rFonts w:ascii="Calibri" w:eastAsiaTheme="majorEastAsia" w:hAnsi="Calibri" w:cstheme="majorBidi"/>
                <w:color w:val="17365D" w:themeColor="text2" w:themeShade="BF"/>
                <w:spacing w:val="5"/>
                <w:kern w:val="28"/>
              </w:rPr>
              <w:t>Kręgielnia</w:t>
            </w:r>
          </w:p>
        </w:tc>
        <w:tc>
          <w:tcPr>
            <w:tcW w:w="3170" w:type="dxa"/>
            <w:noWrap/>
            <w:hideMark/>
          </w:tcPr>
          <w:p w:rsidR="00EE0C8C" w:rsidRPr="00A76BDB" w:rsidRDefault="00EE0C8C" w:rsidP="00EE0C8C">
            <w:pPr>
              <w:pBdr>
                <w:bottom w:val="single" w:sz="8" w:space="4" w:color="4F81BD" w:themeColor="accent1"/>
              </w:pBdr>
              <w:spacing w:after="300"/>
              <w:contextualSpacing/>
              <w:jc w:val="center"/>
              <w:cnfStyle w:val="000000010000" w:firstRow="0" w:lastRow="0" w:firstColumn="0" w:lastColumn="0" w:oddVBand="0" w:evenVBand="0" w:oddHBand="0" w:evenHBand="1" w:firstRowFirstColumn="0" w:firstRowLastColumn="0" w:lastRowFirstColumn="0" w:lastRowLastColumn="0"/>
              <w:rPr>
                <w:rFonts w:ascii="Calibri" w:eastAsiaTheme="majorEastAsia" w:hAnsi="Calibri" w:cs="Times New Roman"/>
                <w:color w:val="17365D" w:themeColor="text2" w:themeShade="BF"/>
                <w:spacing w:val="5"/>
                <w:kern w:val="28"/>
              </w:rPr>
            </w:pPr>
            <w:r w:rsidRPr="00A76BDB">
              <w:rPr>
                <w:rFonts w:ascii="Calibri" w:eastAsiaTheme="majorEastAsia" w:hAnsi="Calibri" w:cs="Times New Roman"/>
                <w:color w:val="17365D" w:themeColor="text2" w:themeShade="BF"/>
                <w:spacing w:val="5"/>
                <w:kern w:val="28"/>
              </w:rPr>
              <w:t>7</w:t>
            </w:r>
          </w:p>
        </w:tc>
      </w:tr>
      <w:tr w:rsidR="00EE0C8C" w:rsidRPr="00A76BDB" w:rsidTr="00A76BDB">
        <w:trPr>
          <w:cnfStyle w:val="000000100000" w:firstRow="0" w:lastRow="0" w:firstColumn="0" w:lastColumn="0" w:oddVBand="0" w:evenVBand="0" w:oddHBand="1" w:evenHBand="0" w:firstRowFirstColumn="0" w:firstRowLastColumn="0" w:lastRowFirstColumn="0" w:lastRowLastColumn="0"/>
          <w:trHeight w:hRule="exact" w:val="297"/>
          <w:jc w:val="center"/>
        </w:trPr>
        <w:tc>
          <w:tcPr>
            <w:cnfStyle w:val="001000000000" w:firstRow="0" w:lastRow="0" w:firstColumn="1" w:lastColumn="0" w:oddVBand="0" w:evenVBand="0" w:oddHBand="0" w:evenHBand="0" w:firstRowFirstColumn="0" w:firstRowLastColumn="0" w:lastRowFirstColumn="0" w:lastRowLastColumn="0"/>
            <w:tcW w:w="4863" w:type="dxa"/>
            <w:noWrap/>
            <w:hideMark/>
          </w:tcPr>
          <w:p w:rsidR="00EE0C8C" w:rsidRPr="00A76BDB" w:rsidRDefault="00EE0C8C" w:rsidP="00EE0C8C">
            <w:pPr>
              <w:pBdr>
                <w:bottom w:val="single" w:sz="8" w:space="4" w:color="4F81BD" w:themeColor="accent1"/>
              </w:pBdr>
              <w:spacing w:after="300"/>
              <w:contextualSpacing/>
              <w:jc w:val="both"/>
              <w:rPr>
                <w:rFonts w:ascii="Calibri" w:eastAsiaTheme="majorEastAsia" w:hAnsi="Calibri" w:cstheme="majorBidi"/>
                <w:color w:val="17365D" w:themeColor="text2" w:themeShade="BF"/>
                <w:spacing w:val="5"/>
                <w:kern w:val="28"/>
              </w:rPr>
            </w:pPr>
            <w:r w:rsidRPr="00A76BDB">
              <w:rPr>
                <w:rFonts w:ascii="Calibri" w:eastAsiaTheme="majorEastAsia" w:hAnsi="Calibri" w:cstheme="majorBidi"/>
                <w:color w:val="17365D" w:themeColor="text2" w:themeShade="BF"/>
                <w:spacing w:val="5"/>
                <w:kern w:val="28"/>
              </w:rPr>
              <w:t>Powołanie Młodzieżowej Rady Gminy</w:t>
            </w:r>
          </w:p>
        </w:tc>
        <w:tc>
          <w:tcPr>
            <w:tcW w:w="3170" w:type="dxa"/>
            <w:noWrap/>
            <w:hideMark/>
          </w:tcPr>
          <w:p w:rsidR="00EE0C8C" w:rsidRPr="00A76BDB" w:rsidRDefault="00EE0C8C" w:rsidP="00EE0C8C">
            <w:pPr>
              <w:pBdr>
                <w:bottom w:val="single" w:sz="8" w:space="4" w:color="4F81BD" w:themeColor="accent1"/>
              </w:pBdr>
              <w:spacing w:after="300"/>
              <w:contextualSpacing/>
              <w:jc w:val="center"/>
              <w:cnfStyle w:val="000000100000" w:firstRow="0" w:lastRow="0" w:firstColumn="0" w:lastColumn="0" w:oddVBand="0" w:evenVBand="0" w:oddHBand="1" w:evenHBand="0" w:firstRowFirstColumn="0" w:firstRowLastColumn="0" w:lastRowFirstColumn="0" w:lastRowLastColumn="0"/>
              <w:rPr>
                <w:rFonts w:ascii="Calibri" w:eastAsiaTheme="majorEastAsia" w:hAnsi="Calibri" w:cs="Times New Roman"/>
                <w:color w:val="17365D" w:themeColor="text2" w:themeShade="BF"/>
                <w:spacing w:val="5"/>
                <w:kern w:val="28"/>
              </w:rPr>
            </w:pPr>
            <w:r w:rsidRPr="00A76BDB">
              <w:rPr>
                <w:rFonts w:ascii="Calibri" w:eastAsiaTheme="majorEastAsia" w:hAnsi="Calibri" w:cs="Times New Roman"/>
                <w:color w:val="17365D" w:themeColor="text2" w:themeShade="BF"/>
                <w:spacing w:val="5"/>
                <w:kern w:val="28"/>
              </w:rPr>
              <w:t>1</w:t>
            </w:r>
          </w:p>
        </w:tc>
      </w:tr>
      <w:tr w:rsidR="00EE0C8C" w:rsidRPr="00A76BDB" w:rsidTr="00A76BDB">
        <w:trPr>
          <w:cnfStyle w:val="000000010000" w:firstRow="0" w:lastRow="0" w:firstColumn="0" w:lastColumn="0" w:oddVBand="0" w:evenVBand="0" w:oddHBand="0" w:evenHBand="1" w:firstRowFirstColumn="0" w:firstRowLastColumn="0" w:lastRowFirstColumn="0" w:lastRowLastColumn="0"/>
          <w:trHeight w:hRule="exact" w:val="297"/>
          <w:jc w:val="center"/>
        </w:trPr>
        <w:tc>
          <w:tcPr>
            <w:cnfStyle w:val="001000000000" w:firstRow="0" w:lastRow="0" w:firstColumn="1" w:lastColumn="0" w:oddVBand="0" w:evenVBand="0" w:oddHBand="0" w:evenHBand="0" w:firstRowFirstColumn="0" w:firstRowLastColumn="0" w:lastRowFirstColumn="0" w:lastRowLastColumn="0"/>
            <w:tcW w:w="4863" w:type="dxa"/>
            <w:noWrap/>
            <w:hideMark/>
          </w:tcPr>
          <w:p w:rsidR="00EE0C8C" w:rsidRPr="00A76BDB" w:rsidRDefault="00EE0C8C" w:rsidP="00EE0C8C">
            <w:pPr>
              <w:pBdr>
                <w:bottom w:val="single" w:sz="8" w:space="4" w:color="4F81BD" w:themeColor="accent1"/>
              </w:pBdr>
              <w:spacing w:after="300"/>
              <w:contextualSpacing/>
              <w:jc w:val="both"/>
              <w:rPr>
                <w:rFonts w:ascii="Calibri" w:eastAsiaTheme="majorEastAsia" w:hAnsi="Calibri" w:cstheme="majorBidi"/>
                <w:color w:val="17365D" w:themeColor="text2" w:themeShade="BF"/>
                <w:spacing w:val="5"/>
                <w:kern w:val="28"/>
              </w:rPr>
            </w:pPr>
            <w:r w:rsidRPr="00A76BDB">
              <w:rPr>
                <w:rFonts w:ascii="Calibri" w:eastAsiaTheme="majorEastAsia" w:hAnsi="Calibri" w:cstheme="majorBidi"/>
                <w:color w:val="17365D" w:themeColor="text2" w:themeShade="BF"/>
                <w:spacing w:val="5"/>
                <w:kern w:val="28"/>
              </w:rPr>
              <w:t>Oświetlenie</w:t>
            </w:r>
          </w:p>
        </w:tc>
        <w:tc>
          <w:tcPr>
            <w:tcW w:w="3170" w:type="dxa"/>
            <w:noWrap/>
            <w:hideMark/>
          </w:tcPr>
          <w:p w:rsidR="00EE0C8C" w:rsidRPr="00A76BDB" w:rsidRDefault="00EE0C8C" w:rsidP="00EE0C8C">
            <w:pPr>
              <w:pBdr>
                <w:bottom w:val="single" w:sz="8" w:space="4" w:color="4F81BD" w:themeColor="accent1"/>
              </w:pBdr>
              <w:spacing w:after="300"/>
              <w:contextualSpacing/>
              <w:jc w:val="center"/>
              <w:cnfStyle w:val="000000010000" w:firstRow="0" w:lastRow="0" w:firstColumn="0" w:lastColumn="0" w:oddVBand="0" w:evenVBand="0" w:oddHBand="0" w:evenHBand="1" w:firstRowFirstColumn="0" w:firstRowLastColumn="0" w:lastRowFirstColumn="0" w:lastRowLastColumn="0"/>
              <w:rPr>
                <w:rFonts w:ascii="Calibri" w:eastAsiaTheme="majorEastAsia" w:hAnsi="Calibri" w:cs="Times New Roman"/>
                <w:color w:val="17365D" w:themeColor="text2" w:themeShade="BF"/>
                <w:spacing w:val="5"/>
                <w:kern w:val="28"/>
              </w:rPr>
            </w:pPr>
            <w:r w:rsidRPr="00A76BDB">
              <w:rPr>
                <w:rFonts w:ascii="Calibri" w:eastAsiaTheme="majorEastAsia" w:hAnsi="Calibri" w:cs="Times New Roman"/>
                <w:color w:val="17365D" w:themeColor="text2" w:themeShade="BF"/>
                <w:spacing w:val="5"/>
                <w:kern w:val="28"/>
              </w:rPr>
              <w:t>2</w:t>
            </w:r>
          </w:p>
        </w:tc>
      </w:tr>
      <w:tr w:rsidR="00EE0C8C" w:rsidRPr="00A76BDB" w:rsidTr="00A76BDB">
        <w:trPr>
          <w:cnfStyle w:val="000000100000" w:firstRow="0" w:lastRow="0" w:firstColumn="0" w:lastColumn="0" w:oddVBand="0" w:evenVBand="0" w:oddHBand="1" w:evenHBand="0" w:firstRowFirstColumn="0" w:firstRowLastColumn="0" w:lastRowFirstColumn="0" w:lastRowLastColumn="0"/>
          <w:trHeight w:hRule="exact" w:val="297"/>
          <w:jc w:val="center"/>
        </w:trPr>
        <w:tc>
          <w:tcPr>
            <w:cnfStyle w:val="001000000000" w:firstRow="0" w:lastRow="0" w:firstColumn="1" w:lastColumn="0" w:oddVBand="0" w:evenVBand="0" w:oddHBand="0" w:evenHBand="0" w:firstRowFirstColumn="0" w:firstRowLastColumn="0" w:lastRowFirstColumn="0" w:lastRowLastColumn="0"/>
            <w:tcW w:w="4863" w:type="dxa"/>
            <w:noWrap/>
            <w:hideMark/>
          </w:tcPr>
          <w:p w:rsidR="00EE0C8C" w:rsidRPr="00A76BDB" w:rsidRDefault="00EE0C8C" w:rsidP="00EE0C8C">
            <w:pPr>
              <w:pBdr>
                <w:bottom w:val="single" w:sz="8" w:space="4" w:color="4F81BD" w:themeColor="accent1"/>
              </w:pBdr>
              <w:spacing w:after="300"/>
              <w:contextualSpacing/>
              <w:jc w:val="both"/>
              <w:rPr>
                <w:rFonts w:ascii="Calibri" w:eastAsiaTheme="majorEastAsia" w:hAnsi="Calibri" w:cstheme="majorBidi"/>
                <w:color w:val="17365D" w:themeColor="text2" w:themeShade="BF"/>
                <w:spacing w:val="5"/>
                <w:kern w:val="28"/>
              </w:rPr>
            </w:pPr>
            <w:r w:rsidRPr="00A76BDB">
              <w:rPr>
                <w:rFonts w:ascii="Calibri" w:eastAsiaTheme="majorEastAsia" w:hAnsi="Calibri" w:cstheme="majorBidi"/>
                <w:color w:val="17365D" w:themeColor="text2" w:themeShade="BF"/>
                <w:spacing w:val="5"/>
                <w:kern w:val="28"/>
              </w:rPr>
              <w:t>Bieżnia</w:t>
            </w:r>
          </w:p>
        </w:tc>
        <w:tc>
          <w:tcPr>
            <w:tcW w:w="3170" w:type="dxa"/>
            <w:noWrap/>
            <w:hideMark/>
          </w:tcPr>
          <w:p w:rsidR="00EE0C8C" w:rsidRPr="00A76BDB" w:rsidRDefault="00EE0C8C" w:rsidP="00EE0C8C">
            <w:pPr>
              <w:pBdr>
                <w:bottom w:val="single" w:sz="8" w:space="4" w:color="4F81BD" w:themeColor="accent1"/>
              </w:pBdr>
              <w:spacing w:after="300"/>
              <w:contextualSpacing/>
              <w:jc w:val="center"/>
              <w:cnfStyle w:val="000000100000" w:firstRow="0" w:lastRow="0" w:firstColumn="0" w:lastColumn="0" w:oddVBand="0" w:evenVBand="0" w:oddHBand="1" w:evenHBand="0" w:firstRowFirstColumn="0" w:firstRowLastColumn="0" w:lastRowFirstColumn="0" w:lastRowLastColumn="0"/>
              <w:rPr>
                <w:rFonts w:ascii="Calibri" w:eastAsiaTheme="majorEastAsia" w:hAnsi="Calibri" w:cs="Times New Roman"/>
                <w:color w:val="17365D" w:themeColor="text2" w:themeShade="BF"/>
                <w:spacing w:val="5"/>
                <w:kern w:val="28"/>
              </w:rPr>
            </w:pPr>
            <w:r w:rsidRPr="00A76BDB">
              <w:rPr>
                <w:rFonts w:ascii="Calibri" w:eastAsiaTheme="majorEastAsia" w:hAnsi="Calibri" w:cs="Times New Roman"/>
                <w:color w:val="17365D" w:themeColor="text2" w:themeShade="BF"/>
                <w:spacing w:val="5"/>
                <w:kern w:val="28"/>
              </w:rPr>
              <w:t>10</w:t>
            </w:r>
          </w:p>
        </w:tc>
      </w:tr>
    </w:tbl>
    <w:p w:rsidR="00EE0C8C" w:rsidRPr="00EE0C8C" w:rsidRDefault="00EE0C8C" w:rsidP="00EE0C8C">
      <w:pPr>
        <w:spacing w:after="0"/>
        <w:contextualSpacing/>
        <w:jc w:val="both"/>
        <w:rPr>
          <w:rFonts w:ascii="Calibri" w:eastAsia="Times New Roman" w:hAnsi="Calibri" w:cs="Times New Roman"/>
          <w:lang w:eastAsia="pl-PL"/>
        </w:rPr>
      </w:pPr>
    </w:p>
    <w:p w:rsidR="00EE0C8C" w:rsidRPr="00EE0C8C" w:rsidRDefault="00EE0C8C" w:rsidP="00DC61B1">
      <w:pPr>
        <w:numPr>
          <w:ilvl w:val="0"/>
          <w:numId w:val="26"/>
        </w:numPr>
        <w:spacing w:after="0"/>
        <w:ind w:left="284" w:hanging="284"/>
        <w:contextualSpacing/>
        <w:jc w:val="both"/>
        <w:rPr>
          <w:rFonts w:ascii="Calibri" w:eastAsia="Times New Roman" w:hAnsi="Calibri" w:cs="Times New Roman"/>
          <w:lang w:eastAsia="pl-PL"/>
        </w:rPr>
      </w:pPr>
      <w:r w:rsidRPr="00EE0C8C">
        <w:rPr>
          <w:rFonts w:ascii="Calibri" w:eastAsia="Times New Roman" w:hAnsi="Calibri" w:cs="Times New Roman"/>
          <w:lang w:eastAsia="pl-PL"/>
        </w:rPr>
        <w:t xml:space="preserve">Czy uważasz za zasadne zrewitalizowanie nieruchomości Ośrodka Zdrowia w Mircu poprzez szeroko pojętą modernizację i doposażenie budynku (jego wnętrza , min. o centralną kartotekę, wyposażenie w windę, wymiana instalacji grzewczej, zinformatyzowanie zakładu etc.) wraz </w:t>
      </w:r>
      <w:r w:rsidRPr="00EE0C8C">
        <w:rPr>
          <w:rFonts w:ascii="Calibri" w:eastAsia="Times New Roman" w:hAnsi="Calibri" w:cs="Times New Roman"/>
          <w:lang w:eastAsia="pl-PL"/>
        </w:rPr>
        <w:br/>
        <w:t>z wyposażeniem w nowoczesny sprzęt medyczny?</w:t>
      </w:r>
    </w:p>
    <w:p w:rsidR="00EE0C8C" w:rsidRPr="00EE0C8C" w:rsidRDefault="00EE0C8C" w:rsidP="00EE0C8C">
      <w:pPr>
        <w:spacing w:after="0"/>
        <w:ind w:left="1080"/>
        <w:contextualSpacing/>
        <w:jc w:val="both"/>
        <w:rPr>
          <w:rFonts w:ascii="Calibri" w:eastAsia="Times New Roman" w:hAnsi="Calibri" w:cs="Times New Roman"/>
          <w:lang w:eastAsia="pl-PL"/>
        </w:rPr>
      </w:pPr>
    </w:p>
    <w:p w:rsidR="00EE0C8C" w:rsidRPr="00EE0C8C" w:rsidRDefault="00EE0C8C" w:rsidP="00EE0C8C">
      <w:pPr>
        <w:spacing w:after="0"/>
        <w:ind w:firstLine="1134"/>
        <w:contextualSpacing/>
        <w:rPr>
          <w:rFonts w:ascii="Calibri" w:eastAsia="Times New Roman" w:hAnsi="Calibri" w:cs="Times New Roman"/>
          <w:lang w:eastAsia="pl-PL"/>
        </w:rPr>
      </w:pPr>
      <w:r w:rsidRPr="00EE0C8C">
        <w:rPr>
          <w:rFonts w:ascii="Calibri" w:eastAsia="Times New Roman" w:hAnsi="Calibri" w:cs="Times New Roman"/>
          <w:noProof/>
          <w:lang w:eastAsia="pl-PL"/>
        </w:rPr>
        <w:lastRenderedPageBreak/>
        <w:drawing>
          <wp:inline distT="0" distB="0" distL="0" distR="0" wp14:anchorId="1E04E564" wp14:editId="3CE0F363">
            <wp:extent cx="5276519" cy="2329732"/>
            <wp:effectExtent l="19050" t="0" r="331" b="0"/>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E0C8C" w:rsidRPr="00A76BDB" w:rsidRDefault="00EE0C8C" w:rsidP="00A76BDB">
      <w:pPr>
        <w:pStyle w:val="Nagwek2"/>
        <w:rPr>
          <w:lang w:eastAsia="pl-PL"/>
        </w:rPr>
      </w:pPr>
      <w:bookmarkStart w:id="91" w:name="_Toc439157967"/>
      <w:bookmarkStart w:id="92" w:name="_Toc450562501"/>
      <w:r w:rsidRPr="00EE0C8C">
        <w:rPr>
          <w:lang w:eastAsia="pl-PL"/>
        </w:rPr>
        <w:t xml:space="preserve">3.1. 1.WYNIKI ANKIETY BADAŃ SPOŁECZNYCH WŚRÓD UCZNIÓW SZKOŁY GIMNAZJALNEJ </w:t>
      </w:r>
      <w:r w:rsidRPr="00EE0C8C">
        <w:rPr>
          <w:lang w:eastAsia="pl-PL"/>
        </w:rPr>
        <w:br/>
        <w:t>w   Mir</w:t>
      </w:r>
      <w:bookmarkEnd w:id="91"/>
      <w:r w:rsidRPr="00EE0C8C">
        <w:rPr>
          <w:lang w:eastAsia="pl-PL"/>
        </w:rPr>
        <w:t>cu</w:t>
      </w:r>
      <w:bookmarkEnd w:id="92"/>
    </w:p>
    <w:p w:rsidR="00EE0C8C" w:rsidRPr="00EE0C8C" w:rsidRDefault="00EE0C8C" w:rsidP="00EE0C8C">
      <w:pPr>
        <w:rPr>
          <w:rFonts w:ascii="Calibri" w:eastAsia="Times New Roman" w:hAnsi="Calibri" w:cs="Times New Roman"/>
          <w:lang w:eastAsia="pl-PL"/>
        </w:rPr>
      </w:pPr>
      <w:r w:rsidRPr="00EE0C8C">
        <w:rPr>
          <w:rFonts w:ascii="Calibri" w:eastAsia="Times New Roman" w:hAnsi="Calibri" w:cs="Times New Roman"/>
          <w:lang w:eastAsia="pl-PL"/>
        </w:rPr>
        <w:t>W ankiecie wzięło udział łącznie 31 osób. Wśród ankietowanych przeważały dziewczęta (65 %).</w:t>
      </w:r>
    </w:p>
    <w:p w:rsidR="00EE0C8C" w:rsidRPr="00EE0C8C" w:rsidRDefault="00EE0C8C" w:rsidP="00EE0C8C">
      <w:pPr>
        <w:jc w:val="center"/>
        <w:rPr>
          <w:rFonts w:ascii="Calibri" w:eastAsia="Times New Roman" w:hAnsi="Calibri" w:cs="Times New Roman"/>
          <w:lang w:eastAsia="pl-PL"/>
        </w:rPr>
      </w:pPr>
      <w:r w:rsidRPr="00EE0C8C">
        <w:rPr>
          <w:rFonts w:ascii="Calibri" w:eastAsia="Times New Roman" w:hAnsi="Calibri" w:cs="Times New Roman"/>
          <w:noProof/>
          <w:lang w:eastAsia="pl-PL"/>
        </w:rPr>
        <w:drawing>
          <wp:inline distT="0" distB="0" distL="0" distR="0" wp14:anchorId="1CE5F070" wp14:editId="3C45B980">
            <wp:extent cx="3896139" cy="2297927"/>
            <wp:effectExtent l="19050" t="0" r="9111" b="0"/>
            <wp:docPr id="21" name="Wykres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E0C8C" w:rsidRPr="00EE0C8C" w:rsidRDefault="00EE0C8C" w:rsidP="00EE0C8C">
      <w:pPr>
        <w:rPr>
          <w:rFonts w:ascii="Calibri" w:eastAsia="Times New Roman" w:hAnsi="Calibri" w:cs="Times New Roman"/>
          <w:lang w:eastAsia="pl-PL"/>
        </w:rPr>
      </w:pPr>
      <w:r w:rsidRPr="00EE0C8C">
        <w:rPr>
          <w:rFonts w:ascii="Calibri" w:eastAsia="Times New Roman" w:hAnsi="Calibri" w:cs="Times New Roman"/>
          <w:lang w:eastAsia="pl-PL"/>
        </w:rPr>
        <w:t>Przeważającą liczbę stanowiła młodzież w wieku 14 lat – 95%.</w:t>
      </w:r>
    </w:p>
    <w:p w:rsidR="00EE0C8C" w:rsidRPr="00EE0C8C" w:rsidRDefault="00EE0C8C" w:rsidP="00EE0C8C">
      <w:pPr>
        <w:jc w:val="center"/>
        <w:rPr>
          <w:rFonts w:ascii="Calibri" w:eastAsia="Times New Roman" w:hAnsi="Calibri" w:cs="Times New Roman"/>
          <w:lang w:eastAsia="pl-PL"/>
        </w:rPr>
      </w:pPr>
      <w:r w:rsidRPr="00EE0C8C">
        <w:rPr>
          <w:rFonts w:ascii="Calibri" w:eastAsia="Times New Roman" w:hAnsi="Calibri" w:cs="Times New Roman"/>
          <w:noProof/>
          <w:lang w:eastAsia="pl-PL"/>
        </w:rPr>
        <w:drawing>
          <wp:inline distT="0" distB="0" distL="0" distR="0" wp14:anchorId="59EA41E9" wp14:editId="0AEF5C64">
            <wp:extent cx="3420093" cy="2339439"/>
            <wp:effectExtent l="0" t="0" r="0" b="3810"/>
            <wp:docPr id="22" nam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E0C8C" w:rsidRPr="00EE0C8C" w:rsidRDefault="00EE0C8C" w:rsidP="00EE0C8C">
      <w:pPr>
        <w:rPr>
          <w:rFonts w:ascii="Calibri" w:eastAsia="Times New Roman" w:hAnsi="Calibri" w:cs="Times New Roman"/>
          <w:u w:val="single"/>
          <w:lang w:eastAsia="pl-PL"/>
        </w:rPr>
      </w:pPr>
      <w:r w:rsidRPr="00EE0C8C">
        <w:rPr>
          <w:rFonts w:ascii="Calibri" w:eastAsia="Times New Roman" w:hAnsi="Calibri" w:cs="Times New Roman"/>
          <w:u w:val="single"/>
          <w:lang w:eastAsia="pl-PL"/>
        </w:rPr>
        <w:lastRenderedPageBreak/>
        <w:t>Wypełniając  ankiety, udzielili odpowiedzi na 7 ważnych dla rozwoju  ich miejscowości pytań, a ich wyniki prezentuje poniższa analiza:</w:t>
      </w:r>
    </w:p>
    <w:p w:rsidR="00EE0C8C" w:rsidRPr="00EE0C8C" w:rsidRDefault="00EE0C8C" w:rsidP="00EE0C8C">
      <w:pPr>
        <w:ind w:left="360" w:hanging="360"/>
        <w:rPr>
          <w:rFonts w:ascii="Calibri" w:eastAsia="Times New Roman" w:hAnsi="Calibri" w:cs="Times New Roman"/>
          <w:u w:val="single"/>
          <w:lang w:eastAsia="pl-PL"/>
        </w:rPr>
      </w:pPr>
      <w:r w:rsidRPr="00EE0C8C">
        <w:rPr>
          <w:rFonts w:ascii="Calibri" w:eastAsia="Times New Roman" w:hAnsi="Calibri" w:cs="Times New Roman"/>
          <w:lang w:eastAsia="pl-PL"/>
        </w:rPr>
        <w:t>1.</w:t>
      </w:r>
      <w:r w:rsidRPr="00EE0C8C">
        <w:rPr>
          <w:rFonts w:ascii="Calibri" w:eastAsia="Times New Roman" w:hAnsi="Calibri" w:cs="Times New Roman"/>
          <w:lang w:eastAsia="pl-PL"/>
        </w:rPr>
        <w:tab/>
        <w:t>Czy jesteś dumny z tego, że mieszkasz lub uczysz się w centrum  Mirca?</w:t>
      </w:r>
    </w:p>
    <w:p w:rsidR="00EE0C8C" w:rsidRPr="00EE0C8C" w:rsidRDefault="00EE0C8C" w:rsidP="00EE0C8C">
      <w:pPr>
        <w:spacing w:after="0"/>
        <w:ind w:firstLine="1134"/>
        <w:contextualSpacing/>
        <w:jc w:val="both"/>
        <w:rPr>
          <w:rFonts w:ascii="Calibri" w:eastAsia="Times New Roman" w:hAnsi="Calibri" w:cs="Times New Roman"/>
          <w:lang w:eastAsia="pl-PL"/>
        </w:rPr>
      </w:pPr>
    </w:p>
    <w:p w:rsidR="00EE0C8C" w:rsidRPr="00EE0C8C" w:rsidRDefault="00EE0C8C" w:rsidP="00EE0C8C">
      <w:pPr>
        <w:spacing w:after="0"/>
        <w:contextualSpacing/>
        <w:jc w:val="center"/>
        <w:rPr>
          <w:rFonts w:ascii="Calibri" w:eastAsia="Times New Roman" w:hAnsi="Calibri" w:cs="Times New Roman"/>
          <w:lang w:eastAsia="pl-PL"/>
        </w:rPr>
      </w:pPr>
      <w:r w:rsidRPr="00EE0C8C">
        <w:rPr>
          <w:rFonts w:ascii="Calibri" w:eastAsia="Times New Roman" w:hAnsi="Calibri" w:cs="Times New Roman"/>
          <w:noProof/>
          <w:lang w:eastAsia="pl-PL"/>
        </w:rPr>
        <w:drawing>
          <wp:inline distT="0" distB="0" distL="0" distR="0" wp14:anchorId="1BB82C84" wp14:editId="039082AC">
            <wp:extent cx="4306460" cy="2878372"/>
            <wp:effectExtent l="19050" t="0" r="0" b="0"/>
            <wp:docPr id="23" name="Wykres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E0C8C" w:rsidRPr="00EE0C8C" w:rsidRDefault="00EE0C8C" w:rsidP="00EE0C8C">
      <w:pPr>
        <w:spacing w:after="0"/>
        <w:contextualSpacing/>
        <w:rPr>
          <w:rFonts w:ascii="Calibri" w:eastAsia="Times New Roman" w:hAnsi="Calibri" w:cs="Times New Roman"/>
          <w:lang w:eastAsia="pl-PL"/>
        </w:rPr>
      </w:pPr>
      <w:r w:rsidRPr="00EE0C8C">
        <w:rPr>
          <w:rFonts w:ascii="Calibri" w:eastAsia="Times New Roman" w:hAnsi="Calibri" w:cs="Times New Roman"/>
          <w:lang w:eastAsia="pl-PL"/>
        </w:rPr>
        <w:t>Odpowiadając twierdząco, przedstawiali następujące powody:</w:t>
      </w:r>
    </w:p>
    <w:p w:rsidR="00EE0C8C" w:rsidRPr="00EE0C8C" w:rsidRDefault="00EE0C8C" w:rsidP="00EE0C8C">
      <w:pPr>
        <w:spacing w:after="0"/>
        <w:contextualSpacing/>
        <w:rPr>
          <w:rFonts w:ascii="Calibri" w:eastAsia="Times New Roman" w:hAnsi="Calibri" w:cs="Times New Roman"/>
          <w:lang w:eastAsia="pl-PL"/>
        </w:rPr>
      </w:pPr>
      <w:r w:rsidRPr="00EE0C8C">
        <w:rPr>
          <w:rFonts w:ascii="Calibri" w:eastAsia="Times New Roman" w:hAnsi="Calibri" w:cs="Times New Roman"/>
          <w:lang w:eastAsia="pl-PL"/>
        </w:rPr>
        <w:t>- dobry poziom edukacji;</w:t>
      </w:r>
    </w:p>
    <w:p w:rsidR="00EE0C8C" w:rsidRPr="00EE0C8C" w:rsidRDefault="00EE0C8C" w:rsidP="00EE0C8C">
      <w:pPr>
        <w:spacing w:after="0"/>
        <w:contextualSpacing/>
        <w:rPr>
          <w:rFonts w:ascii="Calibri" w:eastAsia="Times New Roman" w:hAnsi="Calibri" w:cs="Times New Roman"/>
          <w:lang w:eastAsia="pl-PL"/>
        </w:rPr>
      </w:pPr>
      <w:r w:rsidRPr="00EE0C8C">
        <w:rPr>
          <w:rFonts w:ascii="Calibri" w:eastAsia="Times New Roman" w:hAnsi="Calibri" w:cs="Times New Roman"/>
          <w:lang w:eastAsia="pl-PL"/>
        </w:rPr>
        <w:t>- piękno krajobrazu naturalnego;</w:t>
      </w:r>
    </w:p>
    <w:p w:rsidR="00EE0C8C" w:rsidRPr="00EE0C8C" w:rsidRDefault="00EE0C8C" w:rsidP="00EE0C8C">
      <w:pPr>
        <w:spacing w:after="0"/>
        <w:contextualSpacing/>
        <w:rPr>
          <w:rFonts w:ascii="Calibri" w:eastAsia="Times New Roman" w:hAnsi="Calibri" w:cs="Times New Roman"/>
          <w:lang w:eastAsia="pl-PL"/>
        </w:rPr>
      </w:pPr>
      <w:r w:rsidRPr="00EE0C8C">
        <w:rPr>
          <w:rFonts w:ascii="Calibri" w:eastAsia="Times New Roman" w:hAnsi="Calibri" w:cs="Times New Roman"/>
          <w:lang w:eastAsia="pl-PL"/>
        </w:rPr>
        <w:t>- życzliwość mieszkańców;</w:t>
      </w:r>
    </w:p>
    <w:p w:rsidR="00EE0C8C" w:rsidRPr="00EE0C8C" w:rsidRDefault="00EE0C8C" w:rsidP="00EE0C8C">
      <w:pPr>
        <w:spacing w:after="0"/>
        <w:contextualSpacing/>
        <w:rPr>
          <w:rFonts w:ascii="Calibri" w:eastAsia="Times New Roman" w:hAnsi="Calibri" w:cs="Times New Roman"/>
          <w:lang w:eastAsia="pl-PL"/>
        </w:rPr>
      </w:pPr>
      <w:r w:rsidRPr="00EE0C8C">
        <w:rPr>
          <w:rFonts w:ascii="Calibri" w:eastAsia="Times New Roman" w:hAnsi="Calibri" w:cs="Times New Roman"/>
          <w:lang w:eastAsia="pl-PL"/>
        </w:rPr>
        <w:t>- możliwość rozwoju pasji sportowych;</w:t>
      </w:r>
    </w:p>
    <w:p w:rsidR="00EE0C8C" w:rsidRPr="00EE0C8C" w:rsidRDefault="00EE0C8C" w:rsidP="00EE0C8C">
      <w:pPr>
        <w:spacing w:after="0"/>
        <w:contextualSpacing/>
        <w:rPr>
          <w:rFonts w:ascii="Calibri" w:eastAsia="Times New Roman" w:hAnsi="Calibri" w:cs="Times New Roman"/>
          <w:lang w:eastAsia="pl-PL"/>
        </w:rPr>
      </w:pPr>
      <w:r w:rsidRPr="00EE0C8C">
        <w:rPr>
          <w:rFonts w:ascii="Calibri" w:eastAsia="Times New Roman" w:hAnsi="Calibri" w:cs="Times New Roman"/>
          <w:lang w:eastAsia="pl-PL"/>
        </w:rPr>
        <w:t>- lokalny patriotyzm;</w:t>
      </w:r>
    </w:p>
    <w:p w:rsidR="00EE0C8C" w:rsidRPr="00EE0C8C" w:rsidRDefault="00EE0C8C" w:rsidP="00EE0C8C">
      <w:pPr>
        <w:spacing w:after="0"/>
        <w:contextualSpacing/>
        <w:rPr>
          <w:rFonts w:ascii="Calibri" w:eastAsia="Times New Roman" w:hAnsi="Calibri" w:cs="Times New Roman"/>
          <w:lang w:eastAsia="pl-PL"/>
        </w:rPr>
      </w:pPr>
      <w:r w:rsidRPr="00EE0C8C">
        <w:rPr>
          <w:rFonts w:ascii="Calibri" w:eastAsia="Times New Roman" w:hAnsi="Calibri" w:cs="Times New Roman"/>
          <w:lang w:eastAsia="pl-PL"/>
        </w:rPr>
        <w:t>- zabytki ( min. Dworek Modrzewiowy).</w:t>
      </w:r>
    </w:p>
    <w:p w:rsidR="00EE0C8C" w:rsidRPr="00EE0C8C" w:rsidRDefault="00EE0C8C" w:rsidP="00EE0C8C">
      <w:pPr>
        <w:spacing w:after="0"/>
        <w:contextualSpacing/>
        <w:rPr>
          <w:rFonts w:ascii="Calibri" w:eastAsia="Times New Roman" w:hAnsi="Calibri" w:cs="Times New Roman"/>
          <w:lang w:eastAsia="pl-PL"/>
        </w:rPr>
      </w:pPr>
    </w:p>
    <w:p w:rsidR="00EE0C8C" w:rsidRPr="00EE0C8C" w:rsidRDefault="00EE0C8C" w:rsidP="00DC61B1">
      <w:pPr>
        <w:numPr>
          <w:ilvl w:val="0"/>
          <w:numId w:val="31"/>
        </w:numPr>
        <w:spacing w:after="0"/>
        <w:ind w:left="284" w:hanging="284"/>
        <w:contextualSpacing/>
        <w:rPr>
          <w:rFonts w:ascii="Calibri" w:eastAsia="Times New Roman" w:hAnsi="Calibri" w:cs="Times New Roman"/>
          <w:lang w:eastAsia="pl-PL"/>
        </w:rPr>
      </w:pPr>
      <w:r w:rsidRPr="00EE0C8C">
        <w:rPr>
          <w:rFonts w:ascii="Calibri" w:eastAsia="Calibri" w:hAnsi="Calibri" w:cs="Times New Roman"/>
          <w:noProof/>
          <w:lang w:eastAsia="pl-PL"/>
        </w:rPr>
        <w:drawing>
          <wp:anchor distT="0" distB="0" distL="114300" distR="114300" simplePos="0" relativeHeight="251664384" behindDoc="0" locked="0" layoutInCell="1" allowOverlap="1" wp14:anchorId="59F1B53C" wp14:editId="28C293D8">
            <wp:simplePos x="0" y="0"/>
            <wp:positionH relativeFrom="margin">
              <wp:posOffset>-432435</wp:posOffset>
            </wp:positionH>
            <wp:positionV relativeFrom="margin">
              <wp:posOffset>6235700</wp:posOffset>
            </wp:positionV>
            <wp:extent cx="6768465" cy="2731135"/>
            <wp:effectExtent l="0" t="0" r="0" b="0"/>
            <wp:wrapSquare wrapText="bothSides"/>
            <wp:docPr id="24"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r w:rsidRPr="00EE0C8C">
        <w:rPr>
          <w:rFonts w:ascii="Calibri" w:eastAsia="Times New Roman" w:hAnsi="Calibri" w:cs="Times New Roman"/>
          <w:lang w:eastAsia="pl-PL"/>
        </w:rPr>
        <w:t xml:space="preserve">Proszę podać, czym wyróżnia się centrum   Mirca na tle innych centrów </w:t>
      </w:r>
      <w:r w:rsidRPr="00EE0C8C">
        <w:rPr>
          <w:rFonts w:ascii="Calibri" w:eastAsia="Times New Roman" w:hAnsi="Calibri" w:cs="Times New Roman"/>
          <w:lang w:eastAsia="pl-PL"/>
        </w:rPr>
        <w:br/>
        <w:t>w Polsce?</w:t>
      </w:r>
    </w:p>
    <w:p w:rsidR="00EE0C8C" w:rsidRPr="00EE0C8C" w:rsidRDefault="00EE0C8C" w:rsidP="00EE0C8C">
      <w:pPr>
        <w:spacing w:after="0"/>
        <w:contextualSpacing/>
        <w:jc w:val="center"/>
        <w:rPr>
          <w:rFonts w:ascii="Calibri" w:eastAsia="Times New Roman" w:hAnsi="Calibri" w:cs="Times New Roman"/>
          <w:lang w:eastAsia="pl-PL"/>
        </w:rPr>
      </w:pPr>
    </w:p>
    <w:p w:rsidR="00EE0C8C" w:rsidRPr="00EE0C8C" w:rsidRDefault="00EE0C8C" w:rsidP="00DC61B1">
      <w:pPr>
        <w:numPr>
          <w:ilvl w:val="0"/>
          <w:numId w:val="31"/>
        </w:numPr>
        <w:spacing w:after="0"/>
        <w:ind w:left="284" w:hanging="284"/>
        <w:contextualSpacing/>
        <w:jc w:val="both"/>
        <w:rPr>
          <w:rFonts w:ascii="Calibri" w:eastAsia="Times New Roman" w:hAnsi="Calibri" w:cs="Times New Roman"/>
          <w:lang w:eastAsia="pl-PL"/>
        </w:rPr>
      </w:pPr>
      <w:r w:rsidRPr="00EE0C8C">
        <w:rPr>
          <w:rFonts w:ascii="Calibri" w:eastAsia="Times New Roman" w:hAnsi="Calibri" w:cs="Times New Roman"/>
          <w:lang w:eastAsia="pl-PL"/>
        </w:rPr>
        <w:lastRenderedPageBreak/>
        <w:t>Czy młodzi ludzie mają w centrum   Mirca szanse rozwoju i znalezienia miejsca dla siebie?</w:t>
      </w:r>
    </w:p>
    <w:p w:rsidR="00EE0C8C" w:rsidRPr="00EE0C8C" w:rsidRDefault="00EE0C8C" w:rsidP="00EE0C8C">
      <w:pPr>
        <w:spacing w:after="0"/>
        <w:jc w:val="both"/>
        <w:rPr>
          <w:rFonts w:ascii="Calibri" w:eastAsia="Times New Roman" w:hAnsi="Calibri" w:cs="Times New Roman"/>
          <w:lang w:eastAsia="pl-PL"/>
        </w:rPr>
      </w:pPr>
    </w:p>
    <w:p w:rsidR="00EE0C8C" w:rsidRPr="00EE0C8C" w:rsidRDefault="00EE0C8C" w:rsidP="00EE0C8C">
      <w:pPr>
        <w:spacing w:after="0"/>
        <w:ind w:firstLine="1134"/>
        <w:contextualSpacing/>
        <w:jc w:val="center"/>
        <w:rPr>
          <w:rFonts w:ascii="Calibri" w:eastAsia="Times New Roman" w:hAnsi="Calibri" w:cs="Times New Roman"/>
          <w:lang w:eastAsia="pl-PL"/>
        </w:rPr>
      </w:pPr>
      <w:r w:rsidRPr="00EE0C8C">
        <w:rPr>
          <w:rFonts w:ascii="Calibri" w:eastAsia="Times New Roman" w:hAnsi="Calibri" w:cs="Times New Roman"/>
          <w:noProof/>
          <w:lang w:eastAsia="pl-PL"/>
        </w:rPr>
        <w:drawing>
          <wp:inline distT="0" distB="0" distL="0" distR="0" wp14:anchorId="4BAE7F2A" wp14:editId="005142DB">
            <wp:extent cx="2997641" cy="1630018"/>
            <wp:effectExtent l="19050" t="0" r="0" b="0"/>
            <wp:docPr id="25" name="Wykres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EE0C8C" w:rsidRPr="00EE0C8C" w:rsidRDefault="00EE0C8C" w:rsidP="00EE0C8C">
      <w:pPr>
        <w:spacing w:after="0"/>
        <w:ind w:firstLine="1134"/>
        <w:contextualSpacing/>
        <w:jc w:val="center"/>
        <w:rPr>
          <w:rFonts w:ascii="Calibri" w:eastAsia="Times New Roman" w:hAnsi="Calibri" w:cs="Times New Roman"/>
          <w:lang w:eastAsia="pl-PL"/>
        </w:rPr>
      </w:pPr>
    </w:p>
    <w:p w:rsidR="00EE0C8C" w:rsidRPr="00EE0C8C" w:rsidRDefault="00EE0C8C" w:rsidP="00EE0C8C">
      <w:pPr>
        <w:spacing w:after="0"/>
        <w:contextualSpacing/>
        <w:jc w:val="both"/>
        <w:rPr>
          <w:rFonts w:ascii="Calibri" w:eastAsia="Times New Roman" w:hAnsi="Calibri" w:cs="Times New Roman"/>
          <w:lang w:eastAsia="pl-PL"/>
        </w:rPr>
      </w:pPr>
      <w:r w:rsidRPr="00EE0C8C">
        <w:rPr>
          <w:rFonts w:ascii="Calibri" w:eastAsia="Times New Roman" w:hAnsi="Calibri" w:cs="Times New Roman"/>
          <w:lang w:eastAsia="pl-PL"/>
        </w:rPr>
        <w:t>Młodzież, która udzieliła odpowiedzi NIE, uzasadniała ją w poniższy sposób:</w:t>
      </w:r>
    </w:p>
    <w:p w:rsidR="00EE0C8C" w:rsidRPr="00EE0C8C" w:rsidRDefault="00EE0C8C" w:rsidP="00EE0C8C">
      <w:pPr>
        <w:spacing w:after="0"/>
        <w:contextualSpacing/>
        <w:jc w:val="center"/>
        <w:rPr>
          <w:rFonts w:ascii="Calibri" w:eastAsia="Times New Roman" w:hAnsi="Calibri" w:cs="Times New Roman"/>
          <w:lang w:eastAsia="pl-PL"/>
        </w:rPr>
      </w:pPr>
      <w:r w:rsidRPr="00EE0C8C">
        <w:rPr>
          <w:rFonts w:ascii="Calibri" w:eastAsia="Times New Roman" w:hAnsi="Calibri" w:cs="Times New Roman"/>
          <w:noProof/>
          <w:lang w:eastAsia="pl-PL"/>
        </w:rPr>
        <w:drawing>
          <wp:inline distT="0" distB="0" distL="0" distR="0" wp14:anchorId="487E81CE" wp14:editId="3846A929">
            <wp:extent cx="6074797" cy="3085106"/>
            <wp:effectExtent l="0" t="0" r="0" b="0"/>
            <wp:docPr id="26" name="Wykres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EE0C8C" w:rsidRPr="00EE0C8C" w:rsidRDefault="00EE0C8C" w:rsidP="00DC61B1">
      <w:pPr>
        <w:numPr>
          <w:ilvl w:val="0"/>
          <w:numId w:val="31"/>
        </w:numPr>
        <w:spacing w:after="0"/>
        <w:ind w:left="284" w:hanging="284"/>
        <w:contextualSpacing/>
        <w:jc w:val="both"/>
        <w:rPr>
          <w:rFonts w:ascii="Calibri" w:eastAsia="Times New Roman" w:hAnsi="Calibri" w:cs="Times New Roman"/>
          <w:lang w:eastAsia="pl-PL"/>
        </w:rPr>
      </w:pPr>
      <w:r w:rsidRPr="00EE0C8C">
        <w:rPr>
          <w:rFonts w:ascii="Calibri" w:eastAsia="Times New Roman" w:hAnsi="Calibri" w:cs="Times New Roman"/>
          <w:lang w:eastAsia="pl-PL"/>
        </w:rPr>
        <w:t>Czy czujesz się bezpiecznie w centrum  Mirca?</w:t>
      </w:r>
    </w:p>
    <w:p w:rsidR="00EE0C8C" w:rsidRPr="00EE0C8C" w:rsidRDefault="00EE0C8C" w:rsidP="00EE0C8C">
      <w:pPr>
        <w:widowControl w:val="0"/>
        <w:suppressLineNumbers/>
        <w:suppressAutoHyphens/>
        <w:autoSpaceDN w:val="0"/>
        <w:spacing w:after="0" w:line="240" w:lineRule="auto"/>
        <w:textAlignment w:val="baseline"/>
        <w:rPr>
          <w:rFonts w:ascii="Liberation Serif" w:eastAsia="SimSun" w:hAnsi="Liberation Serif" w:cs="Mangal"/>
          <w:kern w:val="3"/>
          <w:sz w:val="18"/>
          <w:szCs w:val="18"/>
          <w:lang w:eastAsia="zh-CN" w:bidi="hi-IN"/>
        </w:rPr>
      </w:pPr>
    </w:p>
    <w:p w:rsidR="00EE0C8C" w:rsidRPr="00EE0C8C" w:rsidRDefault="00EE0C8C" w:rsidP="00EE0C8C">
      <w:pPr>
        <w:widowControl w:val="0"/>
        <w:suppressLineNumbers/>
        <w:suppressAutoHyphens/>
        <w:autoSpaceDN w:val="0"/>
        <w:spacing w:after="0" w:line="240" w:lineRule="auto"/>
        <w:jc w:val="center"/>
        <w:textAlignment w:val="baseline"/>
        <w:rPr>
          <w:rFonts w:ascii="Liberation Serif" w:eastAsia="SimSun" w:hAnsi="Liberation Serif" w:cs="Mangal"/>
          <w:kern w:val="3"/>
          <w:sz w:val="18"/>
          <w:szCs w:val="18"/>
          <w:lang w:eastAsia="zh-CN" w:bidi="hi-IN"/>
        </w:rPr>
      </w:pPr>
      <w:r w:rsidRPr="00EE0C8C">
        <w:rPr>
          <w:rFonts w:ascii="Calibri" w:eastAsia="Times New Roman" w:hAnsi="Calibri" w:cs="Times New Roman"/>
          <w:noProof/>
          <w:lang w:eastAsia="pl-PL"/>
        </w:rPr>
        <w:drawing>
          <wp:inline distT="0" distB="0" distL="0" distR="0" wp14:anchorId="09D44C49" wp14:editId="307F3D73">
            <wp:extent cx="3788229" cy="2612571"/>
            <wp:effectExtent l="0" t="0" r="3175" b="0"/>
            <wp:docPr id="27" name="Wykres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E0C8C" w:rsidRPr="00EE0C8C" w:rsidRDefault="00EE0C8C" w:rsidP="00EE0C8C">
      <w:pPr>
        <w:rPr>
          <w:rFonts w:ascii="Calibri" w:eastAsia="Calibri" w:hAnsi="Calibri" w:cs="Times New Roman"/>
          <w:lang w:eastAsia="pl-PL"/>
        </w:rPr>
      </w:pPr>
    </w:p>
    <w:p w:rsidR="00EE0C8C" w:rsidRPr="00EE0C8C" w:rsidRDefault="00EE0C8C" w:rsidP="00EE0C8C">
      <w:pPr>
        <w:rPr>
          <w:rFonts w:ascii="Calibri" w:eastAsia="Calibri" w:hAnsi="Calibri" w:cs="Times New Roman"/>
          <w:lang w:eastAsia="pl-PL"/>
        </w:rPr>
      </w:pPr>
      <w:r w:rsidRPr="00EE0C8C">
        <w:rPr>
          <w:rFonts w:ascii="Calibri" w:eastAsia="Calibri" w:hAnsi="Calibri" w:cs="Times New Roman"/>
          <w:lang w:eastAsia="pl-PL"/>
        </w:rPr>
        <w:lastRenderedPageBreak/>
        <w:t>Młodzież, która udzieliła odpowiedzi TAK, uzasadniała ją w poniższy sposób:</w:t>
      </w:r>
    </w:p>
    <w:p w:rsidR="00EE0C8C" w:rsidRPr="00EE0C8C" w:rsidRDefault="00EE0C8C" w:rsidP="00EE0C8C">
      <w:pPr>
        <w:jc w:val="center"/>
        <w:rPr>
          <w:rFonts w:ascii="Calibri" w:eastAsia="Calibri" w:hAnsi="Calibri" w:cs="Times New Roman"/>
          <w:lang w:eastAsia="pl-PL"/>
        </w:rPr>
      </w:pPr>
      <w:r w:rsidRPr="00EE0C8C">
        <w:rPr>
          <w:rFonts w:ascii="Calibri" w:eastAsia="Times New Roman" w:hAnsi="Calibri" w:cs="Times New Roman"/>
          <w:noProof/>
          <w:lang w:eastAsia="pl-PL"/>
        </w:rPr>
        <w:drawing>
          <wp:inline distT="0" distB="0" distL="0" distR="0" wp14:anchorId="1C652FB5" wp14:editId="70E3FECE">
            <wp:extent cx="5053882" cy="3999506"/>
            <wp:effectExtent l="19050" t="0" r="0" b="0"/>
            <wp:docPr id="28" name="Wykres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EE0C8C" w:rsidRPr="00EE0C8C" w:rsidRDefault="00EE0C8C" w:rsidP="00DC61B1">
      <w:pPr>
        <w:numPr>
          <w:ilvl w:val="0"/>
          <w:numId w:val="31"/>
        </w:numPr>
        <w:ind w:left="284" w:hanging="284"/>
        <w:contextualSpacing/>
        <w:rPr>
          <w:rFonts w:ascii="Calibri" w:eastAsia="Calibri" w:hAnsi="Calibri" w:cs="Times New Roman"/>
        </w:rPr>
      </w:pPr>
      <w:r w:rsidRPr="00EE0C8C">
        <w:rPr>
          <w:rFonts w:ascii="Calibri" w:eastAsia="Calibri" w:hAnsi="Calibri" w:cs="Times New Roman"/>
        </w:rPr>
        <w:t xml:space="preserve">Czy młodzi ludzie mają atrakcyjną ofertę spędzenia wolnego czasu w  centrum   Mirca? </w:t>
      </w:r>
    </w:p>
    <w:p w:rsidR="00EE0C8C" w:rsidRPr="00EE0C8C" w:rsidRDefault="00EE0C8C" w:rsidP="00EE0C8C">
      <w:pPr>
        <w:contextualSpacing/>
        <w:jc w:val="center"/>
        <w:rPr>
          <w:rFonts w:ascii="Calibri" w:eastAsia="Calibri" w:hAnsi="Calibri" w:cs="Times New Roman"/>
        </w:rPr>
      </w:pPr>
      <w:r w:rsidRPr="00EE0C8C">
        <w:rPr>
          <w:rFonts w:ascii="Calibri" w:eastAsia="Calibri" w:hAnsi="Calibri" w:cs="Times New Roman"/>
          <w:noProof/>
          <w:lang w:eastAsia="pl-PL"/>
        </w:rPr>
        <w:drawing>
          <wp:inline distT="0" distB="0" distL="0" distR="0" wp14:anchorId="75B30CAF" wp14:editId="70FA8C55">
            <wp:extent cx="4218995" cy="3832528"/>
            <wp:effectExtent l="19050" t="0" r="0" b="0"/>
            <wp:docPr id="29" name="Wykres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547550" w:rsidRDefault="00547550" w:rsidP="00EE0C8C">
      <w:pPr>
        <w:contextualSpacing/>
        <w:rPr>
          <w:rFonts w:ascii="Calibri" w:eastAsia="Calibri" w:hAnsi="Calibri" w:cs="Times New Roman"/>
        </w:rPr>
      </w:pPr>
    </w:p>
    <w:p w:rsidR="00EE0C8C" w:rsidRPr="00EE0C8C" w:rsidRDefault="00EE0C8C" w:rsidP="00EE0C8C">
      <w:pPr>
        <w:contextualSpacing/>
        <w:rPr>
          <w:rFonts w:ascii="Calibri" w:eastAsia="Calibri" w:hAnsi="Calibri" w:cs="Times New Roman"/>
        </w:rPr>
      </w:pPr>
      <w:r w:rsidRPr="00EE0C8C">
        <w:rPr>
          <w:rFonts w:ascii="Calibri" w:eastAsia="Calibri" w:hAnsi="Calibri" w:cs="Times New Roman"/>
        </w:rPr>
        <w:lastRenderedPageBreak/>
        <w:t>Młodzież, która udzieliła odpowiedzi TAK, uzasadniała ją w poniższy sposób:</w:t>
      </w:r>
    </w:p>
    <w:p w:rsidR="00EE0C8C" w:rsidRPr="00EE0C8C" w:rsidRDefault="00EE0C8C" w:rsidP="00EE0C8C">
      <w:pPr>
        <w:contextualSpacing/>
        <w:rPr>
          <w:rFonts w:ascii="Calibri" w:eastAsia="Calibri" w:hAnsi="Calibri" w:cs="Times New Roman"/>
        </w:rPr>
      </w:pPr>
    </w:p>
    <w:p w:rsidR="00EE0C8C" w:rsidRPr="00EE0C8C" w:rsidRDefault="00EE0C8C" w:rsidP="00EE0C8C">
      <w:pPr>
        <w:contextualSpacing/>
        <w:jc w:val="center"/>
        <w:rPr>
          <w:rFonts w:ascii="Calibri" w:eastAsia="Calibri" w:hAnsi="Calibri" w:cs="Times New Roman"/>
        </w:rPr>
      </w:pPr>
      <w:r w:rsidRPr="00EE0C8C">
        <w:rPr>
          <w:rFonts w:ascii="Calibri" w:eastAsia="Calibri" w:hAnsi="Calibri" w:cs="Times New Roman"/>
          <w:noProof/>
          <w:lang w:eastAsia="pl-PL"/>
        </w:rPr>
        <w:drawing>
          <wp:inline distT="0" distB="0" distL="0" distR="0" wp14:anchorId="56E69555" wp14:editId="66FBD2D7">
            <wp:extent cx="5507106" cy="3283889"/>
            <wp:effectExtent l="19050" t="0" r="0" b="0"/>
            <wp:docPr id="30" name="Wykres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EE0C8C" w:rsidRPr="00EE0C8C" w:rsidRDefault="00EE0C8C" w:rsidP="00DC61B1">
      <w:pPr>
        <w:numPr>
          <w:ilvl w:val="0"/>
          <w:numId w:val="31"/>
        </w:numPr>
        <w:ind w:left="284" w:hanging="284"/>
        <w:contextualSpacing/>
        <w:rPr>
          <w:rFonts w:ascii="Calibri" w:eastAsia="Calibri" w:hAnsi="Calibri" w:cs="Times New Roman"/>
        </w:rPr>
      </w:pPr>
      <w:r w:rsidRPr="00EE0C8C">
        <w:rPr>
          <w:rFonts w:ascii="Calibri" w:eastAsia="Calibri" w:hAnsi="Calibri" w:cs="Times New Roman"/>
        </w:rPr>
        <w:t xml:space="preserve">O jakiej gminie marzysz? Proszę podać, co zmieniłbyś/zmieniłabyś w centrum Mirca zasiadając </w:t>
      </w:r>
      <w:r w:rsidRPr="00EE0C8C">
        <w:rPr>
          <w:rFonts w:ascii="Calibri" w:eastAsia="Calibri" w:hAnsi="Calibri" w:cs="Times New Roman"/>
        </w:rPr>
        <w:br/>
        <w:t>w fotelu Wójta Gminy Mirzec?</w:t>
      </w:r>
    </w:p>
    <w:p w:rsidR="00EE0C8C" w:rsidRPr="00EE0C8C" w:rsidRDefault="00EE0C8C" w:rsidP="00EE0C8C">
      <w:pPr>
        <w:contextualSpacing/>
        <w:jc w:val="center"/>
        <w:rPr>
          <w:rFonts w:ascii="Calibri" w:eastAsia="Calibri" w:hAnsi="Calibri" w:cs="Times New Roman"/>
        </w:rPr>
      </w:pPr>
      <w:r w:rsidRPr="00EE0C8C">
        <w:rPr>
          <w:rFonts w:ascii="Calibri" w:eastAsia="Calibri" w:hAnsi="Calibri" w:cs="Times New Roman"/>
          <w:noProof/>
          <w:lang w:eastAsia="pl-PL"/>
        </w:rPr>
        <w:lastRenderedPageBreak/>
        <w:drawing>
          <wp:inline distT="0" distB="0" distL="0" distR="0" wp14:anchorId="65D470B3" wp14:editId="21F460C4">
            <wp:extent cx="5888769" cy="4651513"/>
            <wp:effectExtent l="19050" t="0" r="0" b="0"/>
            <wp:docPr id="31" name="Wykres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EE0C8C" w:rsidRPr="00EE0C8C" w:rsidRDefault="00EE0C8C" w:rsidP="00DC61B1">
      <w:pPr>
        <w:numPr>
          <w:ilvl w:val="0"/>
          <w:numId w:val="31"/>
        </w:numPr>
        <w:ind w:left="284" w:hanging="284"/>
        <w:contextualSpacing/>
        <w:rPr>
          <w:rFonts w:ascii="Calibri" w:eastAsia="Calibri" w:hAnsi="Calibri" w:cs="Times New Roman"/>
        </w:rPr>
      </w:pPr>
      <w:r w:rsidRPr="00EE0C8C">
        <w:rPr>
          <w:rFonts w:ascii="Calibri" w:eastAsia="Calibri" w:hAnsi="Calibri" w:cs="Times New Roman"/>
        </w:rPr>
        <w:t>Jakie widzisz inne ważne problemy do rozwiązania w centrum Mirca?</w:t>
      </w:r>
    </w:p>
    <w:p w:rsidR="00EE0C8C" w:rsidRPr="00EE0C8C" w:rsidRDefault="00EE0C8C" w:rsidP="00EE0C8C">
      <w:pPr>
        <w:ind w:left="1494"/>
        <w:contextualSpacing/>
        <w:rPr>
          <w:rFonts w:ascii="Calibri" w:eastAsia="Calibri" w:hAnsi="Calibri" w:cs="Times New Roman"/>
        </w:rPr>
      </w:pPr>
      <w:r w:rsidRPr="00EE0C8C">
        <w:rPr>
          <w:rFonts w:ascii="Calibri" w:eastAsia="Times New Roman" w:hAnsi="Calibri" w:cs="Times New Roman"/>
          <w:noProof/>
          <w:lang w:eastAsia="pl-PL"/>
        </w:rPr>
        <w:lastRenderedPageBreak/>
        <w:drawing>
          <wp:anchor distT="0" distB="0" distL="114300" distR="114300" simplePos="0" relativeHeight="251665408" behindDoc="0" locked="0" layoutInCell="1" allowOverlap="1" wp14:anchorId="3730FB99" wp14:editId="6D30DF7E">
            <wp:simplePos x="0" y="0"/>
            <wp:positionH relativeFrom="margin">
              <wp:posOffset>-504190</wp:posOffset>
            </wp:positionH>
            <wp:positionV relativeFrom="margin">
              <wp:posOffset>351790</wp:posOffset>
            </wp:positionV>
            <wp:extent cx="6930390" cy="4150360"/>
            <wp:effectExtent l="0" t="0" r="3810" b="2540"/>
            <wp:wrapSquare wrapText="bothSides"/>
            <wp:docPr id="32" name="Wykres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p>
    <w:p w:rsidR="00EE0C8C" w:rsidRPr="00EE0C8C" w:rsidRDefault="00EE0C8C" w:rsidP="00EE0C8C">
      <w:pPr>
        <w:widowControl w:val="0"/>
        <w:suppressLineNumbers/>
        <w:suppressAutoHyphens/>
        <w:autoSpaceDN w:val="0"/>
        <w:spacing w:after="0" w:line="240" w:lineRule="auto"/>
        <w:jc w:val="center"/>
        <w:textAlignment w:val="baseline"/>
        <w:rPr>
          <w:rFonts w:ascii="Liberation Serif" w:eastAsia="SimSun" w:hAnsi="Liberation Serif" w:cs="Mangal"/>
          <w:kern w:val="3"/>
          <w:sz w:val="18"/>
          <w:szCs w:val="18"/>
          <w:lang w:eastAsia="zh-CN" w:bidi="hi-IN"/>
        </w:rPr>
      </w:pPr>
    </w:p>
    <w:p w:rsidR="00EE0C8C" w:rsidRPr="00EE0C8C" w:rsidRDefault="00EE0C8C" w:rsidP="00EE0C8C">
      <w:pPr>
        <w:rPr>
          <w:rFonts w:ascii="Calibri" w:eastAsia="Times New Roman" w:hAnsi="Calibri" w:cs="Times New Roman"/>
          <w:lang w:eastAsia="pl-PL"/>
        </w:rPr>
      </w:pPr>
    </w:p>
    <w:p w:rsidR="00EE0C8C" w:rsidRPr="00EE0C8C" w:rsidRDefault="00EE0C8C" w:rsidP="00EE0C8C"/>
    <w:p w:rsidR="00EE0C8C" w:rsidRDefault="00EE0C8C" w:rsidP="00EE0C8C">
      <w:pPr>
        <w:rPr>
          <w:lang w:eastAsia="pl-PL"/>
        </w:rPr>
      </w:pPr>
      <w:r>
        <w:rPr>
          <w:lang w:eastAsia="pl-PL"/>
        </w:rPr>
        <w:br w:type="page"/>
      </w:r>
    </w:p>
    <w:p w:rsidR="00CD1523" w:rsidRDefault="00CD1523" w:rsidP="008903A4">
      <w:pPr>
        <w:pStyle w:val="Nagwek2"/>
        <w:rPr>
          <w:rFonts w:eastAsiaTheme="minorEastAsia"/>
          <w:sz w:val="56"/>
          <w:u w:val="single"/>
          <w:lang w:eastAsia="pl-PL"/>
        </w:rPr>
        <w:sectPr w:rsidR="00CD1523" w:rsidSect="00A76BDB">
          <w:pgSz w:w="11906" w:h="16838"/>
          <w:pgMar w:top="1417" w:right="1417" w:bottom="1417" w:left="1417" w:header="708" w:footer="708" w:gutter="0"/>
          <w:cols w:space="708"/>
          <w:docGrid w:linePitch="360"/>
        </w:sectPr>
      </w:pPr>
    </w:p>
    <w:p w:rsidR="00CD1523" w:rsidRDefault="00CD1523" w:rsidP="008903A4">
      <w:pPr>
        <w:pStyle w:val="Nagwek2"/>
        <w:rPr>
          <w:rFonts w:eastAsiaTheme="minorEastAsia"/>
          <w:sz w:val="56"/>
          <w:u w:val="single"/>
          <w:lang w:eastAsia="pl-PL"/>
        </w:rPr>
        <w:sectPr w:rsidR="00CD1523" w:rsidSect="00A76BDB">
          <w:pgSz w:w="11906" w:h="16838"/>
          <w:pgMar w:top="1417" w:right="1417" w:bottom="1417" w:left="1417" w:header="708" w:footer="708" w:gutter="0"/>
          <w:cols w:space="708"/>
          <w:docGrid w:linePitch="360"/>
        </w:sectPr>
      </w:pPr>
    </w:p>
    <w:p w:rsidR="00EE0C8C" w:rsidRPr="008903A4" w:rsidRDefault="00EE0C8C" w:rsidP="008903A4">
      <w:pPr>
        <w:pStyle w:val="Nagwek2"/>
        <w:rPr>
          <w:rFonts w:eastAsiaTheme="minorEastAsia"/>
          <w:sz w:val="56"/>
          <w:u w:val="single"/>
          <w:lang w:eastAsia="pl-PL"/>
        </w:rPr>
      </w:pPr>
      <w:bookmarkStart w:id="93" w:name="_Toc450562502"/>
      <w:r w:rsidRPr="008903A4">
        <w:rPr>
          <w:rFonts w:eastAsiaTheme="minorEastAsia"/>
          <w:sz w:val="56"/>
          <w:u w:val="single"/>
          <w:lang w:eastAsia="pl-PL"/>
        </w:rPr>
        <w:lastRenderedPageBreak/>
        <w:t>ROZDZIAŁ IV</w:t>
      </w:r>
      <w:bookmarkEnd w:id="93"/>
    </w:p>
    <w:p w:rsidR="00EE0C8C" w:rsidRDefault="00EE0C8C" w:rsidP="00A76BDB">
      <w:pPr>
        <w:pStyle w:val="Nagwek2"/>
        <w:rPr>
          <w:rFonts w:eastAsiaTheme="minorEastAsia"/>
          <w:lang w:eastAsia="pl-PL"/>
        </w:rPr>
      </w:pPr>
      <w:bookmarkStart w:id="94" w:name="_Toc450562503"/>
      <w:r w:rsidRPr="00EE0C8C">
        <w:rPr>
          <w:rFonts w:eastAsiaTheme="minorEastAsia"/>
          <w:lang w:eastAsia="pl-PL"/>
        </w:rPr>
        <w:t>ANALIZA SWOT DLA POSZCZEGÓLNYCH SFER ŻYCIA GMINY – PRZESTRZENNEJ., GOSPODARCZEJ I SPOŁECZNEJ.</w:t>
      </w:r>
      <w:bookmarkEnd w:id="94"/>
    </w:p>
    <w:p w:rsidR="00A76BDB" w:rsidRPr="00A76BDB" w:rsidRDefault="00A76BDB" w:rsidP="00A76BDB">
      <w:pPr>
        <w:rPr>
          <w:lang w:eastAsia="pl-PL"/>
        </w:rPr>
      </w:pPr>
    </w:p>
    <w:p w:rsidR="00EE0C8C" w:rsidRPr="00EE0C8C" w:rsidRDefault="00EE0C8C" w:rsidP="00EE0C8C">
      <w:pPr>
        <w:contextualSpacing/>
        <w:jc w:val="both"/>
      </w:pPr>
      <w:r w:rsidRPr="00EE0C8C">
        <w:t>SWOT to jedna z najpopularniejszych heurystycznych technik analitycznych, służąca do porządkowania informacji. Bywa stosowana we wszystkich obszarach planowania strategicznego, jako uniwersalne narzędzie pierwszego etapu analizy strategicznej. Np. w naukach ekonomicznych jest stosowana do analizy wewnętrznego i zewnętrznego środowiska danej organizacji (np. przedsiębiorstwa), analizy danego projektu, rozwiązania biznesowego itp.</w:t>
      </w:r>
    </w:p>
    <w:p w:rsidR="00EE0C8C" w:rsidRPr="00EE0C8C" w:rsidRDefault="00EE0C8C" w:rsidP="00EE0C8C">
      <w:pPr>
        <w:contextualSpacing/>
        <w:jc w:val="both"/>
      </w:pPr>
    </w:p>
    <w:p w:rsidR="00EE0C8C" w:rsidRPr="00EE0C8C" w:rsidRDefault="00EE0C8C" w:rsidP="00EE0C8C">
      <w:pPr>
        <w:contextualSpacing/>
        <w:jc w:val="both"/>
      </w:pPr>
      <w:r w:rsidRPr="00EE0C8C">
        <w:t>Technika analityczna SWOT polega na posegregowaniu posiadanych informacji o danej sprawie na cztery grupy (cztery kategorie czynników strategicznych).</w:t>
      </w:r>
    </w:p>
    <w:p w:rsidR="00EE0C8C" w:rsidRPr="00EE0C8C" w:rsidRDefault="00EE0C8C" w:rsidP="00EE0C8C">
      <w:pPr>
        <w:contextualSpacing/>
        <w:jc w:val="both"/>
      </w:pPr>
    </w:p>
    <w:p w:rsidR="00EE0C8C" w:rsidRPr="00EE0C8C" w:rsidRDefault="00EE0C8C" w:rsidP="00EE0C8C">
      <w:pPr>
        <w:contextualSpacing/>
        <w:jc w:val="both"/>
      </w:pPr>
      <w:r w:rsidRPr="00EE0C8C">
        <w:t>STRENGTHS (mocne strony gminy, które należycie wykorzystane będą sprzyjać jej rozwojowi,</w:t>
      </w:r>
      <w:r w:rsidRPr="00EE0C8C">
        <w:br/>
        <w:t>a w chwili obecnej pozytywnie wyróżniające gminę w otoczeniu; są przewagą w stosunku do „konkurencji”).</w:t>
      </w:r>
    </w:p>
    <w:p w:rsidR="00EE0C8C" w:rsidRPr="00EE0C8C" w:rsidRDefault="00EE0C8C" w:rsidP="00EE0C8C">
      <w:pPr>
        <w:contextualSpacing/>
        <w:jc w:val="both"/>
      </w:pPr>
    </w:p>
    <w:p w:rsidR="00EE0C8C" w:rsidRPr="00EE0C8C" w:rsidRDefault="00EE0C8C" w:rsidP="00EE0C8C">
      <w:pPr>
        <w:contextualSpacing/>
        <w:jc w:val="both"/>
      </w:pPr>
      <w:r w:rsidRPr="00EE0C8C">
        <w:t>WEAKNESSES (słabe strony gminy, których nie wyeliminowanie bądź nie zniwelowanie siły ich oddziaływania będzie hamować rozwój gminy; mogą nimi być: być brak wystarczających kwalifikacji, podziału zadań, złej organizacji pracy lub brak innych zasobów).</w:t>
      </w:r>
    </w:p>
    <w:p w:rsidR="00EE0C8C" w:rsidRPr="00EE0C8C" w:rsidRDefault="00EE0C8C" w:rsidP="00EE0C8C">
      <w:pPr>
        <w:contextualSpacing/>
        <w:jc w:val="both"/>
      </w:pPr>
    </w:p>
    <w:p w:rsidR="00EE0C8C" w:rsidRPr="00EE0C8C" w:rsidRDefault="00EE0C8C" w:rsidP="00EE0C8C">
      <w:pPr>
        <w:contextualSpacing/>
        <w:jc w:val="both"/>
      </w:pPr>
      <w:r w:rsidRPr="00EE0C8C">
        <w:t>OPPORTUNITIES (szanse – uwarunkowania, które przy umiejętnym wykorzystaniu mogą wpływać pozytywnie na rozwój gminy).</w:t>
      </w:r>
    </w:p>
    <w:p w:rsidR="00EE0C8C" w:rsidRPr="00EE0C8C" w:rsidRDefault="00EE0C8C" w:rsidP="00EE0C8C">
      <w:pPr>
        <w:contextualSpacing/>
        <w:jc w:val="both"/>
      </w:pPr>
    </w:p>
    <w:p w:rsidR="00EE0C8C" w:rsidRPr="00EE0C8C" w:rsidRDefault="00EE0C8C" w:rsidP="00EE0C8C">
      <w:pPr>
        <w:contextualSpacing/>
        <w:jc w:val="both"/>
      </w:pPr>
      <w:r w:rsidRPr="00EE0C8C">
        <w:t>THREATS (zagrożenia – czynniki obecnie nie paraliżujące funkcjonowania gminy, ale mogące być zagrożeniem w przyszłości dla sprawności gminy).</w:t>
      </w:r>
    </w:p>
    <w:p w:rsidR="00EE0C8C" w:rsidRPr="00EE0C8C" w:rsidRDefault="00EE0C8C" w:rsidP="00EE0C8C">
      <w:pPr>
        <w:ind w:firstLine="1134"/>
        <w:contextualSpacing/>
        <w:jc w:val="both"/>
      </w:pPr>
    </w:p>
    <w:tbl>
      <w:tblPr>
        <w:tblStyle w:val="Jasnasiatkaakcent51"/>
        <w:tblW w:w="0" w:type="auto"/>
        <w:tblLook w:val="04A0" w:firstRow="1" w:lastRow="0" w:firstColumn="1" w:lastColumn="0" w:noHBand="0" w:noVBand="1"/>
      </w:tblPr>
      <w:tblGrid>
        <w:gridCol w:w="2302"/>
        <w:gridCol w:w="2302"/>
        <w:gridCol w:w="2303"/>
        <w:gridCol w:w="2303"/>
      </w:tblGrid>
      <w:tr w:rsidR="00EE0C8C" w:rsidRPr="00EE0C8C" w:rsidTr="00A76B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rsidR="00EE0C8C" w:rsidRPr="00EE0C8C" w:rsidRDefault="00EE0C8C" w:rsidP="00EE0C8C">
            <w:pPr>
              <w:jc w:val="both"/>
              <w:rPr>
                <w:rFonts w:ascii="Calibri" w:hAnsi="Calibri" w:cs="Calibri"/>
              </w:rPr>
            </w:pPr>
            <w:r w:rsidRPr="00EE0C8C">
              <w:rPr>
                <w:rFonts w:ascii="Calibri" w:hAnsi="Calibri" w:cs="Calibri"/>
              </w:rPr>
              <w:t>STRENGHTS</w:t>
            </w:r>
          </w:p>
        </w:tc>
        <w:tc>
          <w:tcPr>
            <w:tcW w:w="2302" w:type="dxa"/>
          </w:tcPr>
          <w:p w:rsidR="00EE0C8C" w:rsidRPr="00EE0C8C" w:rsidRDefault="00EE0C8C" w:rsidP="00EE0C8C">
            <w:pPr>
              <w:jc w:val="both"/>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E0C8C">
              <w:rPr>
                <w:rFonts w:ascii="Calibri" w:hAnsi="Calibri" w:cs="Calibri"/>
              </w:rPr>
              <w:t>SILNE STRONY</w:t>
            </w:r>
          </w:p>
        </w:tc>
        <w:tc>
          <w:tcPr>
            <w:tcW w:w="2303" w:type="dxa"/>
          </w:tcPr>
          <w:p w:rsidR="00EE0C8C" w:rsidRPr="00EE0C8C" w:rsidRDefault="00EE0C8C" w:rsidP="00EE0C8C">
            <w:pPr>
              <w:jc w:val="both"/>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E0C8C">
              <w:rPr>
                <w:rFonts w:ascii="Calibri" w:hAnsi="Calibri" w:cs="Calibri"/>
              </w:rPr>
              <w:t>Atuty</w:t>
            </w:r>
          </w:p>
        </w:tc>
        <w:tc>
          <w:tcPr>
            <w:tcW w:w="2303" w:type="dxa"/>
          </w:tcPr>
          <w:p w:rsidR="00EE0C8C" w:rsidRPr="00EE0C8C" w:rsidRDefault="00EE0C8C" w:rsidP="00EE0C8C">
            <w:pPr>
              <w:jc w:val="both"/>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E0C8C">
              <w:rPr>
                <w:rFonts w:ascii="Calibri" w:hAnsi="Calibri" w:cs="Calibri"/>
              </w:rPr>
              <w:t>Zasoby gminy</w:t>
            </w:r>
          </w:p>
        </w:tc>
      </w:tr>
      <w:tr w:rsidR="00EE0C8C" w:rsidRPr="00EE0C8C" w:rsidTr="00A76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rsidR="00EE0C8C" w:rsidRPr="00EE0C8C" w:rsidRDefault="00EE0C8C" w:rsidP="00EE0C8C">
            <w:pPr>
              <w:jc w:val="both"/>
              <w:rPr>
                <w:rFonts w:ascii="Calibri" w:hAnsi="Calibri" w:cs="Calibri"/>
              </w:rPr>
            </w:pPr>
            <w:r w:rsidRPr="00EE0C8C">
              <w:rPr>
                <w:rFonts w:ascii="Calibri" w:hAnsi="Calibri" w:cs="Calibri"/>
              </w:rPr>
              <w:t>WEAKNESSES</w:t>
            </w:r>
          </w:p>
        </w:tc>
        <w:tc>
          <w:tcPr>
            <w:tcW w:w="2302" w:type="dxa"/>
          </w:tcPr>
          <w:p w:rsidR="00EE0C8C" w:rsidRPr="00EE0C8C" w:rsidRDefault="00EE0C8C" w:rsidP="00EE0C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E0C8C">
              <w:rPr>
                <w:rFonts w:ascii="Calibri" w:hAnsi="Calibri" w:cs="Calibri"/>
              </w:rPr>
              <w:t>SŁABE STRONY</w:t>
            </w:r>
          </w:p>
        </w:tc>
        <w:tc>
          <w:tcPr>
            <w:tcW w:w="2303" w:type="dxa"/>
          </w:tcPr>
          <w:p w:rsidR="00EE0C8C" w:rsidRPr="00EE0C8C" w:rsidRDefault="00EE0C8C" w:rsidP="00EE0C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E0C8C">
              <w:rPr>
                <w:rFonts w:ascii="Calibri" w:hAnsi="Calibri" w:cs="Calibri"/>
              </w:rPr>
              <w:t>Wady/Słabości</w:t>
            </w:r>
          </w:p>
        </w:tc>
        <w:tc>
          <w:tcPr>
            <w:tcW w:w="2303" w:type="dxa"/>
          </w:tcPr>
          <w:p w:rsidR="00EE0C8C" w:rsidRPr="00EE0C8C" w:rsidRDefault="00EE0C8C" w:rsidP="00EE0C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E0C8C">
              <w:rPr>
                <w:rFonts w:ascii="Calibri" w:hAnsi="Calibri" w:cs="Calibri"/>
              </w:rPr>
              <w:t>Zasoby gminy</w:t>
            </w:r>
          </w:p>
        </w:tc>
      </w:tr>
      <w:tr w:rsidR="00EE0C8C" w:rsidRPr="00EE0C8C" w:rsidTr="00A76B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rsidR="00EE0C8C" w:rsidRPr="00EE0C8C" w:rsidRDefault="00EE0C8C" w:rsidP="00EE0C8C">
            <w:pPr>
              <w:jc w:val="both"/>
              <w:rPr>
                <w:rFonts w:ascii="Calibri" w:hAnsi="Calibri" w:cs="Calibri"/>
              </w:rPr>
            </w:pPr>
            <w:r w:rsidRPr="00EE0C8C">
              <w:rPr>
                <w:rFonts w:ascii="Calibri" w:hAnsi="Calibri" w:cs="Calibri"/>
              </w:rPr>
              <w:t>OPPORTUNITIES</w:t>
            </w:r>
          </w:p>
        </w:tc>
        <w:tc>
          <w:tcPr>
            <w:tcW w:w="2302" w:type="dxa"/>
          </w:tcPr>
          <w:p w:rsidR="00EE0C8C" w:rsidRPr="00EE0C8C" w:rsidRDefault="00EE0C8C" w:rsidP="00EE0C8C">
            <w:pPr>
              <w:jc w:val="both"/>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EE0C8C">
              <w:rPr>
                <w:rFonts w:ascii="Calibri" w:hAnsi="Calibri" w:cs="Calibri"/>
              </w:rPr>
              <w:t>SZANSE</w:t>
            </w:r>
          </w:p>
        </w:tc>
        <w:tc>
          <w:tcPr>
            <w:tcW w:w="2303" w:type="dxa"/>
          </w:tcPr>
          <w:p w:rsidR="00EE0C8C" w:rsidRPr="00EE0C8C" w:rsidRDefault="00EE0C8C" w:rsidP="00EE0C8C">
            <w:pPr>
              <w:jc w:val="both"/>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EE0C8C">
              <w:rPr>
                <w:rFonts w:ascii="Calibri" w:hAnsi="Calibri" w:cs="Calibri"/>
              </w:rPr>
              <w:t>Okazje/Możliwości</w:t>
            </w:r>
          </w:p>
        </w:tc>
        <w:tc>
          <w:tcPr>
            <w:tcW w:w="2303" w:type="dxa"/>
          </w:tcPr>
          <w:p w:rsidR="00EE0C8C" w:rsidRPr="00EE0C8C" w:rsidRDefault="00EE0C8C" w:rsidP="00EE0C8C">
            <w:pPr>
              <w:jc w:val="both"/>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EE0C8C">
              <w:rPr>
                <w:rFonts w:ascii="Calibri" w:hAnsi="Calibri" w:cs="Calibri"/>
              </w:rPr>
              <w:t>Otoczenie gminy</w:t>
            </w:r>
          </w:p>
        </w:tc>
      </w:tr>
      <w:tr w:rsidR="00EE0C8C" w:rsidRPr="00EE0C8C" w:rsidTr="00A76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rsidR="00EE0C8C" w:rsidRPr="00EE0C8C" w:rsidRDefault="00EE0C8C" w:rsidP="00EE0C8C">
            <w:pPr>
              <w:jc w:val="both"/>
              <w:rPr>
                <w:rFonts w:ascii="Calibri" w:hAnsi="Calibri" w:cs="Calibri"/>
              </w:rPr>
            </w:pPr>
            <w:r w:rsidRPr="00EE0C8C">
              <w:rPr>
                <w:rFonts w:ascii="Calibri" w:hAnsi="Calibri" w:cs="Calibri"/>
              </w:rPr>
              <w:t>THREATS</w:t>
            </w:r>
          </w:p>
        </w:tc>
        <w:tc>
          <w:tcPr>
            <w:tcW w:w="2302" w:type="dxa"/>
          </w:tcPr>
          <w:p w:rsidR="00EE0C8C" w:rsidRPr="00EE0C8C" w:rsidRDefault="00EE0C8C" w:rsidP="00EE0C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E0C8C">
              <w:rPr>
                <w:rFonts w:ascii="Calibri" w:hAnsi="Calibri" w:cs="Calibri"/>
              </w:rPr>
              <w:t>ZAGROŻENIA</w:t>
            </w:r>
          </w:p>
        </w:tc>
        <w:tc>
          <w:tcPr>
            <w:tcW w:w="2303" w:type="dxa"/>
          </w:tcPr>
          <w:p w:rsidR="00EE0C8C" w:rsidRPr="00EE0C8C" w:rsidRDefault="00EE0C8C" w:rsidP="00EE0C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E0C8C">
              <w:rPr>
                <w:rFonts w:ascii="Calibri" w:hAnsi="Calibri" w:cs="Calibri"/>
              </w:rPr>
              <w:t>Trudności</w:t>
            </w:r>
          </w:p>
        </w:tc>
        <w:tc>
          <w:tcPr>
            <w:tcW w:w="2303" w:type="dxa"/>
          </w:tcPr>
          <w:p w:rsidR="00EE0C8C" w:rsidRPr="00EE0C8C" w:rsidRDefault="00EE0C8C" w:rsidP="00EE0C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E0C8C">
              <w:rPr>
                <w:rFonts w:ascii="Calibri" w:hAnsi="Calibri" w:cs="Calibri"/>
              </w:rPr>
              <w:t>Otoczenie gminy</w:t>
            </w:r>
          </w:p>
        </w:tc>
      </w:tr>
    </w:tbl>
    <w:p w:rsidR="00EE0C8C" w:rsidRPr="00EE0C8C" w:rsidRDefault="00EE0C8C" w:rsidP="00EE0C8C">
      <w:pPr>
        <w:ind w:firstLine="1134"/>
        <w:contextualSpacing/>
        <w:jc w:val="both"/>
      </w:pPr>
    </w:p>
    <w:p w:rsidR="00EE0C8C" w:rsidRPr="00EE0C8C" w:rsidRDefault="00EE0C8C" w:rsidP="00C23CED">
      <w:pPr>
        <w:spacing w:after="0"/>
        <w:jc w:val="both"/>
        <w:rPr>
          <w:rFonts w:ascii="Calibri" w:eastAsia="Times New Roman" w:hAnsi="Calibri" w:cs="Times New Roman"/>
          <w:lang w:eastAsia="pl-PL"/>
        </w:rPr>
      </w:pPr>
      <w:r w:rsidRPr="00EE0C8C">
        <w:rPr>
          <w:rFonts w:ascii="Calibri" w:eastAsia="Times New Roman" w:hAnsi="Calibri" w:cs="Times New Roman"/>
          <w:lang w:eastAsia="pl-PL"/>
        </w:rPr>
        <w:t xml:space="preserve">Pierwszym elementem </w:t>
      </w:r>
      <w:r w:rsidRPr="00EE0C8C">
        <w:rPr>
          <w:rFonts w:ascii="Calibri" w:eastAsia="Times New Roman" w:hAnsi="Calibri" w:cs="Times New Roman"/>
          <w:b/>
          <w:lang w:eastAsia="pl-PL"/>
        </w:rPr>
        <w:t>analizy SWOT</w:t>
      </w:r>
      <w:r w:rsidRPr="00EE0C8C">
        <w:rPr>
          <w:rFonts w:ascii="Calibri" w:eastAsia="Times New Roman" w:hAnsi="Calibri" w:cs="Times New Roman"/>
          <w:lang w:eastAsia="pl-PL"/>
        </w:rPr>
        <w:t xml:space="preserve"> jest </w:t>
      </w:r>
      <w:r w:rsidRPr="00EE0C8C">
        <w:rPr>
          <w:rFonts w:ascii="Calibri" w:eastAsia="Times New Roman" w:hAnsi="Calibri" w:cs="Times New Roman"/>
          <w:b/>
          <w:lang w:eastAsia="pl-PL"/>
        </w:rPr>
        <w:t>ocena zasobów</w:t>
      </w:r>
      <w:r w:rsidRPr="00EE0C8C">
        <w:rPr>
          <w:rFonts w:ascii="Calibri" w:eastAsia="Times New Roman" w:hAnsi="Calibri" w:cs="Times New Roman"/>
          <w:lang w:eastAsia="pl-PL"/>
        </w:rPr>
        <w:t xml:space="preserve"> </w:t>
      </w:r>
      <w:r w:rsidRPr="00EE0C8C">
        <w:rPr>
          <w:rFonts w:ascii="Calibri" w:eastAsia="Times New Roman" w:hAnsi="Calibri" w:cs="Times New Roman"/>
          <w:b/>
          <w:bCs/>
          <w:lang w:eastAsia="pl-PL"/>
        </w:rPr>
        <w:t>gminy</w:t>
      </w:r>
      <w:r w:rsidRPr="00EE0C8C">
        <w:rPr>
          <w:rFonts w:ascii="Calibri" w:eastAsia="Times New Roman" w:hAnsi="Calibri" w:cs="Times New Roman"/>
          <w:lang w:eastAsia="pl-PL"/>
        </w:rPr>
        <w:t xml:space="preserve">, która pozwala na identyfikację jego mocnych i słabych stron. Ważnym aspektem tego typu analizy jest określenie </w:t>
      </w:r>
      <w:r w:rsidRPr="00EE0C8C">
        <w:rPr>
          <w:rFonts w:ascii="Calibri" w:eastAsia="Times New Roman" w:hAnsi="Calibri" w:cs="Times New Roman"/>
          <w:b/>
          <w:lang w:eastAsia="pl-PL"/>
        </w:rPr>
        <w:t>zasobów charakterystycznych dla</w:t>
      </w:r>
      <w:r w:rsidRPr="00EE0C8C">
        <w:rPr>
          <w:rFonts w:ascii="Calibri" w:eastAsia="Times New Roman" w:hAnsi="Calibri" w:cs="Times New Roman"/>
          <w:lang w:eastAsia="pl-PL"/>
        </w:rPr>
        <w:t xml:space="preserve"> </w:t>
      </w:r>
      <w:r w:rsidRPr="00EE0C8C">
        <w:rPr>
          <w:rFonts w:ascii="Calibri" w:eastAsia="Times New Roman" w:hAnsi="Calibri" w:cs="Times New Roman"/>
          <w:b/>
          <w:bCs/>
          <w:lang w:eastAsia="pl-PL"/>
        </w:rPr>
        <w:t>gminy</w:t>
      </w:r>
      <w:r w:rsidRPr="00EE0C8C">
        <w:rPr>
          <w:rFonts w:ascii="Calibri" w:eastAsia="Times New Roman" w:hAnsi="Calibri" w:cs="Times New Roman"/>
          <w:lang w:eastAsia="pl-PL"/>
        </w:rPr>
        <w:t xml:space="preserve">. </w:t>
      </w:r>
    </w:p>
    <w:p w:rsidR="00C23CED" w:rsidRDefault="00C23CED" w:rsidP="00C23CED">
      <w:pPr>
        <w:spacing w:after="0"/>
        <w:jc w:val="both"/>
        <w:rPr>
          <w:rFonts w:ascii="Calibri" w:eastAsia="Times New Roman" w:hAnsi="Calibri" w:cs="Times New Roman"/>
          <w:lang w:eastAsia="pl-PL"/>
        </w:rPr>
      </w:pPr>
    </w:p>
    <w:p w:rsidR="00EE0C8C" w:rsidRDefault="00EE0C8C" w:rsidP="00C23CED">
      <w:pPr>
        <w:spacing w:after="0"/>
        <w:jc w:val="both"/>
        <w:rPr>
          <w:rFonts w:ascii="Calibri" w:eastAsia="Times New Roman" w:hAnsi="Calibri" w:cs="Times New Roman"/>
          <w:lang w:eastAsia="pl-PL"/>
        </w:rPr>
      </w:pPr>
      <w:r w:rsidRPr="00EE0C8C">
        <w:rPr>
          <w:rFonts w:ascii="Calibri" w:eastAsia="Times New Roman" w:hAnsi="Calibri" w:cs="Times New Roman"/>
          <w:lang w:eastAsia="pl-PL"/>
        </w:rPr>
        <w:t xml:space="preserve">Poznanie </w:t>
      </w:r>
      <w:r w:rsidRPr="00EE0C8C">
        <w:rPr>
          <w:rFonts w:ascii="Calibri" w:eastAsia="Times New Roman" w:hAnsi="Calibri" w:cs="Times New Roman"/>
          <w:b/>
          <w:lang w:eastAsia="pl-PL"/>
        </w:rPr>
        <w:t>szans i zagrożeń</w:t>
      </w:r>
      <w:r w:rsidRPr="00EE0C8C">
        <w:rPr>
          <w:rFonts w:ascii="Calibri" w:eastAsia="Times New Roman" w:hAnsi="Calibri" w:cs="Times New Roman"/>
          <w:lang w:eastAsia="pl-PL"/>
        </w:rPr>
        <w:t xml:space="preserve"> płynących z otoczenia stanowi drugi etap analizy SWOT. Późniejsza ich konfrontacja z wynikami zasobów danego obszaru prowadzi do określenia kierunków rozwoju. </w:t>
      </w:r>
      <w:r w:rsidRPr="00EE0C8C">
        <w:rPr>
          <w:rFonts w:ascii="Calibri" w:eastAsia="Times New Roman" w:hAnsi="Calibri" w:cs="Times New Roman"/>
          <w:b/>
          <w:lang w:eastAsia="pl-PL"/>
        </w:rPr>
        <w:t>Analizę SWOT najlepiej przeprowadzić strukturalnie, analizując poszczególne czynniki mające kluczowe znaczenie dla rozwoju gminy</w:t>
      </w:r>
      <w:r w:rsidRPr="00EE0C8C">
        <w:rPr>
          <w:rFonts w:ascii="Calibri" w:eastAsia="Times New Roman" w:hAnsi="Calibri" w:cs="Times New Roman"/>
          <w:lang w:eastAsia="pl-PL"/>
        </w:rPr>
        <w:t>.</w:t>
      </w:r>
    </w:p>
    <w:p w:rsidR="00CE0AE5" w:rsidRPr="00EE0C8C" w:rsidRDefault="00CE0AE5" w:rsidP="00EE0C8C">
      <w:pPr>
        <w:spacing w:after="0"/>
        <w:ind w:firstLine="1134"/>
        <w:jc w:val="both"/>
        <w:rPr>
          <w:rFonts w:ascii="Calibri" w:eastAsia="Times New Roman" w:hAnsi="Calibri" w:cs="Times New Roman"/>
          <w:lang w:eastAsia="pl-PL"/>
        </w:rPr>
      </w:pPr>
    </w:p>
    <w:p w:rsidR="00EE0C8C" w:rsidRPr="00EE0C8C" w:rsidRDefault="00EE0C8C" w:rsidP="00A76BDB">
      <w:pPr>
        <w:pStyle w:val="Nagwek2"/>
      </w:pPr>
      <w:bookmarkStart w:id="95" w:name="_Toc439157952"/>
      <w:bookmarkStart w:id="96" w:name="_Toc450562504"/>
      <w:r w:rsidRPr="00EE0C8C">
        <w:lastRenderedPageBreak/>
        <w:t>4.1. IDENTYFIKACJA PROBLEMÓW W OBSZARZE PRZESTRZENNYM</w:t>
      </w:r>
      <w:bookmarkEnd w:id="95"/>
      <w:bookmarkEnd w:id="96"/>
    </w:p>
    <w:p w:rsidR="00EE0C8C" w:rsidRPr="00EE0C8C" w:rsidRDefault="00EE0C8C" w:rsidP="00EE0C8C">
      <w:pPr>
        <w:spacing w:after="0"/>
        <w:rPr>
          <w:rFonts w:ascii="Calibri" w:eastAsia="Times New Roman" w:hAnsi="Calibri" w:cs="Times New Roman"/>
          <w:lang w:eastAsia="pl-PL"/>
        </w:rPr>
      </w:pPr>
    </w:p>
    <w:p w:rsidR="00EE0C8C" w:rsidRPr="00EE0C8C" w:rsidRDefault="00EE0C8C" w:rsidP="00EE0C8C">
      <w:pPr>
        <w:rPr>
          <w:rFonts w:ascii="Calibri" w:eastAsia="Times New Roman" w:hAnsi="Calibri" w:cs="Times New Roman"/>
          <w:lang w:eastAsia="pl-PL"/>
        </w:rPr>
      </w:pPr>
      <w:r w:rsidRPr="00EE0C8C">
        <w:rPr>
          <w:rFonts w:ascii="Calibri" w:eastAsia="Times New Roman" w:hAnsi="Calibri" w:cs="Times New Roman"/>
          <w:lang w:eastAsia="pl-PL"/>
        </w:rPr>
        <w:t>W Gminie Mirzec występują następujące problemy w obszarze przestrzennym:</w:t>
      </w:r>
    </w:p>
    <w:p w:rsidR="00EE0C8C" w:rsidRPr="00EE0C8C" w:rsidRDefault="00EE0C8C" w:rsidP="00F658DF">
      <w:pPr>
        <w:numPr>
          <w:ilvl w:val="0"/>
          <w:numId w:val="29"/>
        </w:numPr>
        <w:spacing w:after="120"/>
        <w:ind w:left="709" w:hanging="349"/>
        <w:contextualSpacing/>
        <w:jc w:val="both"/>
        <w:rPr>
          <w:rFonts w:ascii="Calibri" w:eastAsia="Calibri" w:hAnsi="Calibri" w:cs="Times New Roman"/>
        </w:rPr>
      </w:pPr>
      <w:r w:rsidRPr="00EE0C8C">
        <w:rPr>
          <w:rFonts w:ascii="Calibri" w:eastAsia="Calibri" w:hAnsi="Calibri" w:cs="Times New Roman"/>
        </w:rPr>
        <w:t>Dysproporcja w rozwoju sołectw,</w:t>
      </w:r>
    </w:p>
    <w:p w:rsidR="00EE0C8C" w:rsidRPr="00EE0C8C" w:rsidRDefault="00EE0C8C" w:rsidP="00F658DF">
      <w:pPr>
        <w:numPr>
          <w:ilvl w:val="0"/>
          <w:numId w:val="29"/>
        </w:numPr>
        <w:spacing w:after="120"/>
        <w:ind w:left="709" w:hanging="349"/>
        <w:contextualSpacing/>
        <w:jc w:val="both"/>
        <w:rPr>
          <w:rFonts w:ascii="Calibri" w:eastAsia="Calibri" w:hAnsi="Calibri" w:cs="Times New Roman"/>
        </w:rPr>
      </w:pPr>
      <w:r w:rsidRPr="00EE0C8C">
        <w:rPr>
          <w:rFonts w:ascii="Calibri" w:eastAsia="Calibri" w:hAnsi="Calibri" w:cs="Times New Roman"/>
        </w:rPr>
        <w:t>Niepełna infrastruktura sportowa – sale gimnastyczne,</w:t>
      </w:r>
    </w:p>
    <w:p w:rsidR="00EE0C8C" w:rsidRPr="00EE0C8C" w:rsidRDefault="00EE0C8C" w:rsidP="00F658DF">
      <w:pPr>
        <w:numPr>
          <w:ilvl w:val="0"/>
          <w:numId w:val="29"/>
        </w:numPr>
        <w:spacing w:after="120"/>
        <w:ind w:left="709" w:hanging="349"/>
        <w:contextualSpacing/>
        <w:jc w:val="both"/>
        <w:rPr>
          <w:rFonts w:ascii="Calibri" w:eastAsia="Calibri" w:hAnsi="Calibri" w:cs="Times New Roman"/>
        </w:rPr>
      </w:pPr>
      <w:r w:rsidRPr="00EE0C8C">
        <w:rPr>
          <w:rFonts w:ascii="Calibri" w:eastAsia="Calibri" w:hAnsi="Calibri" w:cs="Times New Roman"/>
        </w:rPr>
        <w:t>Niewystarczająca liczba chodników – obniżenie bezpieczeństwa pieszych,</w:t>
      </w:r>
    </w:p>
    <w:p w:rsidR="00EE0C8C" w:rsidRPr="00EE0C8C" w:rsidRDefault="00EE0C8C" w:rsidP="00F658DF">
      <w:pPr>
        <w:numPr>
          <w:ilvl w:val="0"/>
          <w:numId w:val="29"/>
        </w:numPr>
        <w:tabs>
          <w:tab w:val="left" w:pos="705"/>
        </w:tabs>
        <w:spacing w:after="120"/>
        <w:ind w:left="709" w:hanging="349"/>
        <w:contextualSpacing/>
        <w:jc w:val="both"/>
        <w:rPr>
          <w:rFonts w:ascii="Calibri" w:eastAsia="Calibri" w:hAnsi="Calibri" w:cs="Times New Roman"/>
        </w:rPr>
      </w:pPr>
      <w:r w:rsidRPr="00EE0C8C">
        <w:rPr>
          <w:rFonts w:ascii="Calibri" w:eastAsia="Calibri" w:hAnsi="Calibri" w:cs="Times New Roman"/>
        </w:rPr>
        <w:t>Brak ścieżek rowerowych,</w:t>
      </w:r>
    </w:p>
    <w:p w:rsidR="00EE0C8C" w:rsidRPr="00EE0C8C" w:rsidRDefault="00EE0C8C" w:rsidP="00F658DF">
      <w:pPr>
        <w:numPr>
          <w:ilvl w:val="0"/>
          <w:numId w:val="29"/>
        </w:numPr>
        <w:spacing w:after="120"/>
        <w:ind w:left="709" w:hanging="349"/>
        <w:contextualSpacing/>
        <w:jc w:val="both"/>
        <w:rPr>
          <w:rFonts w:ascii="Calibri" w:eastAsia="Calibri" w:hAnsi="Calibri" w:cs="Times New Roman"/>
        </w:rPr>
      </w:pPr>
      <w:r w:rsidRPr="00EE0C8C">
        <w:rPr>
          <w:rFonts w:ascii="Calibri" w:eastAsia="Calibri" w:hAnsi="Calibri" w:cs="Times New Roman"/>
        </w:rPr>
        <w:t>Niski standard dróg,</w:t>
      </w:r>
    </w:p>
    <w:p w:rsidR="00EE0C8C" w:rsidRPr="00EE0C8C" w:rsidRDefault="00EE0C8C" w:rsidP="00F658DF">
      <w:pPr>
        <w:numPr>
          <w:ilvl w:val="0"/>
          <w:numId w:val="29"/>
        </w:numPr>
        <w:spacing w:after="120"/>
        <w:ind w:left="709" w:hanging="349"/>
        <w:contextualSpacing/>
        <w:jc w:val="both"/>
        <w:rPr>
          <w:rFonts w:ascii="Calibri" w:eastAsia="Calibri" w:hAnsi="Calibri" w:cs="Times New Roman"/>
        </w:rPr>
      </w:pPr>
      <w:r w:rsidRPr="00EE0C8C">
        <w:rPr>
          <w:rFonts w:ascii="Calibri" w:eastAsia="Calibri" w:hAnsi="Calibri" w:cs="Times New Roman"/>
        </w:rPr>
        <w:t>Niedostatecznie oznakowanie drogowe,</w:t>
      </w:r>
    </w:p>
    <w:p w:rsidR="00EE0C8C" w:rsidRPr="00EE0C8C" w:rsidRDefault="00EE0C8C" w:rsidP="00F658DF">
      <w:pPr>
        <w:numPr>
          <w:ilvl w:val="0"/>
          <w:numId w:val="29"/>
        </w:numPr>
        <w:spacing w:after="120"/>
        <w:ind w:left="709" w:hanging="349"/>
        <w:contextualSpacing/>
        <w:jc w:val="both"/>
        <w:rPr>
          <w:rFonts w:ascii="Calibri" w:eastAsia="Calibri" w:hAnsi="Calibri" w:cs="Times New Roman"/>
        </w:rPr>
      </w:pPr>
      <w:r w:rsidRPr="00EE0C8C">
        <w:rPr>
          <w:rFonts w:ascii="Calibri" w:eastAsia="Calibri" w:hAnsi="Calibri" w:cs="Times New Roman"/>
        </w:rPr>
        <w:t>Niekorzystna struktura gospodarstw rolnych,</w:t>
      </w:r>
    </w:p>
    <w:p w:rsidR="00EE0C8C" w:rsidRDefault="00EE0C8C" w:rsidP="00F658DF">
      <w:pPr>
        <w:numPr>
          <w:ilvl w:val="0"/>
          <w:numId w:val="29"/>
        </w:numPr>
        <w:spacing w:after="120"/>
        <w:ind w:left="709" w:hanging="349"/>
        <w:contextualSpacing/>
        <w:jc w:val="both"/>
        <w:rPr>
          <w:rFonts w:ascii="Calibri" w:eastAsia="Calibri" w:hAnsi="Calibri" w:cs="Times New Roman"/>
        </w:rPr>
      </w:pPr>
      <w:r w:rsidRPr="00EE0C8C">
        <w:rPr>
          <w:rFonts w:ascii="Calibri" w:eastAsia="Calibri" w:hAnsi="Calibri" w:cs="Times New Roman"/>
        </w:rPr>
        <w:t>Niska jakość gleb,</w:t>
      </w:r>
    </w:p>
    <w:p w:rsidR="00E75EBD" w:rsidRPr="00EE0C8C" w:rsidRDefault="00E75EBD" w:rsidP="00F658DF">
      <w:pPr>
        <w:numPr>
          <w:ilvl w:val="0"/>
          <w:numId w:val="29"/>
        </w:numPr>
        <w:spacing w:after="120"/>
        <w:ind w:left="709" w:hanging="349"/>
        <w:contextualSpacing/>
        <w:jc w:val="both"/>
        <w:rPr>
          <w:rFonts w:ascii="Calibri" w:eastAsia="Calibri" w:hAnsi="Calibri" w:cs="Times New Roman"/>
        </w:rPr>
      </w:pPr>
      <w:r>
        <w:rPr>
          <w:rFonts w:ascii="Calibri" w:eastAsia="Calibri" w:hAnsi="Calibri" w:cs="Times New Roman"/>
        </w:rPr>
        <w:t>Niefunkcjonalne i niezagospodarowana przestrzeń publiczna (teren gminy),</w:t>
      </w:r>
    </w:p>
    <w:p w:rsidR="00EE0C8C" w:rsidRPr="00EE0C8C" w:rsidRDefault="00EE0C8C" w:rsidP="00F658DF">
      <w:pPr>
        <w:numPr>
          <w:ilvl w:val="0"/>
          <w:numId w:val="29"/>
        </w:numPr>
        <w:spacing w:after="120"/>
        <w:ind w:left="709" w:hanging="349"/>
        <w:contextualSpacing/>
        <w:jc w:val="both"/>
        <w:rPr>
          <w:rFonts w:ascii="Calibri" w:eastAsia="Calibri" w:hAnsi="Calibri" w:cs="Times New Roman"/>
        </w:rPr>
      </w:pPr>
      <w:r w:rsidRPr="00EE0C8C">
        <w:rPr>
          <w:rFonts w:ascii="Calibri" w:eastAsia="Calibri" w:hAnsi="Calibri" w:cs="Times New Roman"/>
        </w:rPr>
        <w:t>Słaba komunikacja z ośrodkami pracy, centrami rozwoju, ośrodkami kształcenia.</w:t>
      </w:r>
    </w:p>
    <w:p w:rsidR="00EE0C8C" w:rsidRPr="00F658DF" w:rsidRDefault="00EE0C8C" w:rsidP="00F658DF">
      <w:pPr>
        <w:numPr>
          <w:ilvl w:val="0"/>
          <w:numId w:val="29"/>
        </w:numPr>
        <w:spacing w:after="120"/>
        <w:ind w:left="709" w:hanging="349"/>
        <w:contextualSpacing/>
        <w:jc w:val="both"/>
        <w:rPr>
          <w:rFonts w:ascii="Calibri" w:eastAsia="Calibri" w:hAnsi="Calibri" w:cs="Times New Roman"/>
        </w:rPr>
      </w:pPr>
      <w:r w:rsidRPr="00EE0C8C">
        <w:rPr>
          <w:rFonts w:ascii="Calibri" w:eastAsia="Calibri" w:hAnsi="Calibri" w:cs="Times New Roman"/>
        </w:rPr>
        <w:t>Zdegradowane tereny i obiekty , brak ładu przestrzennego, konieczność zmiany  gospodarowania przestrzenią  itp.</w:t>
      </w:r>
      <w:r w:rsidRPr="00EE0C8C">
        <w:rPr>
          <w:rFonts w:ascii="Calibri" w:eastAsia="Times New Roman" w:hAnsi="Calibri" w:cs="Times New Roman"/>
        </w:rPr>
        <w:t xml:space="preserve"> (  stąd potrzeba zmiany Studium Uwarunkowań </w:t>
      </w:r>
      <w:r w:rsidR="00F658DF">
        <w:rPr>
          <w:rFonts w:ascii="Calibri" w:eastAsia="Times New Roman" w:hAnsi="Calibri" w:cs="Times New Roman"/>
        </w:rPr>
        <w:br/>
      </w:r>
      <w:r w:rsidRPr="00EE0C8C">
        <w:rPr>
          <w:rFonts w:ascii="Calibri" w:eastAsia="Times New Roman" w:hAnsi="Calibri" w:cs="Times New Roman"/>
        </w:rPr>
        <w:t>i  miejscowego planu zagospodarowania przestrzennego gminy).</w:t>
      </w:r>
    </w:p>
    <w:p w:rsidR="00F658DF" w:rsidRPr="00EE0C8C" w:rsidRDefault="00F658DF" w:rsidP="00F658DF">
      <w:pPr>
        <w:numPr>
          <w:ilvl w:val="0"/>
          <w:numId w:val="29"/>
        </w:numPr>
        <w:spacing w:after="120"/>
        <w:ind w:left="709" w:hanging="349"/>
        <w:contextualSpacing/>
        <w:jc w:val="both"/>
        <w:rPr>
          <w:rFonts w:ascii="Calibri" w:eastAsia="Calibri" w:hAnsi="Calibri" w:cs="Times New Roman"/>
        </w:rPr>
      </w:pPr>
      <w:r>
        <w:rPr>
          <w:rFonts w:ascii="Calibri" w:eastAsia="Times New Roman" w:hAnsi="Calibri" w:cs="Times New Roman"/>
        </w:rPr>
        <w:t>Brak zwartej przestrzeni (układ koncentryczny) kosztem istniejącej zabudowy rozproszonej</w:t>
      </w:r>
    </w:p>
    <w:tbl>
      <w:tblPr>
        <w:tblpPr w:leftFromText="141" w:rightFromText="141" w:vertAnchor="text" w:horzAnchor="margin" w:tblpY="41"/>
        <w:tblW w:w="9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7"/>
        <w:gridCol w:w="4597"/>
      </w:tblGrid>
      <w:tr w:rsidR="00EE0C8C" w:rsidRPr="00EE0C8C" w:rsidTr="00EE0C8C">
        <w:trPr>
          <w:trHeight w:val="449"/>
        </w:trPr>
        <w:tc>
          <w:tcPr>
            <w:tcW w:w="9194" w:type="dxa"/>
            <w:gridSpan w:val="2"/>
            <w:shd w:val="clear" w:color="auto" w:fill="365F91"/>
            <w:vAlign w:val="center"/>
          </w:tcPr>
          <w:p w:rsidR="00EE0C8C" w:rsidRPr="00EE0C8C" w:rsidRDefault="00EE0C8C" w:rsidP="00EE0C8C">
            <w:pPr>
              <w:widowControl w:val="0"/>
              <w:tabs>
                <w:tab w:val="left" w:pos="142"/>
                <w:tab w:val="left" w:pos="284"/>
              </w:tabs>
              <w:spacing w:after="0" w:line="240" w:lineRule="auto"/>
              <w:contextualSpacing/>
              <w:jc w:val="center"/>
              <w:rPr>
                <w:rFonts w:ascii="Calibri" w:eastAsia="Times New Roman" w:hAnsi="Calibri" w:cs="Times New Roman"/>
                <w:b/>
                <w:color w:val="FFFFFF"/>
                <w:lang w:eastAsia="pl-PL"/>
              </w:rPr>
            </w:pPr>
            <w:r w:rsidRPr="00EE0C8C">
              <w:rPr>
                <w:rFonts w:ascii="Calibri" w:eastAsia="Times New Roman" w:hAnsi="Calibri" w:cs="Times New Roman"/>
                <w:b/>
                <w:color w:val="FFFFFF"/>
                <w:lang w:eastAsia="pl-PL"/>
              </w:rPr>
              <w:t>CZYNNIKI WEWNĘTRZNE</w:t>
            </w:r>
          </w:p>
        </w:tc>
      </w:tr>
      <w:tr w:rsidR="00EE0C8C" w:rsidRPr="00EE0C8C" w:rsidTr="00EE0C8C">
        <w:trPr>
          <w:trHeight w:val="449"/>
        </w:trPr>
        <w:tc>
          <w:tcPr>
            <w:tcW w:w="4597" w:type="dxa"/>
            <w:shd w:val="clear" w:color="auto" w:fill="FFFF00"/>
            <w:vAlign w:val="center"/>
          </w:tcPr>
          <w:p w:rsidR="00EE0C8C" w:rsidRPr="00EE0C8C" w:rsidRDefault="00EE0C8C" w:rsidP="00EE0C8C">
            <w:pPr>
              <w:widowControl w:val="0"/>
              <w:tabs>
                <w:tab w:val="left" w:pos="142"/>
                <w:tab w:val="left" w:pos="284"/>
              </w:tabs>
              <w:spacing w:after="0" w:line="240" w:lineRule="auto"/>
              <w:contextualSpacing/>
              <w:jc w:val="center"/>
              <w:rPr>
                <w:rFonts w:ascii="Calibri" w:eastAsia="Times New Roman" w:hAnsi="Calibri" w:cs="Times New Roman"/>
                <w:b/>
                <w:lang w:eastAsia="pl-PL"/>
              </w:rPr>
            </w:pPr>
            <w:r w:rsidRPr="00EE0C8C">
              <w:rPr>
                <w:rFonts w:ascii="Calibri" w:eastAsia="Times New Roman" w:hAnsi="Calibri" w:cs="Times New Roman"/>
                <w:b/>
                <w:lang w:eastAsia="pl-PL"/>
              </w:rPr>
              <w:t>SILNE STRONY</w:t>
            </w:r>
          </w:p>
        </w:tc>
        <w:tc>
          <w:tcPr>
            <w:tcW w:w="4597" w:type="dxa"/>
            <w:shd w:val="clear" w:color="auto" w:fill="FFFF00"/>
            <w:vAlign w:val="center"/>
          </w:tcPr>
          <w:p w:rsidR="00EE0C8C" w:rsidRPr="00EE0C8C" w:rsidRDefault="00EE0C8C" w:rsidP="00EE0C8C">
            <w:pPr>
              <w:widowControl w:val="0"/>
              <w:tabs>
                <w:tab w:val="left" w:pos="142"/>
                <w:tab w:val="left" w:pos="284"/>
              </w:tabs>
              <w:spacing w:after="0" w:line="240" w:lineRule="auto"/>
              <w:contextualSpacing/>
              <w:jc w:val="center"/>
              <w:rPr>
                <w:rFonts w:ascii="Calibri" w:eastAsia="Times New Roman" w:hAnsi="Calibri" w:cs="Times New Roman"/>
                <w:b/>
                <w:lang w:eastAsia="pl-PL"/>
              </w:rPr>
            </w:pPr>
            <w:r w:rsidRPr="00EE0C8C">
              <w:rPr>
                <w:rFonts w:ascii="Calibri" w:eastAsia="Times New Roman" w:hAnsi="Calibri" w:cs="Times New Roman"/>
                <w:b/>
                <w:lang w:eastAsia="pl-PL"/>
              </w:rPr>
              <w:t>SŁABE STRONY</w:t>
            </w:r>
          </w:p>
        </w:tc>
      </w:tr>
      <w:tr w:rsidR="00EE0C8C" w:rsidRPr="00EE0C8C" w:rsidTr="00EE0C8C">
        <w:trPr>
          <w:trHeight w:val="449"/>
        </w:trPr>
        <w:tc>
          <w:tcPr>
            <w:tcW w:w="9194" w:type="dxa"/>
            <w:gridSpan w:val="2"/>
            <w:shd w:val="clear" w:color="auto" w:fill="E36C0A" w:themeFill="accent6" w:themeFillShade="BF"/>
            <w:vAlign w:val="center"/>
          </w:tcPr>
          <w:p w:rsidR="00EE0C8C" w:rsidRPr="00EE0C8C" w:rsidRDefault="00EE0C8C" w:rsidP="00EE0C8C">
            <w:pPr>
              <w:widowControl w:val="0"/>
              <w:tabs>
                <w:tab w:val="left" w:pos="142"/>
                <w:tab w:val="left" w:pos="284"/>
              </w:tabs>
              <w:spacing w:after="0" w:line="240" w:lineRule="auto"/>
              <w:contextualSpacing/>
              <w:jc w:val="center"/>
              <w:rPr>
                <w:rFonts w:ascii="Calibri" w:eastAsia="Times New Roman" w:hAnsi="Calibri" w:cs="Times New Roman"/>
                <w:b/>
                <w:lang w:eastAsia="pl-PL"/>
              </w:rPr>
            </w:pPr>
            <w:r w:rsidRPr="00EE0C8C">
              <w:rPr>
                <w:rFonts w:ascii="Calibri" w:eastAsia="Calibri" w:hAnsi="Calibri" w:cs="Times New Roman"/>
                <w:b/>
                <w:lang w:eastAsia="pl-PL"/>
              </w:rPr>
              <w:t>SFERA PRZESTRZENNA</w:t>
            </w:r>
          </w:p>
        </w:tc>
      </w:tr>
      <w:tr w:rsidR="00EE0C8C" w:rsidRPr="00EE0C8C" w:rsidTr="00EE0C8C">
        <w:trPr>
          <w:trHeight w:val="2695"/>
        </w:trPr>
        <w:tc>
          <w:tcPr>
            <w:tcW w:w="4597" w:type="dxa"/>
          </w:tcPr>
          <w:p w:rsidR="00EE0C8C" w:rsidRPr="00EE0C8C" w:rsidRDefault="00EE0C8C" w:rsidP="00DC61B1">
            <w:pPr>
              <w:numPr>
                <w:ilvl w:val="0"/>
                <w:numId w:val="12"/>
              </w:numPr>
              <w:spacing w:after="0" w:line="240" w:lineRule="auto"/>
              <w:rPr>
                <w:rFonts w:ascii="Calibri" w:eastAsia="Times New Roman" w:hAnsi="Calibri" w:cs="Times New Roman"/>
                <w:lang w:eastAsia="pl-PL"/>
              </w:rPr>
            </w:pPr>
            <w:r w:rsidRPr="00EE0C8C">
              <w:rPr>
                <w:rFonts w:ascii="Calibri" w:eastAsia="+mn-ea" w:hAnsi="Calibri" w:cs="+mn-cs"/>
                <w:color w:val="000000"/>
                <w:kern w:val="24"/>
                <w:lang w:eastAsia="pl-PL"/>
              </w:rPr>
              <w:t>Korzystna lokalizacja geograficzna Gminy;</w:t>
            </w:r>
          </w:p>
          <w:p w:rsidR="00EE0C8C" w:rsidRPr="00EE0C8C" w:rsidRDefault="00EE0C8C" w:rsidP="00DC61B1">
            <w:pPr>
              <w:numPr>
                <w:ilvl w:val="0"/>
                <w:numId w:val="12"/>
              </w:numPr>
              <w:spacing w:after="0" w:line="240" w:lineRule="auto"/>
              <w:rPr>
                <w:rFonts w:ascii="Calibri" w:eastAsia="Times New Roman" w:hAnsi="Calibri" w:cs="Times New Roman"/>
                <w:lang w:eastAsia="pl-PL"/>
              </w:rPr>
            </w:pPr>
            <w:r w:rsidRPr="00EE0C8C">
              <w:rPr>
                <w:rFonts w:ascii="Calibri" w:eastAsia="+mn-ea" w:hAnsi="Calibri" w:cs="+mn-cs"/>
                <w:color w:val="000000"/>
                <w:kern w:val="24"/>
                <w:lang w:eastAsia="pl-PL"/>
              </w:rPr>
              <w:t>Korzystne położenie komunikacyjne Gminy;</w:t>
            </w:r>
          </w:p>
          <w:p w:rsidR="00EE0C8C" w:rsidRPr="00EE0C8C" w:rsidRDefault="00EE0C8C" w:rsidP="00DC61B1">
            <w:pPr>
              <w:numPr>
                <w:ilvl w:val="0"/>
                <w:numId w:val="12"/>
              </w:numPr>
              <w:spacing w:after="0" w:line="240" w:lineRule="auto"/>
              <w:rPr>
                <w:rFonts w:ascii="Calibri" w:eastAsia="Times New Roman" w:hAnsi="Calibri" w:cs="Times New Roman"/>
                <w:lang w:eastAsia="pl-PL"/>
              </w:rPr>
            </w:pPr>
            <w:r w:rsidRPr="00EE0C8C">
              <w:rPr>
                <w:rFonts w:ascii="Calibri" w:eastAsia="+mn-ea" w:hAnsi="Calibri" w:cs="+mn-cs"/>
                <w:color w:val="000000"/>
                <w:kern w:val="24"/>
                <w:lang w:eastAsia="pl-PL"/>
              </w:rPr>
              <w:t>Niski poziom zanieczyszczenia środowiska;</w:t>
            </w:r>
          </w:p>
          <w:p w:rsidR="00EE0C8C" w:rsidRPr="00EE0C8C" w:rsidRDefault="00EE0C8C" w:rsidP="00DC61B1">
            <w:pPr>
              <w:numPr>
                <w:ilvl w:val="0"/>
                <w:numId w:val="12"/>
              </w:numPr>
              <w:spacing w:after="0" w:line="240" w:lineRule="auto"/>
              <w:rPr>
                <w:rFonts w:ascii="Calibri" w:eastAsia="Times New Roman" w:hAnsi="Calibri" w:cs="Times New Roman"/>
                <w:lang w:eastAsia="pl-PL"/>
              </w:rPr>
            </w:pPr>
            <w:r w:rsidRPr="00EE0C8C">
              <w:rPr>
                <w:rFonts w:ascii="Calibri" w:eastAsia="+mn-ea" w:hAnsi="Calibri" w:cs="+mn-cs"/>
                <w:color w:val="000000"/>
                <w:kern w:val="24"/>
                <w:lang w:eastAsia="pl-PL"/>
              </w:rPr>
              <w:t>Dobry dostęp do sieci  kanalizacyjnej, gazyfikacyjnej i telefonicznej;</w:t>
            </w:r>
          </w:p>
          <w:p w:rsidR="00EE0C8C" w:rsidRPr="00EE0C8C" w:rsidRDefault="00EE0C8C" w:rsidP="00DC61B1">
            <w:pPr>
              <w:numPr>
                <w:ilvl w:val="0"/>
                <w:numId w:val="12"/>
              </w:numPr>
              <w:spacing w:after="0" w:line="240" w:lineRule="auto"/>
              <w:rPr>
                <w:rFonts w:ascii="Calibri" w:eastAsia="Times New Roman" w:hAnsi="Calibri" w:cs="Times New Roman"/>
                <w:lang w:eastAsia="pl-PL"/>
              </w:rPr>
            </w:pPr>
            <w:r w:rsidRPr="00EE0C8C">
              <w:rPr>
                <w:rFonts w:ascii="Calibri" w:eastAsia="+mn-ea" w:hAnsi="Calibri" w:cs="+mn-cs"/>
                <w:color w:val="000000"/>
                <w:kern w:val="24"/>
                <w:lang w:eastAsia="pl-PL"/>
              </w:rPr>
              <w:t>Dobrze uregulowana gospodarka odpadami stałymi.</w:t>
            </w:r>
          </w:p>
          <w:p w:rsidR="00EE0C8C" w:rsidRPr="00EE0C8C" w:rsidRDefault="00EE0C8C" w:rsidP="00EE0C8C">
            <w:pPr>
              <w:spacing w:after="0" w:line="240" w:lineRule="auto"/>
              <w:contextualSpacing/>
              <w:rPr>
                <w:rFonts w:ascii="Calibri" w:eastAsia="Calibri" w:hAnsi="Calibri" w:cs="Times New Roman"/>
                <w:lang w:eastAsia="pl-PL"/>
              </w:rPr>
            </w:pPr>
          </w:p>
        </w:tc>
        <w:tc>
          <w:tcPr>
            <w:tcW w:w="4597" w:type="dxa"/>
          </w:tcPr>
          <w:p w:rsidR="00EE0C8C" w:rsidRPr="00EE0C8C" w:rsidRDefault="00EE0C8C" w:rsidP="00DC61B1">
            <w:pPr>
              <w:widowControl w:val="0"/>
              <w:numPr>
                <w:ilvl w:val="0"/>
                <w:numId w:val="13"/>
              </w:numPr>
              <w:tabs>
                <w:tab w:val="left" w:pos="142"/>
                <w:tab w:val="left" w:pos="176"/>
              </w:tabs>
              <w:spacing w:after="0" w:line="240" w:lineRule="auto"/>
              <w:contextualSpacing/>
              <w:rPr>
                <w:rFonts w:ascii="Calibri" w:eastAsia="Times New Roman" w:hAnsi="Calibri" w:cs="Times New Roman"/>
              </w:rPr>
            </w:pPr>
            <w:r w:rsidRPr="00EE0C8C">
              <w:rPr>
                <w:rFonts w:ascii="Calibri" w:eastAsia="Times New Roman" w:hAnsi="Calibri" w:cs="Times New Roman"/>
              </w:rPr>
              <w:t>Zły stan technicz</w:t>
            </w:r>
            <w:r w:rsidR="00E75EBD">
              <w:rPr>
                <w:rFonts w:ascii="Calibri" w:eastAsia="Times New Roman" w:hAnsi="Calibri" w:cs="Times New Roman"/>
              </w:rPr>
              <w:t>ny dróg oraz ich infrastruktura w tym niewystarczająca liczna chodników i ciągów pieszych;</w:t>
            </w:r>
          </w:p>
          <w:p w:rsidR="00EE0C8C" w:rsidRPr="00EE0C8C" w:rsidRDefault="00EE0C8C" w:rsidP="00DC61B1">
            <w:pPr>
              <w:widowControl w:val="0"/>
              <w:numPr>
                <w:ilvl w:val="0"/>
                <w:numId w:val="13"/>
              </w:numPr>
              <w:tabs>
                <w:tab w:val="left" w:pos="142"/>
                <w:tab w:val="left" w:pos="176"/>
              </w:tabs>
              <w:spacing w:after="0" w:line="240" w:lineRule="auto"/>
              <w:contextualSpacing/>
              <w:rPr>
                <w:rFonts w:ascii="Calibri" w:eastAsia="Times New Roman" w:hAnsi="Calibri" w:cs="Times New Roman"/>
              </w:rPr>
            </w:pPr>
            <w:r w:rsidRPr="00EE0C8C">
              <w:rPr>
                <w:rFonts w:ascii="Calibri" w:eastAsia="Times New Roman" w:hAnsi="Calibri" w:cs="Times New Roman"/>
              </w:rPr>
              <w:t>Słaba sieć ścieżek i tras rowerowych;</w:t>
            </w:r>
          </w:p>
          <w:p w:rsidR="00EE0C8C" w:rsidRPr="00EE0C8C" w:rsidRDefault="00EE0C8C" w:rsidP="00DC61B1">
            <w:pPr>
              <w:widowControl w:val="0"/>
              <w:numPr>
                <w:ilvl w:val="0"/>
                <w:numId w:val="13"/>
              </w:numPr>
              <w:tabs>
                <w:tab w:val="left" w:pos="142"/>
                <w:tab w:val="left" w:pos="176"/>
              </w:tabs>
              <w:spacing w:after="0" w:line="240" w:lineRule="auto"/>
              <w:contextualSpacing/>
              <w:rPr>
                <w:rFonts w:ascii="Calibri" w:eastAsia="Times New Roman" w:hAnsi="Calibri" w:cs="Times New Roman"/>
              </w:rPr>
            </w:pPr>
            <w:r w:rsidRPr="00EE0C8C">
              <w:rPr>
                <w:rFonts w:ascii="Calibri" w:eastAsia="Times New Roman" w:hAnsi="Calibri" w:cs="Times New Roman"/>
              </w:rPr>
              <w:t>Niewystarczające wykorzystanie odnawialnych źródeł energii;</w:t>
            </w:r>
          </w:p>
          <w:p w:rsidR="00EE0C8C" w:rsidRPr="00EE0C8C" w:rsidRDefault="007C16CC" w:rsidP="00DC61B1">
            <w:pPr>
              <w:widowControl w:val="0"/>
              <w:numPr>
                <w:ilvl w:val="0"/>
                <w:numId w:val="13"/>
              </w:numPr>
              <w:tabs>
                <w:tab w:val="left" w:pos="142"/>
                <w:tab w:val="left" w:pos="176"/>
              </w:tabs>
              <w:spacing w:after="0" w:line="240" w:lineRule="auto"/>
              <w:contextualSpacing/>
              <w:rPr>
                <w:rFonts w:ascii="Calibri" w:eastAsia="Times New Roman" w:hAnsi="Calibri" w:cs="Times New Roman"/>
              </w:rPr>
            </w:pPr>
            <w:r>
              <w:rPr>
                <w:rFonts w:ascii="Calibri" w:eastAsia="Times New Roman" w:hAnsi="Calibri" w:cs="Times New Roman"/>
              </w:rPr>
              <w:t>Źle użytkowane terenu w centrum Mirca.</w:t>
            </w:r>
          </w:p>
          <w:p w:rsidR="00EE0C8C" w:rsidRPr="00EE0C8C" w:rsidRDefault="00EE0C8C" w:rsidP="00DC61B1">
            <w:pPr>
              <w:widowControl w:val="0"/>
              <w:numPr>
                <w:ilvl w:val="0"/>
                <w:numId w:val="13"/>
              </w:numPr>
              <w:tabs>
                <w:tab w:val="left" w:pos="142"/>
                <w:tab w:val="left" w:pos="176"/>
              </w:tabs>
              <w:spacing w:after="0" w:line="240" w:lineRule="auto"/>
              <w:contextualSpacing/>
              <w:rPr>
                <w:rFonts w:ascii="Calibri" w:eastAsia="Times New Roman" w:hAnsi="Calibri" w:cs="Times New Roman"/>
              </w:rPr>
            </w:pPr>
            <w:r w:rsidRPr="00EE0C8C">
              <w:rPr>
                <w:rFonts w:ascii="Calibri" w:eastAsia="Times New Roman" w:hAnsi="Calibri" w:cs="Times New Roman"/>
              </w:rPr>
              <w:t>Bariery architektoniczne dla osób niepełnosprawnych, brak funkcjonalnego zagospodarowania przestrzeni publicznej</w:t>
            </w:r>
          </w:p>
        </w:tc>
      </w:tr>
      <w:tr w:rsidR="00EE0C8C" w:rsidRPr="00EE0C8C" w:rsidTr="00EE0C8C">
        <w:trPr>
          <w:trHeight w:val="504"/>
        </w:trPr>
        <w:tc>
          <w:tcPr>
            <w:tcW w:w="9194" w:type="dxa"/>
            <w:gridSpan w:val="2"/>
            <w:shd w:val="clear" w:color="auto" w:fill="365F91"/>
            <w:vAlign w:val="center"/>
          </w:tcPr>
          <w:p w:rsidR="00EE0C8C" w:rsidRPr="00EE0C8C" w:rsidRDefault="00EE0C8C" w:rsidP="00EE0C8C">
            <w:pPr>
              <w:widowControl w:val="0"/>
              <w:tabs>
                <w:tab w:val="left" w:pos="142"/>
                <w:tab w:val="left" w:pos="284"/>
              </w:tabs>
              <w:spacing w:after="0" w:line="240" w:lineRule="auto"/>
              <w:ind w:firstLine="567"/>
              <w:contextualSpacing/>
              <w:jc w:val="center"/>
              <w:rPr>
                <w:rFonts w:ascii="Calibri" w:eastAsia="Times New Roman" w:hAnsi="Calibri" w:cs="Times New Roman"/>
                <w:b/>
                <w:color w:val="FFFFFF"/>
                <w:lang w:eastAsia="pl-PL"/>
              </w:rPr>
            </w:pPr>
            <w:r w:rsidRPr="00EE0C8C">
              <w:rPr>
                <w:rFonts w:ascii="Calibri" w:eastAsia="Times New Roman" w:hAnsi="Calibri" w:cs="Times New Roman"/>
                <w:b/>
                <w:color w:val="FFFFFF"/>
                <w:lang w:eastAsia="pl-PL"/>
              </w:rPr>
              <w:t>CZYNNIKI ZEWNĘTRZNE</w:t>
            </w:r>
          </w:p>
        </w:tc>
      </w:tr>
      <w:tr w:rsidR="00EE0C8C" w:rsidRPr="00EE0C8C" w:rsidTr="00EE0C8C">
        <w:trPr>
          <w:trHeight w:val="504"/>
        </w:trPr>
        <w:tc>
          <w:tcPr>
            <w:tcW w:w="4597" w:type="dxa"/>
            <w:shd w:val="clear" w:color="auto" w:fill="FFFF00"/>
            <w:vAlign w:val="center"/>
          </w:tcPr>
          <w:p w:rsidR="00EE0C8C" w:rsidRPr="00EE0C8C" w:rsidRDefault="00EE0C8C" w:rsidP="00EE0C8C">
            <w:pPr>
              <w:spacing w:after="0" w:line="240" w:lineRule="auto"/>
              <w:ind w:left="567" w:hanging="567"/>
              <w:jc w:val="center"/>
              <w:rPr>
                <w:rFonts w:ascii="Calibri" w:eastAsia="Calibri" w:hAnsi="Calibri" w:cs="Times New Roman"/>
                <w:b/>
                <w:lang w:eastAsia="pl-PL"/>
              </w:rPr>
            </w:pPr>
            <w:r w:rsidRPr="00EE0C8C">
              <w:rPr>
                <w:rFonts w:ascii="Calibri" w:eastAsia="Calibri" w:hAnsi="Calibri" w:cs="Times New Roman"/>
                <w:b/>
                <w:lang w:eastAsia="pl-PL"/>
              </w:rPr>
              <w:t>SZANSE</w:t>
            </w:r>
          </w:p>
        </w:tc>
        <w:tc>
          <w:tcPr>
            <w:tcW w:w="4597" w:type="dxa"/>
            <w:shd w:val="clear" w:color="auto" w:fill="FFFF00"/>
            <w:vAlign w:val="center"/>
          </w:tcPr>
          <w:p w:rsidR="00EE0C8C" w:rsidRPr="00EE0C8C" w:rsidRDefault="00EE0C8C" w:rsidP="00EE0C8C">
            <w:pPr>
              <w:spacing w:after="0" w:line="240" w:lineRule="auto"/>
              <w:ind w:left="567" w:hanging="567"/>
              <w:jc w:val="center"/>
              <w:rPr>
                <w:rFonts w:ascii="Calibri" w:eastAsia="Calibri" w:hAnsi="Calibri" w:cs="Times New Roman"/>
                <w:b/>
                <w:lang w:eastAsia="pl-PL"/>
              </w:rPr>
            </w:pPr>
            <w:r w:rsidRPr="00EE0C8C">
              <w:rPr>
                <w:rFonts w:ascii="Calibri" w:eastAsia="Calibri" w:hAnsi="Calibri" w:cs="Times New Roman"/>
                <w:b/>
                <w:lang w:eastAsia="pl-PL"/>
              </w:rPr>
              <w:t>ZAGROŻENIA</w:t>
            </w:r>
          </w:p>
        </w:tc>
      </w:tr>
      <w:tr w:rsidR="00EE0C8C" w:rsidRPr="00EE0C8C" w:rsidTr="00EE0C8C">
        <w:trPr>
          <w:trHeight w:val="505"/>
        </w:trPr>
        <w:tc>
          <w:tcPr>
            <w:tcW w:w="9194" w:type="dxa"/>
            <w:gridSpan w:val="2"/>
            <w:shd w:val="clear" w:color="auto" w:fill="E36C0A" w:themeFill="accent6" w:themeFillShade="BF"/>
            <w:vAlign w:val="center"/>
          </w:tcPr>
          <w:p w:rsidR="00EE0C8C" w:rsidRPr="00EE0C8C" w:rsidRDefault="00EE0C8C" w:rsidP="00EE0C8C">
            <w:pPr>
              <w:spacing w:after="0" w:line="240" w:lineRule="auto"/>
              <w:ind w:left="567" w:hanging="567"/>
              <w:jc w:val="center"/>
              <w:rPr>
                <w:rFonts w:ascii="Calibri" w:eastAsia="Calibri" w:hAnsi="Calibri" w:cs="Times New Roman"/>
                <w:b/>
                <w:lang w:eastAsia="pl-PL"/>
              </w:rPr>
            </w:pPr>
            <w:r w:rsidRPr="00EE0C8C">
              <w:rPr>
                <w:rFonts w:ascii="Calibri" w:eastAsia="Calibri" w:hAnsi="Calibri" w:cs="Times New Roman"/>
                <w:b/>
                <w:lang w:eastAsia="pl-PL"/>
              </w:rPr>
              <w:t>SFERA PRZESTRZENNA</w:t>
            </w:r>
          </w:p>
        </w:tc>
      </w:tr>
      <w:tr w:rsidR="00EE0C8C" w:rsidRPr="00EE0C8C" w:rsidTr="00EE0C8C">
        <w:trPr>
          <w:trHeight w:val="990"/>
        </w:trPr>
        <w:tc>
          <w:tcPr>
            <w:tcW w:w="4597" w:type="dxa"/>
          </w:tcPr>
          <w:p w:rsidR="00EE0C8C" w:rsidRPr="00EE0C8C" w:rsidRDefault="00EE0C8C" w:rsidP="00DC61B1">
            <w:pPr>
              <w:widowControl w:val="0"/>
              <w:numPr>
                <w:ilvl w:val="0"/>
                <w:numId w:val="14"/>
              </w:numPr>
              <w:tabs>
                <w:tab w:val="left" w:pos="142"/>
                <w:tab w:val="left" w:pos="176"/>
                <w:tab w:val="left" w:pos="318"/>
              </w:tabs>
              <w:spacing w:after="0" w:line="240" w:lineRule="auto"/>
              <w:contextualSpacing/>
              <w:rPr>
                <w:rFonts w:ascii="Calibri" w:eastAsia="Times New Roman" w:hAnsi="Calibri" w:cs="Times New Roman"/>
              </w:rPr>
            </w:pPr>
            <w:r w:rsidRPr="00EE0C8C">
              <w:rPr>
                <w:rFonts w:ascii="Calibri" w:eastAsia="Times New Roman" w:hAnsi="Calibri" w:cs="Times New Roman"/>
              </w:rPr>
              <w:t>Sprzyjające warunki do rozwoju efektywności energetycznej;</w:t>
            </w:r>
          </w:p>
          <w:p w:rsidR="00EE0C8C" w:rsidRPr="00EE0C8C" w:rsidRDefault="00EE0C8C" w:rsidP="00DC61B1">
            <w:pPr>
              <w:widowControl w:val="0"/>
              <w:numPr>
                <w:ilvl w:val="0"/>
                <w:numId w:val="14"/>
              </w:numPr>
              <w:tabs>
                <w:tab w:val="left" w:pos="142"/>
                <w:tab w:val="left" w:pos="176"/>
                <w:tab w:val="left" w:pos="318"/>
              </w:tabs>
              <w:spacing w:after="0" w:line="240" w:lineRule="auto"/>
              <w:contextualSpacing/>
              <w:rPr>
                <w:rFonts w:ascii="Calibri" w:eastAsia="Times New Roman" w:hAnsi="Calibri" w:cs="Times New Roman"/>
              </w:rPr>
            </w:pPr>
            <w:r w:rsidRPr="00EE0C8C">
              <w:rPr>
                <w:rFonts w:ascii="Calibri" w:eastAsia="Times New Roman" w:hAnsi="Calibri" w:cs="Times New Roman"/>
              </w:rPr>
              <w:t>Wzrost świadomości mieszkańców w zakresie ochrony środowiska;</w:t>
            </w:r>
          </w:p>
          <w:p w:rsidR="00EE0C8C" w:rsidRPr="00EE0C8C" w:rsidRDefault="00EE0C8C" w:rsidP="00DC61B1">
            <w:pPr>
              <w:widowControl w:val="0"/>
              <w:numPr>
                <w:ilvl w:val="0"/>
                <w:numId w:val="14"/>
              </w:numPr>
              <w:tabs>
                <w:tab w:val="left" w:pos="142"/>
                <w:tab w:val="left" w:pos="176"/>
                <w:tab w:val="left" w:pos="318"/>
              </w:tabs>
              <w:spacing w:after="0" w:line="240" w:lineRule="auto"/>
              <w:contextualSpacing/>
              <w:rPr>
                <w:rFonts w:ascii="Calibri" w:eastAsia="Times New Roman" w:hAnsi="Calibri" w:cs="Times New Roman"/>
              </w:rPr>
            </w:pPr>
            <w:r w:rsidRPr="00EE0C8C">
              <w:rPr>
                <w:rFonts w:ascii="Calibri" w:eastAsia="Times New Roman" w:hAnsi="Calibri" w:cs="Times New Roman"/>
              </w:rPr>
              <w:t>Bliskość dużych ośrodków przemysłowych: Starachowic, Kielc.</w:t>
            </w:r>
          </w:p>
          <w:p w:rsidR="00EE0C8C" w:rsidRPr="00EE0C8C" w:rsidRDefault="00EE0C8C" w:rsidP="00DC61B1">
            <w:pPr>
              <w:widowControl w:val="0"/>
              <w:numPr>
                <w:ilvl w:val="0"/>
                <w:numId w:val="14"/>
              </w:numPr>
              <w:tabs>
                <w:tab w:val="left" w:pos="142"/>
                <w:tab w:val="left" w:pos="176"/>
                <w:tab w:val="left" w:pos="318"/>
              </w:tabs>
              <w:spacing w:after="0" w:line="240" w:lineRule="auto"/>
              <w:contextualSpacing/>
              <w:rPr>
                <w:rFonts w:ascii="Calibri" w:eastAsia="Times New Roman" w:hAnsi="Calibri" w:cs="Times New Roman"/>
              </w:rPr>
            </w:pPr>
            <w:r w:rsidRPr="00EE0C8C">
              <w:rPr>
                <w:rFonts w:ascii="Calibri" w:eastAsia="Times New Roman" w:hAnsi="Calibri" w:cs="Times New Roman"/>
              </w:rPr>
              <w:t xml:space="preserve">Pozyskiwanie środków pomocowych na </w:t>
            </w:r>
            <w:r w:rsidRPr="00EE0C8C">
              <w:rPr>
                <w:rFonts w:ascii="Calibri" w:eastAsia="Times New Roman" w:hAnsi="Calibri" w:cs="Times New Roman"/>
              </w:rPr>
              <w:lastRenderedPageBreak/>
              <w:t>przedsięwzięcia rozwojowe.</w:t>
            </w:r>
          </w:p>
        </w:tc>
        <w:tc>
          <w:tcPr>
            <w:tcW w:w="4597" w:type="dxa"/>
          </w:tcPr>
          <w:p w:rsidR="00EE0C8C" w:rsidRPr="00EE0C8C" w:rsidRDefault="00EE0C8C" w:rsidP="00DC61B1">
            <w:pPr>
              <w:widowControl w:val="0"/>
              <w:numPr>
                <w:ilvl w:val="0"/>
                <w:numId w:val="15"/>
              </w:numPr>
              <w:tabs>
                <w:tab w:val="left" w:pos="142"/>
                <w:tab w:val="left" w:pos="284"/>
              </w:tabs>
              <w:spacing w:after="0" w:line="240" w:lineRule="auto"/>
              <w:contextualSpacing/>
              <w:rPr>
                <w:rFonts w:ascii="Calibri" w:eastAsia="Times New Roman" w:hAnsi="Calibri" w:cs="Times New Roman"/>
              </w:rPr>
            </w:pPr>
            <w:r w:rsidRPr="00EE0C8C">
              <w:rPr>
                <w:rFonts w:ascii="Calibri" w:eastAsia="Times New Roman" w:hAnsi="Calibri" w:cs="Times New Roman"/>
              </w:rPr>
              <w:lastRenderedPageBreak/>
              <w:t>Migracje młodych mieszkańców Gminy do dużych ośrodków aglomeracyjnych oraz za granicę;</w:t>
            </w:r>
          </w:p>
          <w:p w:rsidR="00EE0C8C" w:rsidRPr="00EE0C8C" w:rsidRDefault="00EE0C8C" w:rsidP="00DC61B1">
            <w:pPr>
              <w:widowControl w:val="0"/>
              <w:numPr>
                <w:ilvl w:val="0"/>
                <w:numId w:val="15"/>
              </w:numPr>
              <w:tabs>
                <w:tab w:val="left" w:pos="142"/>
                <w:tab w:val="left" w:pos="284"/>
              </w:tabs>
              <w:spacing w:after="0" w:line="240" w:lineRule="auto"/>
              <w:contextualSpacing/>
              <w:rPr>
                <w:rFonts w:ascii="Calibri" w:eastAsia="Times New Roman" w:hAnsi="Calibri" w:cs="Times New Roman"/>
              </w:rPr>
            </w:pPr>
            <w:r w:rsidRPr="00EE0C8C">
              <w:rPr>
                <w:rFonts w:ascii="Calibri" w:eastAsia="Times New Roman" w:hAnsi="Calibri" w:cs="Times New Roman"/>
              </w:rPr>
              <w:t>Duża konkurencja w regionie przy pozyskiwaniu funduszy unijnych na realizację projektów w zakresie infrastruktury;</w:t>
            </w:r>
          </w:p>
          <w:p w:rsidR="00EE0C8C" w:rsidRPr="00EE0C8C" w:rsidRDefault="00EE0C8C" w:rsidP="00DC61B1">
            <w:pPr>
              <w:widowControl w:val="0"/>
              <w:numPr>
                <w:ilvl w:val="0"/>
                <w:numId w:val="15"/>
              </w:numPr>
              <w:tabs>
                <w:tab w:val="left" w:pos="142"/>
                <w:tab w:val="left" w:pos="284"/>
              </w:tabs>
              <w:spacing w:after="0" w:line="240" w:lineRule="auto"/>
              <w:contextualSpacing/>
              <w:rPr>
                <w:rFonts w:ascii="Calibri" w:eastAsia="Times New Roman" w:hAnsi="Calibri" w:cs="Times New Roman"/>
              </w:rPr>
            </w:pPr>
            <w:r w:rsidRPr="00EE0C8C">
              <w:rPr>
                <w:rFonts w:ascii="Calibri" w:eastAsia="Times New Roman" w:hAnsi="Calibri" w:cs="Times New Roman"/>
              </w:rPr>
              <w:lastRenderedPageBreak/>
              <w:t>Emisja gazów cieplarnianych do atmosfery z prywatnych palenisk przez osoby fizyczne.</w:t>
            </w:r>
          </w:p>
        </w:tc>
      </w:tr>
    </w:tbl>
    <w:p w:rsidR="00EE0C8C" w:rsidRPr="00EE0C8C" w:rsidRDefault="00EE0C8C" w:rsidP="00A76BDB">
      <w:pPr>
        <w:pStyle w:val="Nagwek2"/>
      </w:pPr>
      <w:bookmarkStart w:id="97" w:name="_Toc439157956"/>
      <w:bookmarkStart w:id="98" w:name="_Toc439157963"/>
      <w:bookmarkStart w:id="99" w:name="_Toc450562505"/>
      <w:r w:rsidRPr="00EE0C8C">
        <w:lastRenderedPageBreak/>
        <w:t>4.2. IDENTYFIKACJA PROBLEMÓW W OBSZARZE GOSPODARCZYM</w:t>
      </w:r>
      <w:bookmarkEnd w:id="97"/>
      <w:bookmarkEnd w:id="99"/>
    </w:p>
    <w:p w:rsidR="00EE0C8C" w:rsidRPr="00EE0C8C" w:rsidRDefault="00EE0C8C" w:rsidP="00EE0C8C">
      <w:pPr>
        <w:spacing w:after="0"/>
        <w:rPr>
          <w:rFonts w:ascii="Calibri" w:eastAsia="Times New Roman" w:hAnsi="Calibri" w:cs="Times New Roman"/>
          <w:lang w:eastAsia="pl-PL"/>
        </w:rPr>
      </w:pPr>
    </w:p>
    <w:p w:rsidR="00EE0C8C" w:rsidRPr="00EE0C8C" w:rsidRDefault="00EE0C8C" w:rsidP="00EE0C8C">
      <w:pPr>
        <w:spacing w:after="0"/>
        <w:rPr>
          <w:rFonts w:ascii="Calibri" w:eastAsia="Times New Roman" w:hAnsi="Calibri" w:cs="Times New Roman"/>
          <w:lang w:eastAsia="pl-PL"/>
        </w:rPr>
      </w:pPr>
      <w:r w:rsidRPr="00EE0C8C">
        <w:rPr>
          <w:rFonts w:ascii="Calibri" w:eastAsia="Times New Roman" w:hAnsi="Calibri" w:cs="Times New Roman"/>
          <w:lang w:eastAsia="pl-PL"/>
        </w:rPr>
        <w:t>Wobec  Gminy Mirzec występują następujące problemy w obszarze gospodarczym:</w:t>
      </w:r>
    </w:p>
    <w:p w:rsidR="00EE0C8C" w:rsidRPr="00EE0C8C" w:rsidRDefault="00EE0C8C" w:rsidP="00DC61B1">
      <w:pPr>
        <w:numPr>
          <w:ilvl w:val="0"/>
          <w:numId w:val="16"/>
        </w:numPr>
        <w:spacing w:after="0"/>
        <w:contextualSpacing/>
        <w:rPr>
          <w:rFonts w:ascii="Calibri" w:eastAsia="Times New Roman" w:hAnsi="Calibri" w:cs="Times New Roman"/>
          <w:lang w:eastAsia="pl-PL"/>
        </w:rPr>
      </w:pPr>
      <w:r w:rsidRPr="00EE0C8C">
        <w:rPr>
          <w:rFonts w:ascii="Calibri" w:eastAsia="Times New Roman" w:hAnsi="Calibri" w:cs="Times New Roman"/>
          <w:lang w:eastAsia="pl-PL"/>
        </w:rPr>
        <w:t>Zbyt mały poziom przedsiębiorczości,</w:t>
      </w:r>
    </w:p>
    <w:p w:rsidR="00EE0C8C" w:rsidRPr="00EE0C8C" w:rsidRDefault="00EE0C8C" w:rsidP="00DC61B1">
      <w:pPr>
        <w:numPr>
          <w:ilvl w:val="0"/>
          <w:numId w:val="16"/>
        </w:numPr>
        <w:spacing w:after="0"/>
        <w:contextualSpacing/>
        <w:rPr>
          <w:rFonts w:ascii="Calibri" w:eastAsia="Times New Roman" w:hAnsi="Calibri" w:cs="Times New Roman"/>
          <w:lang w:eastAsia="pl-PL"/>
        </w:rPr>
      </w:pPr>
      <w:r w:rsidRPr="00EE0C8C">
        <w:rPr>
          <w:rFonts w:ascii="Calibri" w:eastAsia="Times New Roman" w:hAnsi="Calibri" w:cs="Times New Roman"/>
          <w:lang w:eastAsia="pl-PL"/>
        </w:rPr>
        <w:t>Niskie dochody własne Gminy,</w:t>
      </w:r>
    </w:p>
    <w:p w:rsidR="00EE0C8C" w:rsidRPr="00EE0C8C" w:rsidRDefault="00EE0C8C" w:rsidP="00DC61B1">
      <w:pPr>
        <w:numPr>
          <w:ilvl w:val="0"/>
          <w:numId w:val="16"/>
        </w:numPr>
        <w:spacing w:after="0"/>
        <w:contextualSpacing/>
        <w:rPr>
          <w:rFonts w:ascii="Calibri" w:eastAsia="Times New Roman" w:hAnsi="Calibri" w:cs="Times New Roman"/>
          <w:lang w:eastAsia="pl-PL"/>
        </w:rPr>
      </w:pPr>
      <w:r w:rsidRPr="00EE0C8C">
        <w:rPr>
          <w:rFonts w:ascii="Calibri" w:eastAsia="Times New Roman" w:hAnsi="Calibri" w:cs="Times New Roman"/>
          <w:lang w:eastAsia="pl-PL"/>
        </w:rPr>
        <w:t>Małe zainteresowanie terenami inwestycyjnymi dla przedsiębiorców,</w:t>
      </w:r>
    </w:p>
    <w:p w:rsidR="00EE0C8C" w:rsidRPr="00EE0C8C" w:rsidRDefault="00EE0C8C" w:rsidP="00DC61B1">
      <w:pPr>
        <w:numPr>
          <w:ilvl w:val="0"/>
          <w:numId w:val="16"/>
        </w:numPr>
        <w:spacing w:after="0"/>
        <w:contextualSpacing/>
        <w:rPr>
          <w:rFonts w:ascii="Calibri" w:eastAsia="Times New Roman" w:hAnsi="Calibri" w:cs="Times New Roman"/>
          <w:lang w:eastAsia="pl-PL"/>
        </w:rPr>
      </w:pPr>
      <w:r w:rsidRPr="00EE0C8C">
        <w:rPr>
          <w:rFonts w:ascii="Calibri" w:eastAsia="Times New Roman" w:hAnsi="Calibri" w:cs="Times New Roman"/>
          <w:lang w:eastAsia="pl-PL"/>
        </w:rPr>
        <w:t>Niskie wykorzystanie potencjału turystycznego, przyrodniczo-krajobrazowego,</w:t>
      </w:r>
    </w:p>
    <w:p w:rsidR="00EE0C8C" w:rsidRPr="00EE0C8C" w:rsidRDefault="00EE0C8C" w:rsidP="00DC61B1">
      <w:pPr>
        <w:numPr>
          <w:ilvl w:val="0"/>
          <w:numId w:val="16"/>
        </w:numPr>
        <w:spacing w:after="0"/>
        <w:contextualSpacing/>
        <w:rPr>
          <w:rFonts w:ascii="Calibri" w:eastAsia="Times New Roman" w:hAnsi="Calibri" w:cs="Times New Roman"/>
          <w:lang w:eastAsia="pl-PL"/>
        </w:rPr>
      </w:pPr>
      <w:r w:rsidRPr="00EE0C8C">
        <w:rPr>
          <w:rFonts w:ascii="Calibri" w:eastAsia="Times New Roman" w:hAnsi="Calibri" w:cs="Times New Roman"/>
          <w:lang w:eastAsia="pl-PL"/>
        </w:rPr>
        <w:t>Pogarszająca się sytuacja w rolnictwie,</w:t>
      </w:r>
    </w:p>
    <w:p w:rsidR="00EE0C8C" w:rsidRPr="00EE0C8C" w:rsidRDefault="00EE0C8C" w:rsidP="00DC61B1">
      <w:pPr>
        <w:numPr>
          <w:ilvl w:val="0"/>
          <w:numId w:val="16"/>
        </w:numPr>
        <w:spacing w:after="0"/>
        <w:contextualSpacing/>
        <w:rPr>
          <w:rFonts w:ascii="Calibri" w:eastAsia="Times New Roman" w:hAnsi="Calibri" w:cs="Times New Roman"/>
          <w:lang w:eastAsia="pl-PL"/>
        </w:rPr>
      </w:pPr>
      <w:r w:rsidRPr="00EE0C8C">
        <w:rPr>
          <w:rFonts w:ascii="Calibri" w:eastAsia="Times New Roman" w:hAnsi="Calibri" w:cs="Times New Roman"/>
          <w:lang w:eastAsia="pl-PL"/>
        </w:rPr>
        <w:t xml:space="preserve">Szybki rozwój gmin ościennych, </w:t>
      </w:r>
    </w:p>
    <w:p w:rsidR="00EE0C8C" w:rsidRPr="00EE0C8C" w:rsidRDefault="00EE0C8C" w:rsidP="00DC61B1">
      <w:pPr>
        <w:numPr>
          <w:ilvl w:val="0"/>
          <w:numId w:val="16"/>
        </w:numPr>
        <w:spacing w:after="0"/>
        <w:contextualSpacing/>
        <w:rPr>
          <w:rFonts w:ascii="Calibri" w:eastAsia="Times New Roman" w:hAnsi="Calibri" w:cs="Times New Roman"/>
          <w:lang w:eastAsia="pl-PL"/>
        </w:rPr>
      </w:pPr>
      <w:r w:rsidRPr="00EE0C8C">
        <w:rPr>
          <w:rFonts w:ascii="Calibri" w:eastAsia="Times New Roman" w:hAnsi="Calibri" w:cs="Times New Roman"/>
          <w:lang w:eastAsia="pl-PL"/>
        </w:rPr>
        <w:t xml:space="preserve">Promowanie i wspieranie przez instytucje regionalne i centralne  ośrodków  miejskich  </w:t>
      </w:r>
    </w:p>
    <w:p w:rsidR="00EE0C8C" w:rsidRPr="00EE0C8C" w:rsidRDefault="00EE0C8C" w:rsidP="00EE0C8C">
      <w:pPr>
        <w:spacing w:after="0"/>
        <w:ind w:left="720"/>
        <w:contextualSpacing/>
        <w:rPr>
          <w:rFonts w:ascii="Calibri" w:eastAsia="Times New Roman" w:hAnsi="Calibri" w:cs="Times New Roman"/>
          <w:lang w:eastAsia="pl-P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9"/>
        <w:gridCol w:w="4589"/>
      </w:tblGrid>
      <w:tr w:rsidR="00EE0C8C" w:rsidRPr="00EE0C8C" w:rsidTr="00A76BDB">
        <w:trPr>
          <w:trHeight w:val="490"/>
        </w:trPr>
        <w:tc>
          <w:tcPr>
            <w:tcW w:w="9178" w:type="dxa"/>
            <w:gridSpan w:val="2"/>
            <w:shd w:val="clear" w:color="auto" w:fill="365F91"/>
            <w:vAlign w:val="center"/>
          </w:tcPr>
          <w:p w:rsidR="00EE0C8C" w:rsidRPr="00EE0C8C" w:rsidRDefault="00EE0C8C" w:rsidP="00EE0C8C">
            <w:pPr>
              <w:widowControl w:val="0"/>
              <w:tabs>
                <w:tab w:val="left" w:pos="142"/>
                <w:tab w:val="left" w:pos="284"/>
              </w:tabs>
              <w:spacing w:after="0" w:line="240" w:lineRule="auto"/>
              <w:contextualSpacing/>
              <w:jc w:val="center"/>
              <w:rPr>
                <w:rFonts w:ascii="Calibri" w:eastAsia="Times New Roman" w:hAnsi="Calibri" w:cs="Times New Roman"/>
                <w:b/>
                <w:color w:val="FFFFFF"/>
                <w:lang w:eastAsia="pl-PL"/>
              </w:rPr>
            </w:pPr>
            <w:r w:rsidRPr="00EE0C8C">
              <w:rPr>
                <w:rFonts w:ascii="Calibri" w:eastAsia="Times New Roman" w:hAnsi="Calibri" w:cs="Times New Roman"/>
                <w:b/>
                <w:color w:val="FFFFFF"/>
                <w:lang w:eastAsia="pl-PL"/>
              </w:rPr>
              <w:t>CZYNNIKI WEWNĘTRZNE</w:t>
            </w:r>
          </w:p>
        </w:tc>
      </w:tr>
      <w:tr w:rsidR="00EE0C8C" w:rsidRPr="00EE0C8C" w:rsidTr="00A76BDB">
        <w:trPr>
          <w:trHeight w:val="490"/>
        </w:trPr>
        <w:tc>
          <w:tcPr>
            <w:tcW w:w="4589" w:type="dxa"/>
            <w:shd w:val="clear" w:color="auto" w:fill="FFFF00"/>
            <w:vAlign w:val="center"/>
          </w:tcPr>
          <w:p w:rsidR="00EE0C8C" w:rsidRPr="00EE0C8C" w:rsidRDefault="00EE0C8C" w:rsidP="00EE0C8C">
            <w:pPr>
              <w:widowControl w:val="0"/>
              <w:tabs>
                <w:tab w:val="left" w:pos="142"/>
                <w:tab w:val="left" w:pos="284"/>
              </w:tabs>
              <w:spacing w:after="0" w:line="240" w:lineRule="auto"/>
              <w:contextualSpacing/>
              <w:jc w:val="center"/>
              <w:rPr>
                <w:rFonts w:ascii="Calibri" w:eastAsia="Times New Roman" w:hAnsi="Calibri" w:cs="Times New Roman"/>
                <w:b/>
                <w:lang w:eastAsia="pl-PL"/>
              </w:rPr>
            </w:pPr>
            <w:r w:rsidRPr="00EE0C8C">
              <w:rPr>
                <w:rFonts w:ascii="Calibri" w:eastAsia="Times New Roman" w:hAnsi="Calibri" w:cs="Times New Roman"/>
                <w:b/>
                <w:lang w:eastAsia="pl-PL"/>
              </w:rPr>
              <w:t>SILNE STRONY</w:t>
            </w:r>
          </w:p>
        </w:tc>
        <w:tc>
          <w:tcPr>
            <w:tcW w:w="4589" w:type="dxa"/>
            <w:shd w:val="clear" w:color="auto" w:fill="FFFF00"/>
            <w:vAlign w:val="center"/>
          </w:tcPr>
          <w:p w:rsidR="00EE0C8C" w:rsidRPr="00EE0C8C" w:rsidRDefault="00EE0C8C" w:rsidP="00EE0C8C">
            <w:pPr>
              <w:widowControl w:val="0"/>
              <w:tabs>
                <w:tab w:val="left" w:pos="142"/>
                <w:tab w:val="left" w:pos="284"/>
              </w:tabs>
              <w:spacing w:after="0" w:line="240" w:lineRule="auto"/>
              <w:contextualSpacing/>
              <w:jc w:val="center"/>
              <w:rPr>
                <w:rFonts w:ascii="Calibri" w:eastAsia="Times New Roman" w:hAnsi="Calibri" w:cs="Times New Roman"/>
                <w:b/>
                <w:lang w:eastAsia="pl-PL"/>
              </w:rPr>
            </w:pPr>
            <w:r w:rsidRPr="00EE0C8C">
              <w:rPr>
                <w:rFonts w:ascii="Calibri" w:eastAsia="Times New Roman" w:hAnsi="Calibri" w:cs="Times New Roman"/>
                <w:b/>
                <w:lang w:eastAsia="pl-PL"/>
              </w:rPr>
              <w:t>SŁABE STRONY</w:t>
            </w:r>
          </w:p>
        </w:tc>
      </w:tr>
      <w:tr w:rsidR="00EE0C8C" w:rsidRPr="00EE0C8C" w:rsidTr="00A76BDB">
        <w:trPr>
          <w:trHeight w:val="490"/>
        </w:trPr>
        <w:tc>
          <w:tcPr>
            <w:tcW w:w="9178" w:type="dxa"/>
            <w:gridSpan w:val="2"/>
            <w:shd w:val="clear" w:color="auto" w:fill="E36C0A" w:themeFill="accent6" w:themeFillShade="BF"/>
            <w:vAlign w:val="center"/>
          </w:tcPr>
          <w:p w:rsidR="00EE0C8C" w:rsidRPr="00EE0C8C" w:rsidRDefault="00EE0C8C" w:rsidP="00EE0C8C">
            <w:pPr>
              <w:widowControl w:val="0"/>
              <w:tabs>
                <w:tab w:val="left" w:pos="142"/>
                <w:tab w:val="left" w:pos="284"/>
              </w:tabs>
              <w:spacing w:after="0" w:line="240" w:lineRule="auto"/>
              <w:contextualSpacing/>
              <w:jc w:val="center"/>
              <w:rPr>
                <w:rFonts w:ascii="Calibri" w:eastAsia="Times New Roman" w:hAnsi="Calibri" w:cs="Times New Roman"/>
                <w:b/>
                <w:lang w:eastAsia="pl-PL"/>
              </w:rPr>
            </w:pPr>
            <w:r w:rsidRPr="00EE0C8C">
              <w:rPr>
                <w:rFonts w:ascii="Calibri" w:eastAsia="Calibri" w:hAnsi="Calibri" w:cs="Times New Roman"/>
                <w:b/>
                <w:lang w:eastAsia="pl-PL"/>
              </w:rPr>
              <w:t>SFERA GOSPODARCZA</w:t>
            </w:r>
          </w:p>
        </w:tc>
      </w:tr>
      <w:tr w:rsidR="00EE0C8C" w:rsidRPr="00EE0C8C" w:rsidTr="00A76BDB">
        <w:tc>
          <w:tcPr>
            <w:tcW w:w="4589" w:type="dxa"/>
          </w:tcPr>
          <w:p w:rsidR="00EE0C8C" w:rsidRPr="00EE0C8C" w:rsidRDefault="00EE0C8C" w:rsidP="00DC61B1">
            <w:pPr>
              <w:widowControl w:val="0"/>
              <w:numPr>
                <w:ilvl w:val="0"/>
                <w:numId w:val="18"/>
              </w:numPr>
              <w:tabs>
                <w:tab w:val="left" w:pos="142"/>
                <w:tab w:val="left" w:pos="284"/>
              </w:tabs>
              <w:spacing w:after="120" w:line="240" w:lineRule="auto"/>
              <w:contextualSpacing/>
              <w:rPr>
                <w:rFonts w:ascii="Calibri" w:eastAsia="Times New Roman" w:hAnsi="Calibri" w:cs="Times New Roman"/>
              </w:rPr>
            </w:pPr>
            <w:r w:rsidRPr="00EE0C8C">
              <w:rPr>
                <w:rFonts w:ascii="Calibri" w:eastAsia="Times New Roman" w:hAnsi="Calibri" w:cs="Times New Roman"/>
              </w:rPr>
              <w:t>Spory udział mikro i małych przedsiębiorców w gospodarce Gminy;</w:t>
            </w:r>
          </w:p>
          <w:p w:rsidR="00EE0C8C" w:rsidRPr="00EE0C8C" w:rsidRDefault="00EE0C8C" w:rsidP="00DC61B1">
            <w:pPr>
              <w:widowControl w:val="0"/>
              <w:numPr>
                <w:ilvl w:val="0"/>
                <w:numId w:val="18"/>
              </w:numPr>
              <w:tabs>
                <w:tab w:val="left" w:pos="142"/>
                <w:tab w:val="left" w:pos="284"/>
              </w:tabs>
              <w:spacing w:after="120" w:line="240" w:lineRule="auto"/>
              <w:contextualSpacing/>
              <w:rPr>
                <w:rFonts w:ascii="Calibri" w:eastAsia="Times New Roman" w:hAnsi="Calibri" w:cs="Times New Roman"/>
              </w:rPr>
            </w:pPr>
            <w:r w:rsidRPr="00EE0C8C">
              <w:rPr>
                <w:rFonts w:ascii="Calibri" w:eastAsia="Times New Roman" w:hAnsi="Calibri" w:cs="Times New Roman"/>
              </w:rPr>
              <w:t>Brak dużych przedsiębiorstw wymagających restrukturyzacji;</w:t>
            </w:r>
          </w:p>
          <w:p w:rsidR="00EE0C8C" w:rsidRPr="00EE0C8C" w:rsidRDefault="00EE0C8C" w:rsidP="00DC61B1">
            <w:pPr>
              <w:widowControl w:val="0"/>
              <w:numPr>
                <w:ilvl w:val="0"/>
                <w:numId w:val="18"/>
              </w:numPr>
              <w:tabs>
                <w:tab w:val="left" w:pos="142"/>
                <w:tab w:val="left" w:pos="284"/>
              </w:tabs>
              <w:spacing w:after="120" w:line="240" w:lineRule="auto"/>
              <w:contextualSpacing/>
              <w:rPr>
                <w:rFonts w:ascii="Calibri" w:eastAsia="Times New Roman" w:hAnsi="Calibri" w:cs="Times New Roman"/>
              </w:rPr>
            </w:pPr>
            <w:r w:rsidRPr="00EE0C8C">
              <w:rPr>
                <w:rFonts w:ascii="Calibri" w:eastAsia="Times New Roman" w:hAnsi="Calibri" w:cs="Times New Roman"/>
              </w:rPr>
              <w:t xml:space="preserve">Dobry potencjał dla rozwoju różnych form turystyki (w tym agroturystyka) </w:t>
            </w:r>
            <w:r w:rsidRPr="00EE0C8C">
              <w:rPr>
                <w:rFonts w:ascii="Calibri" w:eastAsia="Times New Roman" w:hAnsi="Calibri" w:cs="Times New Roman"/>
              </w:rPr>
              <w:br/>
              <w:t>i związanych z nią usług;</w:t>
            </w:r>
          </w:p>
          <w:p w:rsidR="00EE0C8C" w:rsidRPr="00EE0C8C" w:rsidRDefault="00EE0C8C" w:rsidP="00DC61B1">
            <w:pPr>
              <w:widowControl w:val="0"/>
              <w:numPr>
                <w:ilvl w:val="0"/>
                <w:numId w:val="18"/>
              </w:numPr>
              <w:tabs>
                <w:tab w:val="left" w:pos="142"/>
                <w:tab w:val="left" w:pos="284"/>
              </w:tabs>
              <w:spacing w:after="120" w:line="240" w:lineRule="auto"/>
              <w:contextualSpacing/>
              <w:rPr>
                <w:rFonts w:ascii="Calibri" w:eastAsia="Times New Roman" w:hAnsi="Calibri" w:cs="Times New Roman"/>
              </w:rPr>
            </w:pPr>
            <w:r w:rsidRPr="00EE0C8C">
              <w:rPr>
                <w:rFonts w:ascii="Calibri" w:eastAsia="Times New Roman" w:hAnsi="Calibri" w:cs="Times New Roman"/>
              </w:rPr>
              <w:t>Potencjalne tereny do zainwestowania pod przyszłe strefy aktywności gospodarczej .</w:t>
            </w:r>
          </w:p>
        </w:tc>
        <w:tc>
          <w:tcPr>
            <w:tcW w:w="4589" w:type="dxa"/>
          </w:tcPr>
          <w:p w:rsidR="00EE0C8C" w:rsidRPr="00EE0C8C" w:rsidRDefault="00EE0C8C" w:rsidP="00DC61B1">
            <w:pPr>
              <w:widowControl w:val="0"/>
              <w:numPr>
                <w:ilvl w:val="0"/>
                <w:numId w:val="19"/>
              </w:numPr>
              <w:tabs>
                <w:tab w:val="left" w:pos="142"/>
                <w:tab w:val="left" w:pos="284"/>
              </w:tabs>
              <w:spacing w:after="120" w:line="240" w:lineRule="auto"/>
              <w:contextualSpacing/>
              <w:rPr>
                <w:rFonts w:ascii="Calibri" w:eastAsia="Times New Roman" w:hAnsi="Calibri" w:cs="Times New Roman"/>
              </w:rPr>
            </w:pPr>
            <w:r w:rsidRPr="00EE0C8C">
              <w:rPr>
                <w:rFonts w:ascii="Calibri" w:eastAsia="Times New Roman" w:hAnsi="Calibri" w:cs="Times New Roman"/>
              </w:rPr>
              <w:t>Duże rozdrobnienie gospodarstw rolnych;</w:t>
            </w:r>
          </w:p>
          <w:p w:rsidR="00EE0C8C" w:rsidRPr="00EE0C8C" w:rsidRDefault="00EE0C8C" w:rsidP="00DC61B1">
            <w:pPr>
              <w:widowControl w:val="0"/>
              <w:numPr>
                <w:ilvl w:val="0"/>
                <w:numId w:val="19"/>
              </w:numPr>
              <w:tabs>
                <w:tab w:val="left" w:pos="142"/>
                <w:tab w:val="left" w:pos="284"/>
              </w:tabs>
              <w:spacing w:after="120" w:line="240" w:lineRule="auto"/>
              <w:contextualSpacing/>
              <w:rPr>
                <w:rFonts w:ascii="Calibri" w:eastAsia="Times New Roman" w:hAnsi="Calibri" w:cs="Times New Roman"/>
              </w:rPr>
            </w:pPr>
            <w:r w:rsidRPr="00EE0C8C">
              <w:rPr>
                <w:rFonts w:ascii="Calibri" w:eastAsia="Times New Roman" w:hAnsi="Calibri" w:cs="Times New Roman"/>
              </w:rPr>
              <w:t>Zbyt niskie nakłady środków budżetowych Gminy na promocję gospodarczą Gminy;</w:t>
            </w:r>
          </w:p>
          <w:p w:rsidR="00EE0C8C" w:rsidRPr="00EE0C8C" w:rsidRDefault="00EE0C8C" w:rsidP="00DC61B1">
            <w:pPr>
              <w:widowControl w:val="0"/>
              <w:numPr>
                <w:ilvl w:val="0"/>
                <w:numId w:val="19"/>
              </w:numPr>
              <w:tabs>
                <w:tab w:val="left" w:pos="142"/>
                <w:tab w:val="left" w:pos="284"/>
              </w:tabs>
              <w:spacing w:after="120" w:line="240" w:lineRule="auto"/>
              <w:contextualSpacing/>
              <w:rPr>
                <w:rFonts w:ascii="Calibri" w:eastAsia="Times New Roman" w:hAnsi="Calibri" w:cs="Times New Roman"/>
              </w:rPr>
            </w:pPr>
            <w:r w:rsidRPr="00EE0C8C">
              <w:rPr>
                <w:rFonts w:ascii="Calibri" w:eastAsia="Times New Roman" w:hAnsi="Calibri" w:cs="Times New Roman"/>
              </w:rPr>
              <w:t>Słabe zaangażowanie na rzecz przedsiębiorczości instytucji otoczenia biznesu.</w:t>
            </w:r>
          </w:p>
        </w:tc>
      </w:tr>
      <w:tr w:rsidR="00EE0C8C" w:rsidRPr="00EE0C8C" w:rsidTr="00A76BDB">
        <w:trPr>
          <w:trHeight w:val="550"/>
        </w:trPr>
        <w:tc>
          <w:tcPr>
            <w:tcW w:w="9178" w:type="dxa"/>
            <w:gridSpan w:val="2"/>
            <w:shd w:val="clear" w:color="auto" w:fill="365F91"/>
            <w:vAlign w:val="center"/>
          </w:tcPr>
          <w:p w:rsidR="00EE0C8C" w:rsidRPr="00EE0C8C" w:rsidRDefault="00EE0C8C" w:rsidP="00EE0C8C">
            <w:pPr>
              <w:widowControl w:val="0"/>
              <w:tabs>
                <w:tab w:val="left" w:pos="142"/>
                <w:tab w:val="left" w:pos="284"/>
              </w:tabs>
              <w:spacing w:after="0" w:line="240" w:lineRule="auto"/>
              <w:ind w:firstLine="567"/>
              <w:contextualSpacing/>
              <w:jc w:val="center"/>
              <w:rPr>
                <w:rFonts w:ascii="Calibri" w:eastAsia="Times New Roman" w:hAnsi="Calibri" w:cs="Times New Roman"/>
                <w:b/>
                <w:color w:val="FFFFFF"/>
                <w:lang w:eastAsia="pl-PL"/>
              </w:rPr>
            </w:pPr>
            <w:r w:rsidRPr="00EE0C8C">
              <w:rPr>
                <w:rFonts w:ascii="Calibri" w:eastAsia="Times New Roman" w:hAnsi="Calibri" w:cs="Times New Roman"/>
                <w:b/>
                <w:color w:val="FFFFFF"/>
                <w:lang w:eastAsia="pl-PL"/>
              </w:rPr>
              <w:t>CZYNNIKI ZEWNĘTRZNE</w:t>
            </w:r>
          </w:p>
        </w:tc>
      </w:tr>
      <w:tr w:rsidR="00EE0C8C" w:rsidRPr="00EE0C8C" w:rsidTr="00A76BDB">
        <w:trPr>
          <w:trHeight w:val="550"/>
        </w:trPr>
        <w:tc>
          <w:tcPr>
            <w:tcW w:w="4589" w:type="dxa"/>
            <w:shd w:val="clear" w:color="auto" w:fill="FFFF00"/>
            <w:vAlign w:val="center"/>
          </w:tcPr>
          <w:p w:rsidR="00EE0C8C" w:rsidRPr="00EE0C8C" w:rsidRDefault="00EE0C8C" w:rsidP="00EE0C8C">
            <w:pPr>
              <w:spacing w:after="0" w:line="240" w:lineRule="auto"/>
              <w:ind w:left="567" w:hanging="567"/>
              <w:jc w:val="center"/>
              <w:rPr>
                <w:rFonts w:ascii="Calibri" w:eastAsia="Calibri" w:hAnsi="Calibri" w:cs="Times New Roman"/>
                <w:b/>
                <w:lang w:eastAsia="pl-PL"/>
              </w:rPr>
            </w:pPr>
            <w:r w:rsidRPr="00EE0C8C">
              <w:rPr>
                <w:rFonts w:ascii="Calibri" w:eastAsia="Calibri" w:hAnsi="Calibri" w:cs="Times New Roman"/>
                <w:b/>
                <w:lang w:eastAsia="pl-PL"/>
              </w:rPr>
              <w:t>SZANSE</w:t>
            </w:r>
          </w:p>
        </w:tc>
        <w:tc>
          <w:tcPr>
            <w:tcW w:w="4589" w:type="dxa"/>
            <w:shd w:val="clear" w:color="auto" w:fill="FFFF00"/>
            <w:vAlign w:val="center"/>
          </w:tcPr>
          <w:p w:rsidR="00EE0C8C" w:rsidRPr="00EE0C8C" w:rsidRDefault="00EE0C8C" w:rsidP="00EE0C8C">
            <w:pPr>
              <w:spacing w:after="0" w:line="240" w:lineRule="auto"/>
              <w:ind w:left="567" w:hanging="567"/>
              <w:jc w:val="center"/>
              <w:rPr>
                <w:rFonts w:ascii="Calibri" w:eastAsia="Calibri" w:hAnsi="Calibri" w:cs="Times New Roman"/>
                <w:b/>
                <w:lang w:eastAsia="pl-PL"/>
              </w:rPr>
            </w:pPr>
            <w:r w:rsidRPr="00EE0C8C">
              <w:rPr>
                <w:rFonts w:ascii="Calibri" w:eastAsia="Calibri" w:hAnsi="Calibri" w:cs="Times New Roman"/>
                <w:b/>
                <w:lang w:eastAsia="pl-PL"/>
              </w:rPr>
              <w:t>ZAGROŻENIA</w:t>
            </w:r>
          </w:p>
        </w:tc>
      </w:tr>
      <w:tr w:rsidR="00EE0C8C" w:rsidRPr="00EE0C8C" w:rsidTr="00A76BDB">
        <w:tc>
          <w:tcPr>
            <w:tcW w:w="9178" w:type="dxa"/>
            <w:gridSpan w:val="2"/>
            <w:shd w:val="clear" w:color="auto" w:fill="E36C0A" w:themeFill="accent6" w:themeFillShade="BF"/>
            <w:vAlign w:val="center"/>
          </w:tcPr>
          <w:p w:rsidR="00EE0C8C" w:rsidRPr="00EE0C8C" w:rsidRDefault="00EE0C8C" w:rsidP="00EE0C8C">
            <w:pPr>
              <w:spacing w:after="0" w:line="240" w:lineRule="auto"/>
              <w:jc w:val="center"/>
              <w:rPr>
                <w:rFonts w:ascii="Calibri" w:eastAsia="Times New Roman" w:hAnsi="Calibri" w:cs="Times New Roman"/>
                <w:b/>
                <w:lang w:eastAsia="pl-PL"/>
              </w:rPr>
            </w:pPr>
            <w:r w:rsidRPr="00EE0C8C">
              <w:rPr>
                <w:rFonts w:ascii="Calibri" w:eastAsia="Times New Roman" w:hAnsi="Calibri" w:cs="Times New Roman"/>
                <w:b/>
                <w:lang w:eastAsia="pl-PL"/>
              </w:rPr>
              <w:t>SFERA GOSPODARCZA</w:t>
            </w:r>
          </w:p>
        </w:tc>
      </w:tr>
      <w:tr w:rsidR="00EE0C8C" w:rsidRPr="00EE0C8C" w:rsidTr="00A76BDB">
        <w:trPr>
          <w:trHeight w:val="850"/>
        </w:trPr>
        <w:tc>
          <w:tcPr>
            <w:tcW w:w="4589" w:type="dxa"/>
          </w:tcPr>
          <w:p w:rsidR="00EE0C8C" w:rsidRPr="00EE0C8C" w:rsidRDefault="00EE0C8C" w:rsidP="00DC61B1">
            <w:pPr>
              <w:widowControl w:val="0"/>
              <w:numPr>
                <w:ilvl w:val="0"/>
                <w:numId w:val="17"/>
              </w:numPr>
              <w:tabs>
                <w:tab w:val="left" w:pos="284"/>
              </w:tabs>
              <w:spacing w:after="120" w:line="240" w:lineRule="auto"/>
              <w:ind w:left="743" w:hanging="425"/>
              <w:contextualSpacing/>
              <w:rPr>
                <w:rFonts w:ascii="Calibri" w:eastAsia="Times New Roman" w:hAnsi="Calibri" w:cs="Times New Roman"/>
              </w:rPr>
            </w:pPr>
            <w:r w:rsidRPr="00EE0C8C">
              <w:rPr>
                <w:rFonts w:ascii="Calibri" w:eastAsia="Times New Roman" w:hAnsi="Calibri" w:cs="Times New Roman"/>
              </w:rPr>
              <w:t>Coraz bardziej przyjazna polityka podatkowa, sprzyjająca przedsiębiorcom;</w:t>
            </w:r>
          </w:p>
          <w:p w:rsidR="00EE0C8C" w:rsidRPr="00EE0C8C" w:rsidRDefault="00EE0C8C" w:rsidP="00DC61B1">
            <w:pPr>
              <w:widowControl w:val="0"/>
              <w:numPr>
                <w:ilvl w:val="0"/>
                <w:numId w:val="17"/>
              </w:numPr>
              <w:tabs>
                <w:tab w:val="left" w:pos="284"/>
              </w:tabs>
              <w:spacing w:after="120" w:line="240" w:lineRule="auto"/>
              <w:ind w:left="743" w:hanging="425"/>
              <w:contextualSpacing/>
              <w:rPr>
                <w:rFonts w:ascii="Calibri" w:eastAsia="Times New Roman" w:hAnsi="Calibri" w:cs="Times New Roman"/>
              </w:rPr>
            </w:pPr>
            <w:r w:rsidRPr="00EE0C8C">
              <w:rPr>
                <w:rFonts w:ascii="Calibri" w:eastAsia="Times New Roman" w:hAnsi="Calibri" w:cs="Times New Roman"/>
              </w:rPr>
              <w:t>Możliwość uzyskania środków finansowych z funduszy Unii Europejskiej w nowej perspektywie 2015 – 2020;</w:t>
            </w:r>
          </w:p>
          <w:p w:rsidR="00EE0C8C" w:rsidRPr="00EE0C8C" w:rsidRDefault="00EE0C8C" w:rsidP="00DC61B1">
            <w:pPr>
              <w:widowControl w:val="0"/>
              <w:numPr>
                <w:ilvl w:val="0"/>
                <w:numId w:val="17"/>
              </w:numPr>
              <w:tabs>
                <w:tab w:val="left" w:pos="284"/>
              </w:tabs>
              <w:spacing w:after="120" w:line="240" w:lineRule="auto"/>
              <w:ind w:left="743" w:hanging="425"/>
              <w:contextualSpacing/>
              <w:rPr>
                <w:rFonts w:ascii="Calibri" w:eastAsia="Times New Roman" w:hAnsi="Calibri" w:cs="Times New Roman"/>
              </w:rPr>
            </w:pPr>
            <w:r w:rsidRPr="00EE0C8C">
              <w:rPr>
                <w:rFonts w:ascii="Calibri" w:eastAsia="Times New Roman" w:hAnsi="Calibri" w:cs="Times New Roman"/>
              </w:rPr>
              <w:t>Promocja regionu;</w:t>
            </w:r>
          </w:p>
          <w:p w:rsidR="00EE0C8C" w:rsidRPr="00EE0C8C" w:rsidRDefault="00EE0C8C" w:rsidP="00DC61B1">
            <w:pPr>
              <w:widowControl w:val="0"/>
              <w:numPr>
                <w:ilvl w:val="0"/>
                <w:numId w:val="17"/>
              </w:numPr>
              <w:tabs>
                <w:tab w:val="left" w:pos="284"/>
              </w:tabs>
              <w:spacing w:after="120" w:line="240" w:lineRule="auto"/>
              <w:ind w:left="743" w:hanging="425"/>
              <w:contextualSpacing/>
              <w:rPr>
                <w:rFonts w:ascii="Calibri" w:eastAsia="Times New Roman" w:hAnsi="Calibri" w:cs="Times New Roman"/>
              </w:rPr>
            </w:pPr>
            <w:r w:rsidRPr="00EE0C8C">
              <w:rPr>
                <w:rFonts w:ascii="Calibri" w:eastAsia="Times New Roman" w:hAnsi="Calibri" w:cs="Times New Roman"/>
              </w:rPr>
              <w:t>Rozwój tzw. czystego przemysłu;</w:t>
            </w:r>
          </w:p>
          <w:p w:rsidR="00EE0C8C" w:rsidRPr="00EE0C8C" w:rsidRDefault="00EE0C8C" w:rsidP="00DC61B1">
            <w:pPr>
              <w:widowControl w:val="0"/>
              <w:numPr>
                <w:ilvl w:val="0"/>
                <w:numId w:val="17"/>
              </w:numPr>
              <w:tabs>
                <w:tab w:val="left" w:pos="284"/>
              </w:tabs>
              <w:spacing w:after="120" w:line="240" w:lineRule="auto"/>
              <w:ind w:left="743" w:hanging="425"/>
              <w:contextualSpacing/>
              <w:rPr>
                <w:rFonts w:ascii="Calibri" w:eastAsia="Times New Roman" w:hAnsi="Calibri" w:cs="Times New Roman"/>
              </w:rPr>
            </w:pPr>
            <w:r w:rsidRPr="00EE0C8C">
              <w:rPr>
                <w:rFonts w:ascii="Calibri" w:eastAsia="Times New Roman" w:hAnsi="Calibri" w:cs="Times New Roman"/>
              </w:rPr>
              <w:t>Rozwój agroturystyki i ekoturystyki.</w:t>
            </w:r>
          </w:p>
        </w:tc>
        <w:tc>
          <w:tcPr>
            <w:tcW w:w="4589" w:type="dxa"/>
          </w:tcPr>
          <w:p w:rsidR="00EE0C8C" w:rsidRPr="00EE0C8C" w:rsidRDefault="00EE0C8C" w:rsidP="00DC61B1">
            <w:pPr>
              <w:numPr>
                <w:ilvl w:val="0"/>
                <w:numId w:val="20"/>
              </w:numPr>
              <w:spacing w:after="120" w:line="240" w:lineRule="auto"/>
              <w:contextualSpacing/>
              <w:rPr>
                <w:rFonts w:ascii="Calibri" w:eastAsia="Times New Roman" w:hAnsi="Calibri" w:cs="Times New Roman"/>
                <w:lang w:eastAsia="pl-PL"/>
              </w:rPr>
            </w:pPr>
            <w:r w:rsidRPr="00EE0C8C">
              <w:rPr>
                <w:rFonts w:ascii="Calibri" w:eastAsia="Times New Roman" w:hAnsi="Calibri" w:cs="Times New Roman"/>
                <w:lang w:eastAsia="pl-PL"/>
              </w:rPr>
              <w:t>Brak dostępu do nowoczesnych technologii;</w:t>
            </w:r>
          </w:p>
          <w:p w:rsidR="00EE0C8C" w:rsidRPr="00EE0C8C" w:rsidRDefault="00EE0C8C" w:rsidP="00DC61B1">
            <w:pPr>
              <w:numPr>
                <w:ilvl w:val="0"/>
                <w:numId w:val="20"/>
              </w:numPr>
              <w:spacing w:after="120" w:line="240" w:lineRule="auto"/>
              <w:contextualSpacing/>
              <w:rPr>
                <w:rFonts w:ascii="Calibri" w:eastAsia="Times New Roman" w:hAnsi="Calibri" w:cs="Times New Roman"/>
                <w:lang w:eastAsia="pl-PL"/>
              </w:rPr>
            </w:pPr>
            <w:r w:rsidRPr="00EE0C8C">
              <w:rPr>
                <w:rFonts w:ascii="Calibri" w:eastAsia="Times New Roman" w:hAnsi="Calibri" w:cs="Times New Roman"/>
                <w:lang w:eastAsia="pl-PL"/>
              </w:rPr>
              <w:t>Brak inwestycji w sektor badawczo-rozwojowy (B+R);</w:t>
            </w:r>
          </w:p>
          <w:p w:rsidR="00EE0C8C" w:rsidRPr="00EE0C8C" w:rsidRDefault="00EE0C8C" w:rsidP="00DC61B1">
            <w:pPr>
              <w:numPr>
                <w:ilvl w:val="0"/>
                <w:numId w:val="20"/>
              </w:numPr>
              <w:spacing w:after="120" w:line="240" w:lineRule="auto"/>
              <w:contextualSpacing/>
              <w:rPr>
                <w:rFonts w:ascii="Calibri" w:eastAsia="Times New Roman" w:hAnsi="Calibri" w:cs="Times New Roman"/>
                <w:lang w:eastAsia="pl-PL"/>
              </w:rPr>
            </w:pPr>
            <w:r w:rsidRPr="00EE0C8C">
              <w:rPr>
                <w:rFonts w:ascii="Calibri" w:eastAsia="Times New Roman" w:hAnsi="Calibri" w:cs="Times New Roman"/>
                <w:lang w:eastAsia="pl-PL"/>
              </w:rPr>
              <w:t>Kryzys ekonomiczny;</w:t>
            </w:r>
          </w:p>
          <w:p w:rsidR="00EE0C8C" w:rsidRPr="00EE0C8C" w:rsidRDefault="00EE0C8C" w:rsidP="00DC61B1">
            <w:pPr>
              <w:numPr>
                <w:ilvl w:val="0"/>
                <w:numId w:val="20"/>
              </w:numPr>
              <w:spacing w:after="120" w:line="240" w:lineRule="auto"/>
              <w:contextualSpacing/>
              <w:rPr>
                <w:rFonts w:ascii="Calibri" w:eastAsia="Times New Roman" w:hAnsi="Calibri" w:cs="Times New Roman"/>
                <w:lang w:eastAsia="pl-PL"/>
              </w:rPr>
            </w:pPr>
            <w:r w:rsidRPr="00EE0C8C">
              <w:rPr>
                <w:rFonts w:ascii="Calibri" w:eastAsia="Times New Roman" w:hAnsi="Calibri" w:cs="Times New Roman"/>
                <w:lang w:eastAsia="pl-PL"/>
              </w:rPr>
              <w:t>Niski poziom konkurencyjności przedsiębiorców i brak współpracy pomiędzy nimi.</w:t>
            </w:r>
          </w:p>
        </w:tc>
      </w:tr>
    </w:tbl>
    <w:p w:rsidR="00EE0C8C" w:rsidRPr="00EE0C8C" w:rsidRDefault="00EE0C8C" w:rsidP="00A76BDB">
      <w:pPr>
        <w:pStyle w:val="Nagwek2"/>
      </w:pPr>
      <w:bookmarkStart w:id="100" w:name="_Toc450562506"/>
      <w:r w:rsidRPr="00EE0C8C">
        <w:lastRenderedPageBreak/>
        <w:t>4.3. IDENTYFIKACJA PROBLEMÓW W OBSZARZE SPOŁECZNYM</w:t>
      </w:r>
      <w:bookmarkEnd w:id="98"/>
      <w:bookmarkEnd w:id="100"/>
    </w:p>
    <w:p w:rsidR="00EE0C8C" w:rsidRPr="00EE0C8C" w:rsidRDefault="00EE0C8C" w:rsidP="00EE0C8C">
      <w:pPr>
        <w:spacing w:after="0"/>
        <w:rPr>
          <w:rFonts w:ascii="Calibri" w:eastAsia="Times New Roman" w:hAnsi="Calibri" w:cs="Times New Roman"/>
          <w:lang w:eastAsia="pl-PL"/>
        </w:rPr>
      </w:pPr>
    </w:p>
    <w:p w:rsidR="00EE0C8C" w:rsidRPr="00EE0C8C" w:rsidRDefault="00EE0C8C" w:rsidP="00EE0C8C">
      <w:pPr>
        <w:spacing w:after="0"/>
        <w:rPr>
          <w:rFonts w:ascii="Calibri" w:eastAsia="Calibri" w:hAnsi="Calibri" w:cs="Times New Roman"/>
          <w:lang w:eastAsia="pl-PL"/>
        </w:rPr>
      </w:pPr>
      <w:r w:rsidRPr="00EE0C8C">
        <w:rPr>
          <w:rFonts w:ascii="Calibri" w:eastAsia="Times New Roman" w:hAnsi="Calibri" w:cs="Times New Roman"/>
          <w:lang w:eastAsia="pl-PL"/>
        </w:rPr>
        <w:t>W Gminie Mirzec występują następujące problemy w obszarze społecznym:</w:t>
      </w:r>
    </w:p>
    <w:p w:rsidR="00EE0C8C" w:rsidRPr="00EE0C8C" w:rsidRDefault="00EE0C8C" w:rsidP="00DC61B1">
      <w:pPr>
        <w:numPr>
          <w:ilvl w:val="0"/>
          <w:numId w:val="21"/>
        </w:numPr>
        <w:spacing w:after="0"/>
        <w:contextualSpacing/>
        <w:rPr>
          <w:rFonts w:ascii="Calibri" w:eastAsia="Times New Roman" w:hAnsi="Calibri" w:cs="Times New Roman"/>
          <w:lang w:eastAsia="pl-PL"/>
        </w:rPr>
      </w:pPr>
      <w:r w:rsidRPr="00EE0C8C">
        <w:rPr>
          <w:rFonts w:ascii="Calibri" w:eastAsia="Times New Roman" w:hAnsi="Calibri" w:cs="Times New Roman"/>
          <w:lang w:eastAsia="pl-PL"/>
        </w:rPr>
        <w:t>Duże bezrobocie,</w:t>
      </w:r>
    </w:p>
    <w:p w:rsidR="00EE0C8C" w:rsidRPr="00EE0C8C" w:rsidRDefault="00EE0C8C" w:rsidP="00DC61B1">
      <w:pPr>
        <w:numPr>
          <w:ilvl w:val="0"/>
          <w:numId w:val="21"/>
        </w:numPr>
        <w:spacing w:after="0"/>
        <w:contextualSpacing/>
        <w:rPr>
          <w:rFonts w:ascii="Calibri" w:eastAsia="Times New Roman" w:hAnsi="Calibri" w:cs="Times New Roman"/>
          <w:lang w:eastAsia="pl-PL"/>
        </w:rPr>
      </w:pPr>
      <w:r w:rsidRPr="00EE0C8C">
        <w:rPr>
          <w:rFonts w:ascii="Calibri" w:eastAsia="Times New Roman" w:hAnsi="Calibri" w:cs="Times New Roman"/>
          <w:lang w:eastAsia="pl-PL"/>
        </w:rPr>
        <w:t>Emigracja ludzi młodych za granicę,</w:t>
      </w:r>
    </w:p>
    <w:p w:rsidR="00EE0C8C" w:rsidRPr="00EE0C8C" w:rsidRDefault="00EE0C8C" w:rsidP="00DC61B1">
      <w:pPr>
        <w:numPr>
          <w:ilvl w:val="0"/>
          <w:numId w:val="21"/>
        </w:numPr>
        <w:spacing w:after="0"/>
        <w:contextualSpacing/>
        <w:rPr>
          <w:rFonts w:ascii="Calibri" w:eastAsia="Times New Roman" w:hAnsi="Calibri" w:cs="Times New Roman"/>
          <w:lang w:eastAsia="pl-PL"/>
        </w:rPr>
      </w:pPr>
      <w:r w:rsidRPr="00EE0C8C">
        <w:rPr>
          <w:rFonts w:ascii="Calibri" w:eastAsia="Times New Roman" w:hAnsi="Calibri" w:cs="Times New Roman"/>
          <w:lang w:eastAsia="pl-PL"/>
        </w:rPr>
        <w:t>Niż demograficzny,</w:t>
      </w:r>
    </w:p>
    <w:p w:rsidR="00EE0C8C" w:rsidRPr="00EE0C8C" w:rsidRDefault="00EE0C8C" w:rsidP="00DC61B1">
      <w:pPr>
        <w:numPr>
          <w:ilvl w:val="0"/>
          <w:numId w:val="21"/>
        </w:numPr>
        <w:spacing w:after="0"/>
        <w:contextualSpacing/>
        <w:rPr>
          <w:rFonts w:ascii="Calibri" w:eastAsia="Times New Roman" w:hAnsi="Calibri" w:cs="Times New Roman"/>
          <w:lang w:eastAsia="pl-PL"/>
        </w:rPr>
      </w:pPr>
      <w:r w:rsidRPr="00EE0C8C">
        <w:rPr>
          <w:rFonts w:ascii="Calibri" w:eastAsia="Times New Roman" w:hAnsi="Calibri" w:cs="Times New Roman"/>
          <w:lang w:eastAsia="pl-PL"/>
        </w:rPr>
        <w:t>Starzejące się społeczeństwo,</w:t>
      </w:r>
    </w:p>
    <w:p w:rsidR="00EE0C8C" w:rsidRPr="00EE0C8C" w:rsidRDefault="00EE0C8C" w:rsidP="00DC61B1">
      <w:pPr>
        <w:numPr>
          <w:ilvl w:val="0"/>
          <w:numId w:val="21"/>
        </w:numPr>
        <w:spacing w:after="0"/>
        <w:contextualSpacing/>
        <w:rPr>
          <w:rFonts w:ascii="Calibri" w:eastAsia="Times New Roman" w:hAnsi="Calibri" w:cs="Times New Roman"/>
          <w:lang w:eastAsia="pl-PL"/>
        </w:rPr>
      </w:pPr>
      <w:r w:rsidRPr="00EE0C8C">
        <w:rPr>
          <w:rFonts w:ascii="Calibri" w:eastAsia="Times New Roman" w:hAnsi="Calibri" w:cs="Times New Roman"/>
          <w:lang w:eastAsia="pl-PL"/>
        </w:rPr>
        <w:t>Niewystarczająca oferta zajęć dodatkowych dla dzieci/młodzieży/seniorów,</w:t>
      </w:r>
    </w:p>
    <w:p w:rsidR="00EE0C8C" w:rsidRPr="00EE0C8C" w:rsidRDefault="00EE0C8C" w:rsidP="00DC61B1">
      <w:pPr>
        <w:numPr>
          <w:ilvl w:val="0"/>
          <w:numId w:val="21"/>
        </w:numPr>
        <w:spacing w:after="0"/>
        <w:contextualSpacing/>
        <w:rPr>
          <w:rFonts w:ascii="Calibri" w:eastAsia="Times New Roman" w:hAnsi="Calibri" w:cs="Times New Roman"/>
          <w:lang w:eastAsia="pl-PL"/>
        </w:rPr>
      </w:pPr>
      <w:r w:rsidRPr="00EE0C8C">
        <w:rPr>
          <w:rFonts w:ascii="Calibri" w:eastAsia="Times New Roman" w:hAnsi="Calibri" w:cs="Times New Roman"/>
          <w:lang w:eastAsia="pl-PL"/>
        </w:rPr>
        <w:t>Niedostateczne wyposażenie w infrastrukturę dydaktyczną,</w:t>
      </w:r>
    </w:p>
    <w:p w:rsidR="00EE0C8C" w:rsidRPr="00EE0C8C" w:rsidRDefault="00EE0C8C" w:rsidP="00DC61B1">
      <w:pPr>
        <w:numPr>
          <w:ilvl w:val="0"/>
          <w:numId w:val="21"/>
        </w:numPr>
        <w:spacing w:after="0"/>
        <w:contextualSpacing/>
        <w:rPr>
          <w:rFonts w:ascii="Calibri" w:eastAsia="Times New Roman" w:hAnsi="Calibri" w:cs="Times New Roman"/>
          <w:lang w:eastAsia="pl-PL"/>
        </w:rPr>
      </w:pPr>
      <w:r w:rsidRPr="00EE0C8C">
        <w:rPr>
          <w:rFonts w:ascii="Calibri" w:eastAsia="Times New Roman" w:hAnsi="Calibri" w:cs="Times New Roman"/>
          <w:lang w:eastAsia="pl-PL"/>
        </w:rPr>
        <w:t>Niskie środki działania w zakresie edukacji, kultury i sportu,</w:t>
      </w:r>
    </w:p>
    <w:p w:rsidR="00EE0C8C" w:rsidRPr="00EE0C8C" w:rsidRDefault="00EE0C8C" w:rsidP="00DC61B1">
      <w:pPr>
        <w:numPr>
          <w:ilvl w:val="0"/>
          <w:numId w:val="21"/>
        </w:numPr>
        <w:spacing w:after="0"/>
        <w:contextualSpacing/>
        <w:rPr>
          <w:rFonts w:ascii="Calibri" w:eastAsia="Times New Roman" w:hAnsi="Calibri" w:cs="Times New Roman"/>
          <w:lang w:eastAsia="pl-PL"/>
        </w:rPr>
      </w:pPr>
      <w:r w:rsidRPr="00EE0C8C">
        <w:rPr>
          <w:rFonts w:ascii="Calibri" w:eastAsia="Times New Roman" w:hAnsi="Calibri" w:cs="Times New Roman"/>
          <w:lang w:eastAsia="pl-PL"/>
        </w:rPr>
        <w:t>Brak perspektyw pracy, rozwoju dla młodego pokolenia,</w:t>
      </w:r>
    </w:p>
    <w:p w:rsidR="00EE0C8C" w:rsidRPr="00EE0C8C" w:rsidRDefault="00EE0C8C" w:rsidP="00DC61B1">
      <w:pPr>
        <w:numPr>
          <w:ilvl w:val="0"/>
          <w:numId w:val="21"/>
        </w:numPr>
        <w:spacing w:after="0"/>
        <w:contextualSpacing/>
        <w:rPr>
          <w:rFonts w:ascii="Calibri" w:eastAsia="Times New Roman" w:hAnsi="Calibri" w:cs="Times New Roman"/>
          <w:lang w:eastAsia="pl-PL"/>
        </w:rPr>
      </w:pPr>
      <w:r w:rsidRPr="00EE0C8C">
        <w:rPr>
          <w:rFonts w:ascii="Calibri" w:eastAsia="Times New Roman" w:hAnsi="Calibri" w:cs="Times New Roman"/>
          <w:lang w:eastAsia="pl-PL"/>
        </w:rPr>
        <w:t>Brak motywacji podejmowania pracy (niskie wynagrodzenie, umowy „śmieciowe”),</w:t>
      </w:r>
    </w:p>
    <w:p w:rsidR="00EE0C8C" w:rsidRPr="00EE0C8C" w:rsidRDefault="00EE0C8C" w:rsidP="00DC61B1">
      <w:pPr>
        <w:numPr>
          <w:ilvl w:val="0"/>
          <w:numId w:val="21"/>
        </w:numPr>
        <w:spacing w:after="0"/>
        <w:contextualSpacing/>
        <w:rPr>
          <w:rFonts w:ascii="Calibri" w:eastAsia="Times New Roman" w:hAnsi="Calibri" w:cs="Times New Roman"/>
          <w:lang w:eastAsia="pl-PL"/>
        </w:rPr>
      </w:pPr>
      <w:r w:rsidRPr="00EE0C8C">
        <w:rPr>
          <w:rFonts w:ascii="Calibri" w:eastAsia="Times New Roman" w:hAnsi="Calibri" w:cs="Times New Roman"/>
          <w:lang w:eastAsia="pl-PL"/>
        </w:rPr>
        <w:t>Ograniczenie opieki zdrowotnej, jej centralizacja, ograniczony dostęp do specjalistów,</w:t>
      </w:r>
    </w:p>
    <w:p w:rsidR="00EE0C8C" w:rsidRPr="00EE0C8C" w:rsidRDefault="00EE0C8C" w:rsidP="00DC61B1">
      <w:pPr>
        <w:numPr>
          <w:ilvl w:val="0"/>
          <w:numId w:val="21"/>
        </w:numPr>
        <w:spacing w:after="0"/>
        <w:contextualSpacing/>
        <w:rPr>
          <w:rFonts w:ascii="Calibri" w:eastAsia="Times New Roman" w:hAnsi="Calibri" w:cs="Times New Roman"/>
          <w:lang w:eastAsia="pl-PL"/>
        </w:rPr>
      </w:pPr>
      <w:r w:rsidRPr="00EE0C8C">
        <w:rPr>
          <w:rFonts w:ascii="Calibri" w:eastAsia="Times New Roman" w:hAnsi="Calibri" w:cs="Times New Roman"/>
          <w:lang w:eastAsia="pl-PL"/>
        </w:rPr>
        <w:t>Niedostateczne wyposażenie ośrodków zdrowia w specjalistyczny sprzęt medyczny,</w:t>
      </w:r>
    </w:p>
    <w:p w:rsidR="00EE0C8C" w:rsidRPr="00EE0C8C" w:rsidRDefault="00EE0C8C" w:rsidP="00DC61B1">
      <w:pPr>
        <w:numPr>
          <w:ilvl w:val="0"/>
          <w:numId w:val="21"/>
        </w:numPr>
        <w:spacing w:after="0"/>
        <w:contextualSpacing/>
        <w:rPr>
          <w:rFonts w:ascii="Calibri" w:eastAsia="Times New Roman" w:hAnsi="Calibri" w:cs="Times New Roman"/>
          <w:lang w:eastAsia="pl-PL"/>
        </w:rPr>
      </w:pPr>
      <w:r w:rsidRPr="00EE0C8C">
        <w:rPr>
          <w:rFonts w:ascii="Calibri" w:eastAsia="Times New Roman" w:hAnsi="Calibri" w:cs="Times New Roman"/>
          <w:lang w:eastAsia="pl-PL"/>
        </w:rPr>
        <w:t>Słaba kondycja zdrowotna uczniów(</w:t>
      </w:r>
      <w:r w:rsidR="00D55655">
        <w:rPr>
          <w:rFonts w:ascii="Calibri" w:eastAsia="Times New Roman" w:hAnsi="Calibri" w:cs="Times New Roman"/>
          <w:lang w:eastAsia="pl-PL"/>
        </w:rPr>
        <w:t>progresja wad postawy i otyłości</w:t>
      </w:r>
      <w:r w:rsidRPr="00EE0C8C">
        <w:rPr>
          <w:rFonts w:ascii="Calibri" w:eastAsia="Times New Roman" w:hAnsi="Calibri" w:cs="Times New Roman"/>
          <w:lang w:eastAsia="pl-PL"/>
        </w:rPr>
        <w:t>)</w:t>
      </w:r>
    </w:p>
    <w:tbl>
      <w:tblPr>
        <w:tblpPr w:leftFromText="141" w:rightFromText="141" w:vertAnchor="text" w:horzAnchor="margin" w:tblpY="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9"/>
        <w:gridCol w:w="4589"/>
      </w:tblGrid>
      <w:tr w:rsidR="00A76BDB" w:rsidRPr="00EE0C8C" w:rsidTr="00A76BDB">
        <w:trPr>
          <w:trHeight w:val="490"/>
        </w:trPr>
        <w:tc>
          <w:tcPr>
            <w:tcW w:w="9178" w:type="dxa"/>
            <w:gridSpan w:val="2"/>
            <w:shd w:val="clear" w:color="auto" w:fill="365F91"/>
            <w:vAlign w:val="center"/>
          </w:tcPr>
          <w:p w:rsidR="00A76BDB" w:rsidRPr="00EE0C8C" w:rsidRDefault="00A76BDB" w:rsidP="00A76BDB">
            <w:pPr>
              <w:widowControl w:val="0"/>
              <w:tabs>
                <w:tab w:val="left" w:pos="142"/>
                <w:tab w:val="left" w:pos="284"/>
              </w:tabs>
              <w:spacing w:after="0" w:line="240" w:lineRule="auto"/>
              <w:contextualSpacing/>
              <w:jc w:val="center"/>
              <w:rPr>
                <w:rFonts w:ascii="Calibri" w:eastAsia="Times New Roman" w:hAnsi="Calibri" w:cs="Times New Roman"/>
                <w:b/>
                <w:color w:val="FFFFFF"/>
                <w:lang w:eastAsia="pl-PL"/>
              </w:rPr>
            </w:pPr>
            <w:r w:rsidRPr="00EE0C8C">
              <w:rPr>
                <w:rFonts w:ascii="Calibri" w:eastAsia="Times New Roman" w:hAnsi="Calibri" w:cs="Times New Roman"/>
                <w:b/>
                <w:color w:val="FFFFFF"/>
                <w:lang w:eastAsia="pl-PL"/>
              </w:rPr>
              <w:t>CZYNNIKI WEWNĘTRZNE</w:t>
            </w:r>
          </w:p>
        </w:tc>
      </w:tr>
      <w:tr w:rsidR="00A76BDB" w:rsidRPr="00EE0C8C" w:rsidTr="00A76BDB">
        <w:trPr>
          <w:trHeight w:val="490"/>
        </w:trPr>
        <w:tc>
          <w:tcPr>
            <w:tcW w:w="4589" w:type="dxa"/>
            <w:shd w:val="clear" w:color="auto" w:fill="FFFF00"/>
            <w:vAlign w:val="center"/>
          </w:tcPr>
          <w:p w:rsidR="00A76BDB" w:rsidRPr="00EE0C8C" w:rsidRDefault="00A76BDB" w:rsidP="00A76BDB">
            <w:pPr>
              <w:widowControl w:val="0"/>
              <w:tabs>
                <w:tab w:val="left" w:pos="142"/>
                <w:tab w:val="left" w:pos="284"/>
              </w:tabs>
              <w:spacing w:after="0" w:line="240" w:lineRule="auto"/>
              <w:contextualSpacing/>
              <w:jc w:val="center"/>
              <w:rPr>
                <w:rFonts w:ascii="Calibri" w:eastAsia="Times New Roman" w:hAnsi="Calibri" w:cs="Times New Roman"/>
                <w:b/>
                <w:lang w:eastAsia="pl-PL"/>
              </w:rPr>
            </w:pPr>
            <w:r w:rsidRPr="00EE0C8C">
              <w:rPr>
                <w:rFonts w:ascii="Calibri" w:eastAsia="Times New Roman" w:hAnsi="Calibri" w:cs="Times New Roman"/>
                <w:b/>
                <w:lang w:eastAsia="pl-PL"/>
              </w:rPr>
              <w:t>SILNE STRONY</w:t>
            </w:r>
          </w:p>
        </w:tc>
        <w:tc>
          <w:tcPr>
            <w:tcW w:w="4589" w:type="dxa"/>
            <w:shd w:val="clear" w:color="auto" w:fill="FFFF00"/>
            <w:vAlign w:val="center"/>
          </w:tcPr>
          <w:p w:rsidR="00A76BDB" w:rsidRPr="00EE0C8C" w:rsidRDefault="00A76BDB" w:rsidP="00A76BDB">
            <w:pPr>
              <w:widowControl w:val="0"/>
              <w:tabs>
                <w:tab w:val="left" w:pos="142"/>
                <w:tab w:val="left" w:pos="284"/>
              </w:tabs>
              <w:spacing w:after="0" w:line="240" w:lineRule="auto"/>
              <w:contextualSpacing/>
              <w:jc w:val="center"/>
              <w:rPr>
                <w:rFonts w:ascii="Calibri" w:eastAsia="Times New Roman" w:hAnsi="Calibri" w:cs="Times New Roman"/>
                <w:b/>
                <w:lang w:eastAsia="pl-PL"/>
              </w:rPr>
            </w:pPr>
            <w:r w:rsidRPr="00EE0C8C">
              <w:rPr>
                <w:rFonts w:ascii="Calibri" w:eastAsia="Times New Roman" w:hAnsi="Calibri" w:cs="Times New Roman"/>
                <w:b/>
                <w:lang w:eastAsia="pl-PL"/>
              </w:rPr>
              <w:t>SŁABE STRONY</w:t>
            </w:r>
          </w:p>
        </w:tc>
      </w:tr>
      <w:tr w:rsidR="00A76BDB" w:rsidRPr="00EE0C8C" w:rsidTr="00A76BDB">
        <w:trPr>
          <w:trHeight w:val="490"/>
        </w:trPr>
        <w:tc>
          <w:tcPr>
            <w:tcW w:w="9178" w:type="dxa"/>
            <w:gridSpan w:val="2"/>
            <w:shd w:val="clear" w:color="auto" w:fill="E36C0A" w:themeFill="accent6" w:themeFillShade="BF"/>
            <w:vAlign w:val="center"/>
          </w:tcPr>
          <w:p w:rsidR="00A76BDB" w:rsidRPr="00EE0C8C" w:rsidRDefault="00A76BDB" w:rsidP="00A76BDB">
            <w:pPr>
              <w:widowControl w:val="0"/>
              <w:tabs>
                <w:tab w:val="left" w:pos="142"/>
                <w:tab w:val="left" w:pos="284"/>
              </w:tabs>
              <w:spacing w:after="0" w:line="240" w:lineRule="auto"/>
              <w:contextualSpacing/>
              <w:jc w:val="center"/>
              <w:rPr>
                <w:rFonts w:ascii="Calibri" w:eastAsia="Times New Roman" w:hAnsi="Calibri" w:cs="Times New Roman"/>
                <w:b/>
                <w:lang w:eastAsia="pl-PL"/>
              </w:rPr>
            </w:pPr>
            <w:r w:rsidRPr="00EE0C8C">
              <w:rPr>
                <w:rFonts w:ascii="Calibri" w:eastAsia="Calibri" w:hAnsi="Calibri" w:cs="Times New Roman"/>
                <w:b/>
                <w:lang w:eastAsia="pl-PL"/>
              </w:rPr>
              <w:t>SFERA SPOŁECZNA</w:t>
            </w:r>
          </w:p>
        </w:tc>
      </w:tr>
      <w:tr w:rsidR="00A76BDB" w:rsidRPr="00EE0C8C" w:rsidTr="00A76BDB">
        <w:tc>
          <w:tcPr>
            <w:tcW w:w="4589" w:type="dxa"/>
          </w:tcPr>
          <w:p w:rsidR="00A76BDB" w:rsidRPr="00EE0C8C" w:rsidRDefault="00A76BDB" w:rsidP="00A76BDB">
            <w:pPr>
              <w:widowControl w:val="0"/>
              <w:numPr>
                <w:ilvl w:val="0"/>
                <w:numId w:val="23"/>
              </w:numPr>
              <w:tabs>
                <w:tab w:val="left" w:pos="142"/>
                <w:tab w:val="left" w:pos="284"/>
              </w:tabs>
              <w:spacing w:after="120" w:line="240" w:lineRule="auto"/>
              <w:contextualSpacing/>
              <w:rPr>
                <w:rFonts w:ascii="Calibri" w:eastAsia="Times New Roman" w:hAnsi="Calibri" w:cs="Times New Roman"/>
                <w:lang w:eastAsia="pl-PL"/>
              </w:rPr>
            </w:pPr>
            <w:r w:rsidRPr="00EE0C8C">
              <w:rPr>
                <w:rFonts w:ascii="Calibri" w:eastAsia="Times New Roman" w:hAnsi="Calibri" w:cs="Times New Roman"/>
                <w:lang w:eastAsia="pl-PL"/>
              </w:rPr>
              <w:t>Bardzo duży potencjał ludności w wieku produkcyjnym;</w:t>
            </w:r>
          </w:p>
          <w:p w:rsidR="00A76BDB" w:rsidRPr="00EE0C8C" w:rsidRDefault="00A76BDB" w:rsidP="00A76BDB">
            <w:pPr>
              <w:widowControl w:val="0"/>
              <w:numPr>
                <w:ilvl w:val="0"/>
                <w:numId w:val="23"/>
              </w:numPr>
              <w:tabs>
                <w:tab w:val="left" w:pos="142"/>
                <w:tab w:val="left" w:pos="284"/>
              </w:tabs>
              <w:spacing w:after="120" w:line="240" w:lineRule="auto"/>
              <w:contextualSpacing/>
              <w:rPr>
                <w:rFonts w:ascii="Calibri" w:eastAsia="Times New Roman" w:hAnsi="Calibri" w:cs="Times New Roman"/>
                <w:lang w:eastAsia="pl-PL"/>
              </w:rPr>
            </w:pPr>
            <w:r w:rsidRPr="00EE0C8C">
              <w:rPr>
                <w:rFonts w:ascii="Calibri" w:eastAsia="Times New Roman" w:hAnsi="Calibri" w:cs="Times New Roman"/>
                <w:lang w:eastAsia="pl-PL"/>
              </w:rPr>
              <w:t>Silne poczucie więzi mieszkańców i tożsamości kulturowej;</w:t>
            </w:r>
          </w:p>
          <w:p w:rsidR="00A76BDB" w:rsidRPr="00EE0C8C" w:rsidRDefault="00A76BDB" w:rsidP="00A76BDB">
            <w:pPr>
              <w:widowControl w:val="0"/>
              <w:numPr>
                <w:ilvl w:val="0"/>
                <w:numId w:val="23"/>
              </w:numPr>
              <w:tabs>
                <w:tab w:val="left" w:pos="142"/>
                <w:tab w:val="left" w:pos="284"/>
              </w:tabs>
              <w:spacing w:after="120" w:line="240" w:lineRule="auto"/>
              <w:contextualSpacing/>
              <w:rPr>
                <w:rFonts w:ascii="Calibri" w:eastAsia="Times New Roman" w:hAnsi="Calibri" w:cs="Times New Roman"/>
                <w:lang w:eastAsia="pl-PL"/>
              </w:rPr>
            </w:pPr>
            <w:r w:rsidRPr="00EE0C8C">
              <w:rPr>
                <w:rFonts w:ascii="Calibri" w:eastAsia="Times New Roman" w:hAnsi="Calibri" w:cs="Times New Roman"/>
                <w:lang w:eastAsia="pl-PL"/>
              </w:rPr>
              <w:t>Bogate tradycje folkloru muzycznego Gminy;</w:t>
            </w:r>
          </w:p>
          <w:p w:rsidR="00A76BDB" w:rsidRPr="00EE0C8C" w:rsidRDefault="00A76BDB" w:rsidP="00A76BDB">
            <w:pPr>
              <w:widowControl w:val="0"/>
              <w:numPr>
                <w:ilvl w:val="0"/>
                <w:numId w:val="23"/>
              </w:numPr>
              <w:tabs>
                <w:tab w:val="left" w:pos="142"/>
                <w:tab w:val="left" w:pos="284"/>
              </w:tabs>
              <w:spacing w:after="120" w:line="240" w:lineRule="auto"/>
              <w:contextualSpacing/>
              <w:rPr>
                <w:rFonts w:ascii="Calibri" w:eastAsia="Times New Roman" w:hAnsi="Calibri" w:cs="Times New Roman"/>
                <w:lang w:eastAsia="pl-PL"/>
              </w:rPr>
            </w:pPr>
            <w:r w:rsidRPr="00EE0C8C">
              <w:rPr>
                <w:rFonts w:ascii="Calibri" w:eastAsia="Times New Roman" w:hAnsi="Calibri" w:cs="Times New Roman"/>
                <w:lang w:eastAsia="pl-PL"/>
              </w:rPr>
              <w:t>Silne tradycje kulturowe w Gminie;</w:t>
            </w:r>
          </w:p>
          <w:p w:rsidR="00A76BDB" w:rsidRPr="00EE0C8C" w:rsidRDefault="00A76BDB" w:rsidP="00A76BDB">
            <w:pPr>
              <w:widowControl w:val="0"/>
              <w:numPr>
                <w:ilvl w:val="0"/>
                <w:numId w:val="23"/>
              </w:numPr>
              <w:tabs>
                <w:tab w:val="left" w:pos="142"/>
                <w:tab w:val="left" w:pos="284"/>
              </w:tabs>
              <w:spacing w:after="120" w:line="240" w:lineRule="auto"/>
              <w:contextualSpacing/>
              <w:rPr>
                <w:rFonts w:ascii="Calibri" w:eastAsia="Times New Roman" w:hAnsi="Calibri" w:cs="Times New Roman"/>
                <w:lang w:eastAsia="pl-PL"/>
              </w:rPr>
            </w:pPr>
            <w:r w:rsidRPr="00EE0C8C">
              <w:rPr>
                <w:rFonts w:ascii="Calibri" w:eastAsia="Times New Roman" w:hAnsi="Calibri" w:cs="Times New Roman"/>
                <w:lang w:eastAsia="pl-PL"/>
              </w:rPr>
              <w:t>Duże zasoby aktywnych seniorów i młodzieży.</w:t>
            </w:r>
          </w:p>
        </w:tc>
        <w:tc>
          <w:tcPr>
            <w:tcW w:w="4589" w:type="dxa"/>
          </w:tcPr>
          <w:p w:rsidR="00A76BDB" w:rsidRPr="00EE0C8C" w:rsidRDefault="007C16CC" w:rsidP="00A76BDB">
            <w:pPr>
              <w:widowControl w:val="0"/>
              <w:numPr>
                <w:ilvl w:val="0"/>
                <w:numId w:val="22"/>
              </w:numPr>
              <w:tabs>
                <w:tab w:val="left" w:pos="142"/>
                <w:tab w:val="left" w:pos="284"/>
              </w:tabs>
              <w:spacing w:after="120" w:line="240" w:lineRule="auto"/>
              <w:contextualSpacing/>
              <w:rPr>
                <w:rFonts w:ascii="Calibri" w:eastAsia="Times New Roman" w:hAnsi="Calibri" w:cs="Times New Roman"/>
                <w:lang w:eastAsia="pl-PL"/>
              </w:rPr>
            </w:pPr>
            <w:r>
              <w:rPr>
                <w:rFonts w:ascii="Calibri" w:eastAsia="Times New Roman" w:hAnsi="Calibri" w:cs="Times New Roman"/>
                <w:lang w:eastAsia="pl-PL"/>
              </w:rPr>
              <w:t xml:space="preserve">Bardzo niski przyrost naturalny i niska świadomość społeczeństwa </w:t>
            </w:r>
            <w:r w:rsidR="009D5EBC">
              <w:rPr>
                <w:rFonts w:ascii="Calibri" w:eastAsia="Times New Roman" w:hAnsi="Calibri" w:cs="Times New Roman"/>
                <w:lang w:eastAsia="pl-PL"/>
              </w:rPr>
              <w:t>obywatelskiego</w:t>
            </w:r>
            <w:r>
              <w:rPr>
                <w:rFonts w:ascii="Calibri" w:eastAsia="Times New Roman" w:hAnsi="Calibri" w:cs="Times New Roman"/>
                <w:lang w:eastAsia="pl-PL"/>
              </w:rPr>
              <w:t>;</w:t>
            </w:r>
          </w:p>
          <w:p w:rsidR="00A76BDB" w:rsidRPr="00EE0C8C" w:rsidRDefault="00A76BDB" w:rsidP="00A76BDB">
            <w:pPr>
              <w:widowControl w:val="0"/>
              <w:numPr>
                <w:ilvl w:val="0"/>
                <w:numId w:val="22"/>
              </w:numPr>
              <w:tabs>
                <w:tab w:val="left" w:pos="142"/>
                <w:tab w:val="left" w:pos="284"/>
              </w:tabs>
              <w:spacing w:after="120" w:line="240" w:lineRule="auto"/>
              <w:contextualSpacing/>
              <w:rPr>
                <w:rFonts w:ascii="Calibri" w:eastAsia="Times New Roman" w:hAnsi="Calibri" w:cs="Times New Roman"/>
                <w:lang w:eastAsia="pl-PL"/>
              </w:rPr>
            </w:pPr>
            <w:r w:rsidRPr="00EE0C8C">
              <w:rPr>
                <w:rFonts w:ascii="Calibri" w:eastAsia="Times New Roman" w:hAnsi="Calibri" w:cs="Times New Roman"/>
                <w:lang w:eastAsia="pl-PL"/>
              </w:rPr>
              <w:t>Migracja zarobkowa młodych i wykształconych ludzi;</w:t>
            </w:r>
          </w:p>
          <w:p w:rsidR="00A76BDB" w:rsidRPr="00EE0C8C" w:rsidRDefault="00A76BDB" w:rsidP="00A76BDB">
            <w:pPr>
              <w:widowControl w:val="0"/>
              <w:numPr>
                <w:ilvl w:val="0"/>
                <w:numId w:val="22"/>
              </w:numPr>
              <w:tabs>
                <w:tab w:val="left" w:pos="142"/>
                <w:tab w:val="left" w:pos="284"/>
              </w:tabs>
              <w:spacing w:after="120" w:line="240" w:lineRule="auto"/>
              <w:contextualSpacing/>
              <w:rPr>
                <w:rFonts w:ascii="Calibri" w:eastAsia="Times New Roman" w:hAnsi="Calibri" w:cs="Times New Roman"/>
                <w:lang w:eastAsia="pl-PL"/>
              </w:rPr>
            </w:pPr>
            <w:r w:rsidRPr="00EE0C8C">
              <w:rPr>
                <w:rFonts w:ascii="Calibri" w:eastAsia="Times New Roman" w:hAnsi="Calibri" w:cs="Times New Roman"/>
                <w:lang w:eastAsia="pl-PL"/>
              </w:rPr>
              <w:t>Wysoki poziom bezrobocia;</w:t>
            </w:r>
          </w:p>
          <w:p w:rsidR="00A76BDB" w:rsidRPr="00EE0C8C" w:rsidRDefault="00A76BDB" w:rsidP="00A76BDB">
            <w:pPr>
              <w:widowControl w:val="0"/>
              <w:numPr>
                <w:ilvl w:val="0"/>
                <w:numId w:val="22"/>
              </w:numPr>
              <w:tabs>
                <w:tab w:val="left" w:pos="142"/>
                <w:tab w:val="left" w:pos="284"/>
              </w:tabs>
              <w:spacing w:after="120" w:line="240" w:lineRule="auto"/>
              <w:contextualSpacing/>
              <w:rPr>
                <w:rFonts w:ascii="Calibri" w:eastAsia="Times New Roman" w:hAnsi="Calibri" w:cs="Times New Roman"/>
                <w:lang w:eastAsia="pl-PL"/>
              </w:rPr>
            </w:pPr>
            <w:r w:rsidRPr="00EE0C8C">
              <w:rPr>
                <w:rFonts w:ascii="Calibri" w:eastAsia="Times New Roman" w:hAnsi="Calibri" w:cs="Times New Roman"/>
                <w:lang w:eastAsia="pl-PL"/>
              </w:rPr>
              <w:t>Niewystarczający dostęp do specjalistycznej opieki medycznej;</w:t>
            </w:r>
          </w:p>
          <w:p w:rsidR="00A76BDB" w:rsidRPr="00EE0C8C" w:rsidRDefault="00A76BDB" w:rsidP="00A76BDB">
            <w:pPr>
              <w:widowControl w:val="0"/>
              <w:numPr>
                <w:ilvl w:val="0"/>
                <w:numId w:val="22"/>
              </w:numPr>
              <w:tabs>
                <w:tab w:val="left" w:pos="142"/>
                <w:tab w:val="left" w:pos="284"/>
              </w:tabs>
              <w:spacing w:after="120" w:line="240" w:lineRule="auto"/>
              <w:contextualSpacing/>
              <w:rPr>
                <w:rFonts w:ascii="Calibri" w:eastAsia="Times New Roman" w:hAnsi="Calibri" w:cs="Times New Roman"/>
                <w:lang w:eastAsia="pl-PL"/>
              </w:rPr>
            </w:pPr>
            <w:r w:rsidRPr="00EE0C8C">
              <w:rPr>
                <w:rFonts w:ascii="Calibri" w:eastAsia="Times New Roman" w:hAnsi="Calibri" w:cs="Times New Roman"/>
                <w:lang w:eastAsia="pl-PL"/>
              </w:rPr>
              <w:t>Zbyt małe zaangażowanie mieszkańców w życie Gminy;</w:t>
            </w:r>
          </w:p>
          <w:p w:rsidR="00A76BDB" w:rsidRPr="00EE0C8C" w:rsidRDefault="00A76BDB" w:rsidP="00A76BDB">
            <w:pPr>
              <w:widowControl w:val="0"/>
              <w:numPr>
                <w:ilvl w:val="0"/>
                <w:numId w:val="22"/>
              </w:numPr>
              <w:tabs>
                <w:tab w:val="left" w:pos="142"/>
                <w:tab w:val="left" w:pos="284"/>
              </w:tabs>
              <w:spacing w:after="120" w:line="240" w:lineRule="auto"/>
              <w:contextualSpacing/>
              <w:rPr>
                <w:rFonts w:ascii="Calibri" w:eastAsia="Times New Roman" w:hAnsi="Calibri" w:cs="Times New Roman"/>
                <w:lang w:eastAsia="pl-PL"/>
              </w:rPr>
            </w:pPr>
            <w:r w:rsidRPr="00EE0C8C">
              <w:rPr>
                <w:rFonts w:ascii="Calibri" w:eastAsia="Times New Roman" w:hAnsi="Calibri" w:cs="Times New Roman"/>
                <w:lang w:eastAsia="pl-PL"/>
              </w:rPr>
              <w:t>Mało atrakcyjna oferta miejsc do spędzania czasu wolnego( brak miejsc rekreacji i relaksu)</w:t>
            </w:r>
          </w:p>
          <w:p w:rsidR="00A76BDB" w:rsidRPr="00EE0C8C" w:rsidRDefault="00A76BDB" w:rsidP="00A76BDB">
            <w:pPr>
              <w:widowControl w:val="0"/>
              <w:numPr>
                <w:ilvl w:val="0"/>
                <w:numId w:val="22"/>
              </w:numPr>
              <w:tabs>
                <w:tab w:val="left" w:pos="142"/>
                <w:tab w:val="left" w:pos="284"/>
              </w:tabs>
              <w:spacing w:after="120" w:line="240" w:lineRule="auto"/>
              <w:contextualSpacing/>
              <w:rPr>
                <w:rFonts w:ascii="Calibri" w:eastAsia="Times New Roman" w:hAnsi="Calibri" w:cs="Times New Roman"/>
                <w:lang w:eastAsia="pl-PL"/>
              </w:rPr>
            </w:pPr>
            <w:r w:rsidRPr="00EE0C8C">
              <w:rPr>
                <w:rFonts w:ascii="Calibri" w:eastAsia="Times New Roman" w:hAnsi="Calibri" w:cs="Times New Roman"/>
                <w:lang w:eastAsia="pl-PL"/>
              </w:rPr>
              <w:t>Mała liczba instytucji integrujących środowisko społeczne i mogących stanowić organizacyjne wsparcie procesu rozwoju Gminy</w:t>
            </w:r>
          </w:p>
        </w:tc>
      </w:tr>
      <w:tr w:rsidR="00A76BDB" w:rsidRPr="00EE0C8C" w:rsidTr="00A76BDB">
        <w:trPr>
          <w:trHeight w:val="550"/>
        </w:trPr>
        <w:tc>
          <w:tcPr>
            <w:tcW w:w="9178" w:type="dxa"/>
            <w:gridSpan w:val="2"/>
            <w:shd w:val="clear" w:color="auto" w:fill="365F91"/>
            <w:vAlign w:val="center"/>
          </w:tcPr>
          <w:p w:rsidR="00A76BDB" w:rsidRPr="00EE0C8C" w:rsidRDefault="00A76BDB" w:rsidP="00A76BDB">
            <w:pPr>
              <w:widowControl w:val="0"/>
              <w:tabs>
                <w:tab w:val="left" w:pos="142"/>
                <w:tab w:val="left" w:pos="284"/>
              </w:tabs>
              <w:spacing w:after="0" w:line="240" w:lineRule="auto"/>
              <w:ind w:firstLine="567"/>
              <w:contextualSpacing/>
              <w:jc w:val="center"/>
              <w:rPr>
                <w:rFonts w:ascii="Calibri" w:eastAsia="Times New Roman" w:hAnsi="Calibri" w:cs="Times New Roman"/>
                <w:b/>
                <w:color w:val="FFFFFF"/>
                <w:lang w:eastAsia="pl-PL"/>
              </w:rPr>
            </w:pPr>
            <w:r w:rsidRPr="00EE0C8C">
              <w:rPr>
                <w:rFonts w:ascii="Calibri" w:eastAsia="Times New Roman" w:hAnsi="Calibri" w:cs="Times New Roman"/>
                <w:b/>
                <w:color w:val="FFFFFF"/>
                <w:lang w:eastAsia="pl-PL"/>
              </w:rPr>
              <w:t>CZYNNIKI ZEWNĘTRZNE</w:t>
            </w:r>
          </w:p>
        </w:tc>
      </w:tr>
      <w:tr w:rsidR="00A76BDB" w:rsidRPr="00EE0C8C" w:rsidTr="00A76BDB">
        <w:trPr>
          <w:trHeight w:val="550"/>
        </w:trPr>
        <w:tc>
          <w:tcPr>
            <w:tcW w:w="4589" w:type="dxa"/>
            <w:shd w:val="clear" w:color="auto" w:fill="FFFF00"/>
            <w:vAlign w:val="center"/>
          </w:tcPr>
          <w:p w:rsidR="00A76BDB" w:rsidRPr="00EE0C8C" w:rsidRDefault="00A76BDB" w:rsidP="00A76BDB">
            <w:pPr>
              <w:spacing w:after="0" w:line="240" w:lineRule="auto"/>
              <w:ind w:left="567" w:hanging="567"/>
              <w:jc w:val="center"/>
              <w:rPr>
                <w:rFonts w:ascii="Calibri" w:eastAsia="Calibri" w:hAnsi="Calibri" w:cs="Times New Roman"/>
                <w:b/>
                <w:lang w:eastAsia="pl-PL"/>
              </w:rPr>
            </w:pPr>
            <w:r w:rsidRPr="00EE0C8C">
              <w:rPr>
                <w:rFonts w:ascii="Calibri" w:eastAsia="Calibri" w:hAnsi="Calibri" w:cs="Times New Roman"/>
                <w:b/>
                <w:lang w:eastAsia="pl-PL"/>
              </w:rPr>
              <w:t>SZANSE</w:t>
            </w:r>
          </w:p>
        </w:tc>
        <w:tc>
          <w:tcPr>
            <w:tcW w:w="4589" w:type="dxa"/>
            <w:shd w:val="clear" w:color="auto" w:fill="FFFF00"/>
            <w:vAlign w:val="center"/>
          </w:tcPr>
          <w:p w:rsidR="00A76BDB" w:rsidRPr="00EE0C8C" w:rsidRDefault="00A76BDB" w:rsidP="00A76BDB">
            <w:pPr>
              <w:spacing w:after="0" w:line="240" w:lineRule="auto"/>
              <w:ind w:left="567" w:hanging="567"/>
              <w:jc w:val="center"/>
              <w:rPr>
                <w:rFonts w:ascii="Calibri" w:eastAsia="Calibri" w:hAnsi="Calibri" w:cs="Times New Roman"/>
                <w:b/>
                <w:lang w:eastAsia="pl-PL"/>
              </w:rPr>
            </w:pPr>
            <w:r w:rsidRPr="00EE0C8C">
              <w:rPr>
                <w:rFonts w:ascii="Calibri" w:eastAsia="Calibri" w:hAnsi="Calibri" w:cs="Times New Roman"/>
                <w:b/>
                <w:lang w:eastAsia="pl-PL"/>
              </w:rPr>
              <w:t>ZAGROŻENIA</w:t>
            </w:r>
          </w:p>
        </w:tc>
      </w:tr>
      <w:tr w:rsidR="00A76BDB" w:rsidRPr="00EE0C8C" w:rsidTr="00A76BDB">
        <w:tc>
          <w:tcPr>
            <w:tcW w:w="9178" w:type="dxa"/>
            <w:gridSpan w:val="2"/>
            <w:shd w:val="clear" w:color="auto" w:fill="E36C0A" w:themeFill="accent6" w:themeFillShade="BF"/>
            <w:vAlign w:val="center"/>
          </w:tcPr>
          <w:p w:rsidR="00A76BDB" w:rsidRPr="00EE0C8C" w:rsidRDefault="00A76BDB" w:rsidP="00A76BDB">
            <w:pPr>
              <w:spacing w:after="0" w:line="240" w:lineRule="auto"/>
              <w:jc w:val="center"/>
              <w:rPr>
                <w:rFonts w:ascii="Calibri" w:eastAsia="Times New Roman" w:hAnsi="Calibri" w:cs="Times New Roman"/>
                <w:b/>
                <w:lang w:eastAsia="pl-PL"/>
              </w:rPr>
            </w:pPr>
            <w:r w:rsidRPr="00EE0C8C">
              <w:rPr>
                <w:rFonts w:ascii="Calibri" w:eastAsia="Times New Roman" w:hAnsi="Calibri" w:cs="Times New Roman"/>
                <w:b/>
                <w:lang w:eastAsia="pl-PL"/>
              </w:rPr>
              <w:t>SFERA SPOŁECZNA</w:t>
            </w:r>
          </w:p>
        </w:tc>
      </w:tr>
      <w:tr w:rsidR="00A76BDB" w:rsidRPr="00EE0C8C" w:rsidTr="00A76BDB">
        <w:tc>
          <w:tcPr>
            <w:tcW w:w="4589" w:type="dxa"/>
          </w:tcPr>
          <w:p w:rsidR="00A76BDB" w:rsidRPr="00EE0C8C" w:rsidRDefault="00A76BDB" w:rsidP="00A76BDB">
            <w:pPr>
              <w:widowControl w:val="0"/>
              <w:numPr>
                <w:ilvl w:val="0"/>
                <w:numId w:val="24"/>
              </w:numPr>
              <w:tabs>
                <w:tab w:val="left" w:pos="284"/>
              </w:tabs>
              <w:spacing w:after="120" w:line="240" w:lineRule="auto"/>
              <w:contextualSpacing/>
              <w:rPr>
                <w:rFonts w:ascii="Calibri" w:eastAsia="Times New Roman" w:hAnsi="Calibri" w:cs="Times New Roman"/>
                <w:lang w:eastAsia="pl-PL"/>
              </w:rPr>
            </w:pPr>
            <w:r w:rsidRPr="00EE0C8C">
              <w:rPr>
                <w:rFonts w:ascii="Calibri" w:eastAsia="Times New Roman" w:hAnsi="Calibri" w:cs="Times New Roman"/>
                <w:lang w:eastAsia="pl-PL"/>
              </w:rPr>
              <w:t>Zwiększające się zainteresowanie społeczeństwa  rozwojem;</w:t>
            </w:r>
          </w:p>
          <w:p w:rsidR="00A76BDB" w:rsidRPr="00EE0C8C" w:rsidRDefault="00A76BDB" w:rsidP="00A76BDB">
            <w:pPr>
              <w:widowControl w:val="0"/>
              <w:numPr>
                <w:ilvl w:val="0"/>
                <w:numId w:val="24"/>
              </w:numPr>
              <w:tabs>
                <w:tab w:val="left" w:pos="284"/>
              </w:tabs>
              <w:spacing w:after="120" w:line="240" w:lineRule="auto"/>
              <w:contextualSpacing/>
              <w:rPr>
                <w:rFonts w:ascii="Calibri" w:eastAsia="Times New Roman" w:hAnsi="Calibri" w:cs="Times New Roman"/>
                <w:lang w:eastAsia="pl-PL"/>
              </w:rPr>
            </w:pPr>
            <w:r w:rsidRPr="00EE0C8C">
              <w:rPr>
                <w:rFonts w:ascii="Calibri" w:eastAsia="Times New Roman" w:hAnsi="Calibri" w:cs="Times New Roman"/>
                <w:lang w:eastAsia="pl-PL"/>
              </w:rPr>
              <w:t>Moda i zapotrzebowanie na czynny wypoczynek, turystykę oparte na naturalnych zasobach przyrodniczych ;</w:t>
            </w:r>
          </w:p>
          <w:p w:rsidR="00A76BDB" w:rsidRPr="00EE0C8C" w:rsidRDefault="00A76BDB" w:rsidP="00A76BDB">
            <w:pPr>
              <w:widowControl w:val="0"/>
              <w:numPr>
                <w:ilvl w:val="0"/>
                <w:numId w:val="24"/>
              </w:numPr>
              <w:tabs>
                <w:tab w:val="left" w:pos="284"/>
              </w:tabs>
              <w:spacing w:after="120" w:line="240" w:lineRule="auto"/>
              <w:contextualSpacing/>
              <w:rPr>
                <w:rFonts w:ascii="Calibri" w:eastAsia="Times New Roman" w:hAnsi="Calibri" w:cs="Times New Roman"/>
                <w:lang w:eastAsia="pl-PL"/>
              </w:rPr>
            </w:pPr>
            <w:r w:rsidRPr="00EE0C8C">
              <w:rPr>
                <w:rFonts w:ascii="Calibri" w:eastAsia="Times New Roman" w:hAnsi="Calibri" w:cs="Times New Roman"/>
                <w:lang w:eastAsia="pl-PL"/>
              </w:rPr>
              <w:lastRenderedPageBreak/>
              <w:t>Promocja kapitału społecznego i całego regionu;</w:t>
            </w:r>
          </w:p>
          <w:p w:rsidR="00A76BDB" w:rsidRPr="00EE0C8C" w:rsidRDefault="00A76BDB" w:rsidP="00A76BDB">
            <w:pPr>
              <w:widowControl w:val="0"/>
              <w:numPr>
                <w:ilvl w:val="0"/>
                <w:numId w:val="24"/>
              </w:numPr>
              <w:tabs>
                <w:tab w:val="left" w:pos="284"/>
              </w:tabs>
              <w:spacing w:after="120" w:line="240" w:lineRule="auto"/>
              <w:contextualSpacing/>
              <w:rPr>
                <w:rFonts w:ascii="Calibri" w:eastAsia="Times New Roman" w:hAnsi="Calibri" w:cs="Times New Roman"/>
                <w:lang w:eastAsia="pl-PL"/>
              </w:rPr>
            </w:pPr>
            <w:r w:rsidRPr="00EE0C8C">
              <w:rPr>
                <w:rFonts w:ascii="Calibri" w:eastAsia="Times New Roman" w:hAnsi="Calibri" w:cs="Times New Roman"/>
                <w:lang w:eastAsia="pl-PL"/>
              </w:rPr>
              <w:t>Podnoszenie standardu i poziomu kształcenia;</w:t>
            </w:r>
          </w:p>
          <w:p w:rsidR="00A76BDB" w:rsidRPr="00EE0C8C" w:rsidRDefault="00A76BDB" w:rsidP="00A76BDB">
            <w:pPr>
              <w:widowControl w:val="0"/>
              <w:numPr>
                <w:ilvl w:val="0"/>
                <w:numId w:val="24"/>
              </w:numPr>
              <w:tabs>
                <w:tab w:val="left" w:pos="284"/>
              </w:tabs>
              <w:spacing w:after="120" w:line="240" w:lineRule="auto"/>
              <w:contextualSpacing/>
              <w:rPr>
                <w:rFonts w:ascii="Calibri" w:eastAsia="Times New Roman" w:hAnsi="Calibri" w:cs="Times New Roman"/>
                <w:lang w:eastAsia="pl-PL"/>
              </w:rPr>
            </w:pPr>
            <w:r w:rsidRPr="00EE0C8C">
              <w:rPr>
                <w:rFonts w:ascii="Calibri" w:eastAsia="Times New Roman" w:hAnsi="Calibri" w:cs="Times New Roman"/>
                <w:lang w:eastAsia="pl-PL"/>
              </w:rPr>
              <w:t xml:space="preserve">Napływ ludności spoza terenów Gminy </w:t>
            </w:r>
            <w:r w:rsidRPr="00EE0C8C">
              <w:rPr>
                <w:rFonts w:ascii="Calibri" w:eastAsia="Times New Roman" w:hAnsi="Calibri" w:cs="Times New Roman"/>
                <w:lang w:eastAsia="pl-PL"/>
              </w:rPr>
              <w:br/>
              <w:t>i większych aglomeracji miejskich.</w:t>
            </w:r>
          </w:p>
        </w:tc>
        <w:tc>
          <w:tcPr>
            <w:tcW w:w="4589" w:type="dxa"/>
          </w:tcPr>
          <w:p w:rsidR="00A76BDB" w:rsidRPr="00EE0C8C" w:rsidRDefault="00A76BDB" w:rsidP="00A76BDB">
            <w:pPr>
              <w:numPr>
                <w:ilvl w:val="0"/>
                <w:numId w:val="25"/>
              </w:numPr>
              <w:spacing w:after="120" w:line="240" w:lineRule="auto"/>
              <w:contextualSpacing/>
              <w:rPr>
                <w:rFonts w:ascii="Calibri" w:eastAsia="Times New Roman" w:hAnsi="Calibri" w:cs="Times New Roman"/>
                <w:lang w:eastAsia="pl-PL"/>
              </w:rPr>
            </w:pPr>
            <w:r w:rsidRPr="00EE0C8C">
              <w:rPr>
                <w:rFonts w:ascii="Calibri" w:eastAsia="Times New Roman" w:hAnsi="Calibri" w:cs="Times New Roman"/>
                <w:lang w:eastAsia="pl-PL"/>
              </w:rPr>
              <w:lastRenderedPageBreak/>
              <w:t xml:space="preserve">Starzenie się mieszkańców Gminy </w:t>
            </w:r>
            <w:r w:rsidRPr="00EE0C8C">
              <w:rPr>
                <w:rFonts w:ascii="Calibri" w:eastAsia="Times New Roman" w:hAnsi="Calibri" w:cs="Times New Roman"/>
                <w:lang w:eastAsia="pl-PL"/>
              </w:rPr>
              <w:br/>
              <w:t>(coraz większa liczba ludności w wieku poprodukcyjnym);</w:t>
            </w:r>
          </w:p>
          <w:p w:rsidR="00A76BDB" w:rsidRPr="00EE0C8C" w:rsidRDefault="00A76BDB" w:rsidP="00A76BDB">
            <w:pPr>
              <w:numPr>
                <w:ilvl w:val="0"/>
                <w:numId w:val="25"/>
              </w:numPr>
              <w:spacing w:after="120" w:line="240" w:lineRule="auto"/>
              <w:contextualSpacing/>
              <w:rPr>
                <w:rFonts w:ascii="Calibri" w:eastAsia="Times New Roman" w:hAnsi="Calibri" w:cs="Times New Roman"/>
                <w:lang w:eastAsia="pl-PL"/>
              </w:rPr>
            </w:pPr>
            <w:r w:rsidRPr="00EE0C8C">
              <w:rPr>
                <w:rFonts w:ascii="Calibri" w:eastAsia="Times New Roman" w:hAnsi="Calibri" w:cs="Times New Roman"/>
                <w:lang w:eastAsia="pl-PL"/>
              </w:rPr>
              <w:t xml:space="preserve">Niski poziom </w:t>
            </w:r>
            <w:r w:rsidR="009D5EBC">
              <w:rPr>
                <w:rFonts w:ascii="Calibri" w:eastAsia="Times New Roman" w:hAnsi="Calibri" w:cs="Times New Roman"/>
                <w:lang w:eastAsia="pl-PL"/>
              </w:rPr>
              <w:t xml:space="preserve">aktywizacji </w:t>
            </w:r>
            <w:r w:rsidRPr="00EE0C8C">
              <w:rPr>
                <w:rFonts w:ascii="Calibri" w:eastAsia="Times New Roman" w:hAnsi="Calibri" w:cs="Times New Roman"/>
                <w:lang w:eastAsia="pl-PL"/>
              </w:rPr>
              <w:t>społeczeństwa;</w:t>
            </w:r>
          </w:p>
          <w:p w:rsidR="00A76BDB" w:rsidRPr="009D5EBC" w:rsidRDefault="00A76BDB" w:rsidP="00A76BDB">
            <w:pPr>
              <w:numPr>
                <w:ilvl w:val="0"/>
                <w:numId w:val="25"/>
              </w:numPr>
              <w:spacing w:after="120" w:line="240" w:lineRule="auto"/>
              <w:contextualSpacing/>
              <w:rPr>
                <w:rFonts w:ascii="Calibri" w:eastAsia="Times New Roman" w:hAnsi="Calibri" w:cs="Times New Roman"/>
                <w:lang w:eastAsia="pl-PL"/>
              </w:rPr>
            </w:pPr>
            <w:r w:rsidRPr="009D5EBC">
              <w:rPr>
                <w:rFonts w:ascii="Calibri" w:eastAsia="Times New Roman" w:hAnsi="Calibri" w:cs="Times New Roman"/>
                <w:lang w:eastAsia="pl-PL"/>
              </w:rPr>
              <w:t xml:space="preserve">Deficyt usług opieki społecznej( w tym </w:t>
            </w:r>
            <w:r w:rsidRPr="009D5EBC">
              <w:rPr>
                <w:rFonts w:ascii="Calibri" w:eastAsia="Times New Roman" w:hAnsi="Calibri" w:cs="Times New Roman"/>
                <w:lang w:eastAsia="pl-PL"/>
              </w:rPr>
              <w:lastRenderedPageBreak/>
              <w:t>komercyjnych usług pielęgnacyjnych) i specjalistycznych usług zdrowotnych;</w:t>
            </w:r>
          </w:p>
          <w:p w:rsidR="00A76BDB" w:rsidRPr="00EE0C8C" w:rsidRDefault="00A76BDB" w:rsidP="00A76BDB">
            <w:pPr>
              <w:numPr>
                <w:ilvl w:val="0"/>
                <w:numId w:val="25"/>
              </w:numPr>
              <w:spacing w:after="120" w:line="240" w:lineRule="auto"/>
              <w:contextualSpacing/>
              <w:rPr>
                <w:rFonts w:ascii="Calibri" w:eastAsia="Times New Roman" w:hAnsi="Calibri" w:cs="Times New Roman"/>
                <w:lang w:eastAsia="pl-PL"/>
              </w:rPr>
            </w:pPr>
            <w:r w:rsidRPr="009D5EBC">
              <w:rPr>
                <w:rFonts w:ascii="Calibri" w:eastAsia="Times New Roman" w:hAnsi="Calibri" w:cs="Times New Roman"/>
                <w:lang w:eastAsia="pl-PL"/>
              </w:rPr>
              <w:t>Eskalacja problemu z dostępnością do specjalistycznych usług medycznych i zabiegów rehabilitacyjnych (ze szczególnym uwzględnieniem wad postawy u dzieci)</w:t>
            </w:r>
          </w:p>
        </w:tc>
      </w:tr>
    </w:tbl>
    <w:p w:rsidR="005E59F1" w:rsidRDefault="005E59F1" w:rsidP="008903A4">
      <w:pPr>
        <w:pStyle w:val="Nagwek2"/>
        <w:rPr>
          <w:rFonts w:eastAsiaTheme="majorEastAsia"/>
          <w:sz w:val="56"/>
          <w:u w:val="single"/>
        </w:rPr>
        <w:sectPr w:rsidR="005E59F1" w:rsidSect="00A76BDB">
          <w:pgSz w:w="11906" w:h="16838"/>
          <w:pgMar w:top="1417" w:right="1417" w:bottom="1417" w:left="1417" w:header="708" w:footer="708" w:gutter="0"/>
          <w:cols w:space="708"/>
          <w:docGrid w:linePitch="360"/>
        </w:sectPr>
      </w:pPr>
    </w:p>
    <w:p w:rsidR="0035770A" w:rsidRDefault="0035770A" w:rsidP="008903A4">
      <w:pPr>
        <w:pStyle w:val="Nagwek2"/>
        <w:rPr>
          <w:rFonts w:eastAsiaTheme="majorEastAsia"/>
          <w:sz w:val="56"/>
          <w:u w:val="single"/>
        </w:rPr>
        <w:sectPr w:rsidR="0035770A" w:rsidSect="00A76BDB">
          <w:pgSz w:w="11906" w:h="16838"/>
          <w:pgMar w:top="1417" w:right="1417" w:bottom="1417" w:left="1417" w:header="708" w:footer="708" w:gutter="0"/>
          <w:cols w:space="708"/>
          <w:docGrid w:linePitch="360"/>
        </w:sectPr>
      </w:pPr>
    </w:p>
    <w:p w:rsidR="00EE0C8C" w:rsidRPr="008903A4" w:rsidRDefault="00EE0C8C" w:rsidP="008903A4">
      <w:pPr>
        <w:pStyle w:val="Nagwek2"/>
        <w:rPr>
          <w:rFonts w:eastAsiaTheme="majorEastAsia"/>
          <w:i/>
          <w:sz w:val="56"/>
          <w:u w:val="single"/>
        </w:rPr>
      </w:pPr>
      <w:bookmarkStart w:id="101" w:name="_Toc450562507"/>
      <w:r w:rsidRPr="008903A4">
        <w:rPr>
          <w:rFonts w:eastAsiaTheme="majorEastAsia"/>
          <w:sz w:val="56"/>
          <w:u w:val="single"/>
        </w:rPr>
        <w:lastRenderedPageBreak/>
        <w:t>ROZDZIAŁ V</w:t>
      </w:r>
      <w:bookmarkEnd w:id="101"/>
    </w:p>
    <w:p w:rsidR="00EE0C8C" w:rsidRPr="00EE0C8C" w:rsidRDefault="00EE0C8C" w:rsidP="00A76BDB">
      <w:pPr>
        <w:pStyle w:val="Nagwek2"/>
      </w:pPr>
      <w:bookmarkStart w:id="102" w:name="_Toc450562508"/>
      <w:r w:rsidRPr="00EE0C8C">
        <w:t>ZAŁOŻENIA GMINNEGO PROGRAMU REWITALIZACJI GMINY MIRZEC (GPR)</w:t>
      </w:r>
      <w:bookmarkEnd w:id="102"/>
    </w:p>
    <w:p w:rsidR="00EE0C8C" w:rsidRPr="00EE0C8C" w:rsidRDefault="00EE0C8C" w:rsidP="00EE0C8C">
      <w:pPr>
        <w:jc w:val="center"/>
        <w:rPr>
          <w:b/>
          <w:bCs/>
          <w:iCs/>
          <w:color w:val="4F81BD" w:themeColor="accent1"/>
          <w:sz w:val="36"/>
          <w:szCs w:val="36"/>
        </w:rPr>
      </w:pPr>
    </w:p>
    <w:p w:rsidR="00EE0C8C" w:rsidRDefault="00EE0C8C" w:rsidP="00A76BDB">
      <w:pPr>
        <w:pStyle w:val="Nagwek2"/>
      </w:pPr>
      <w:bookmarkStart w:id="103" w:name="_Toc450562509"/>
      <w:r w:rsidRPr="00EE0C8C">
        <w:t>5.1. WIZJA REWITALIZACJI GMINY MIRZEC.</w:t>
      </w:r>
      <w:bookmarkEnd w:id="103"/>
    </w:p>
    <w:p w:rsidR="00652A39" w:rsidRPr="00652A39" w:rsidRDefault="00652A39" w:rsidP="00652A39"/>
    <w:p w:rsidR="00EE0C8C" w:rsidRPr="00EE0C8C" w:rsidRDefault="00EE0C8C" w:rsidP="00EE0C8C">
      <w:pPr>
        <w:spacing w:after="0"/>
        <w:jc w:val="both"/>
        <w:rPr>
          <w:rFonts w:eastAsia="Calibri" w:cs="Times New Roman"/>
          <w:lang w:eastAsia="pl-PL"/>
        </w:rPr>
      </w:pPr>
      <w:r w:rsidRPr="00EE0C8C">
        <w:rPr>
          <w:rFonts w:eastAsia="Calibri" w:cs="Times New Roman"/>
          <w:b/>
          <w:bCs/>
          <w:lang w:eastAsia="pl-PL"/>
        </w:rPr>
        <w:t>Wizja w myśl definicji</w:t>
      </w:r>
      <w:r w:rsidRPr="00EE0C8C">
        <w:rPr>
          <w:rFonts w:eastAsia="Calibri" w:cs="Times New Roman"/>
          <w:lang w:eastAsia="pl-PL"/>
        </w:rPr>
        <w:t xml:space="preserve"> to wyraz aspiracji społecznych i wyobrażeń przyszłości określających: rangę, atrakcyjność, efekty wykorzystania atutów i szans rozwojowych oraz eliminację problemów </w:t>
      </w:r>
      <w:r w:rsidRPr="00EE0C8C">
        <w:rPr>
          <w:rFonts w:eastAsia="Calibri" w:cs="Times New Roman"/>
          <w:lang w:eastAsia="pl-PL"/>
        </w:rPr>
        <w:br/>
        <w:t>i zagrożeń. Wizja określa ton przyszłych celów strategicznych, przedstawia gminę naszych marzeń.</w:t>
      </w:r>
    </w:p>
    <w:p w:rsidR="00EE0C8C" w:rsidRPr="00EE0C8C" w:rsidRDefault="00EE0C8C" w:rsidP="00EE0C8C">
      <w:pPr>
        <w:spacing w:after="0"/>
        <w:jc w:val="both"/>
        <w:rPr>
          <w:rFonts w:eastAsia="Calibri" w:cs="Times New Roman"/>
        </w:rPr>
      </w:pPr>
    </w:p>
    <w:p w:rsidR="00EE0C8C" w:rsidRPr="00EE0C8C" w:rsidRDefault="00EE0C8C" w:rsidP="00EE0C8C">
      <w:pPr>
        <w:spacing w:after="0"/>
        <w:jc w:val="both"/>
        <w:rPr>
          <w:rFonts w:eastAsia="Times New Roman" w:cs="Times New Roman"/>
        </w:rPr>
      </w:pPr>
      <w:r w:rsidRPr="00EE0C8C">
        <w:rPr>
          <w:rFonts w:eastAsia="Calibri" w:cs="Times New Roman"/>
        </w:rPr>
        <w:t xml:space="preserve">Wizja rewitalizacji </w:t>
      </w:r>
      <w:r w:rsidR="0048644A">
        <w:rPr>
          <w:rFonts w:eastAsia="Calibri" w:cs="Times New Roman"/>
        </w:rPr>
        <w:t>gminy</w:t>
      </w:r>
      <w:r w:rsidRPr="00EE0C8C">
        <w:rPr>
          <w:rFonts w:eastAsia="Calibri" w:cs="Times New Roman"/>
        </w:rPr>
        <w:t xml:space="preserve"> Mirzec, a dokładnie sołectwa Mirzec I i Mirzec II, została skonstruowana przy uwzględnieniu </w:t>
      </w:r>
      <w:r w:rsidRPr="00EE0C8C">
        <w:rPr>
          <w:rFonts w:eastAsia="Times New Roman" w:cs="Times New Roman"/>
        </w:rPr>
        <w:t>stanów i procesów pożądanych przez mieszkańców.</w:t>
      </w:r>
    </w:p>
    <w:p w:rsidR="00EE0C8C" w:rsidRPr="00EE0C8C" w:rsidRDefault="00EE0C8C" w:rsidP="00EE0C8C">
      <w:pPr>
        <w:spacing w:after="0"/>
        <w:jc w:val="both"/>
        <w:rPr>
          <w:rFonts w:eastAsia="Times New Roman" w:cs="Times New Roman"/>
        </w:rPr>
      </w:pPr>
    </w:p>
    <w:p w:rsidR="00EE0C8C" w:rsidRPr="00EE0C8C" w:rsidRDefault="00EE0C8C" w:rsidP="00EE0C8C">
      <w:pPr>
        <w:tabs>
          <w:tab w:val="left" w:pos="540"/>
          <w:tab w:val="left" w:pos="1068"/>
        </w:tabs>
        <w:suppressAutoHyphens/>
        <w:autoSpaceDN w:val="0"/>
        <w:spacing w:after="0"/>
        <w:jc w:val="both"/>
        <w:rPr>
          <w:rFonts w:eastAsia="Times New Roman" w:cs="Times New Roman"/>
        </w:rPr>
      </w:pPr>
      <w:r w:rsidRPr="00EE0C8C">
        <w:rPr>
          <w:rFonts w:eastAsia="Times New Roman" w:cs="Times New Roman"/>
        </w:rPr>
        <w:t xml:space="preserve">Wizja rewitalizacji  jest ściśle związana z wizją gminy  i składa się z elementów komplementarnych, wzajemnie się wspomagających. </w:t>
      </w:r>
    </w:p>
    <w:p w:rsidR="00EE0C8C" w:rsidRPr="00EE0C8C" w:rsidRDefault="00EE0C8C" w:rsidP="00EE0C8C">
      <w:pPr>
        <w:tabs>
          <w:tab w:val="left" w:pos="540"/>
          <w:tab w:val="left" w:pos="1068"/>
        </w:tabs>
        <w:suppressAutoHyphens/>
        <w:autoSpaceDN w:val="0"/>
        <w:spacing w:after="0"/>
        <w:jc w:val="both"/>
        <w:rPr>
          <w:rFonts w:eastAsia="Times New Roman" w:cs="Times New Roman"/>
        </w:rPr>
      </w:pPr>
      <w:r w:rsidRPr="00EE0C8C">
        <w:rPr>
          <w:rFonts w:eastAsia="Times New Roman" w:cs="Times New Roman"/>
        </w:rPr>
        <w:t xml:space="preserve">Pełni funkcje motywacyjne wobec podmiotów lokalnych do podejmowania działań na rzecz rozwoju </w:t>
      </w:r>
      <w:r w:rsidR="002B09B7">
        <w:rPr>
          <w:rFonts w:eastAsia="Times New Roman" w:cs="Times New Roman"/>
        </w:rPr>
        <w:t>gminy</w:t>
      </w:r>
      <w:r w:rsidRPr="00EE0C8C">
        <w:rPr>
          <w:rFonts w:eastAsia="Times New Roman" w:cs="Times New Roman"/>
        </w:rPr>
        <w:t>.</w:t>
      </w:r>
    </w:p>
    <w:p w:rsidR="00EE0C8C" w:rsidRPr="00EE0C8C" w:rsidRDefault="00EE0C8C" w:rsidP="00EE0C8C">
      <w:pPr>
        <w:tabs>
          <w:tab w:val="left" w:pos="540"/>
          <w:tab w:val="left" w:pos="1068"/>
        </w:tabs>
        <w:suppressAutoHyphens/>
        <w:autoSpaceDN w:val="0"/>
        <w:spacing w:after="0"/>
        <w:jc w:val="both"/>
        <w:rPr>
          <w:rFonts w:eastAsia="Times New Roman" w:cs="Times New Roman"/>
        </w:rPr>
      </w:pPr>
    </w:p>
    <w:p w:rsidR="00652A39" w:rsidRPr="00EE0C8C" w:rsidRDefault="00B05FB3" w:rsidP="00EE0C8C">
      <w:pPr>
        <w:jc w:val="both"/>
        <w:rPr>
          <w:rFonts w:eastAsia="Calibri" w:cs="Times New Roman"/>
        </w:rPr>
      </w:pPr>
      <w:r>
        <w:rPr>
          <w:bCs/>
          <w:iCs/>
          <w:noProof/>
          <w:color w:val="000000" w:themeColor="text1"/>
          <w:lang w:eastAsia="pl-PL"/>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Sześciokąt 33" o:spid="_x0000_s1026" type="#_x0000_t9" style="position:absolute;left:0;text-align:left;margin-left:-6.35pt;margin-top:34.65pt;width:481.55pt;height:192.55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" adj="2159" fillcolor="#a3c4ff" strokecolor="#4a7ebb">
            <v:fill color2="#e5eeff" rotate="t" angle="180" colors="0 #a3c4ff;22938f #bfd5ff;1 #e5eeff" focus="100%" type="gradient"/>
            <v:shadow on="t" color="black" opacity="24903f" origin=",.5" offset="0,.55556mm"/>
            <v:textbox style="mso-next-textbox:#Sześciokąt 33">
              <w:txbxContent>
                <w:p w:rsidR="000D717F" w:rsidRPr="004F5805" w:rsidRDefault="000D717F" w:rsidP="002B09B7">
                  <w:pPr>
                    <w:jc w:val="center"/>
                    <w:rPr>
                      <w:b/>
                      <w:color w:val="002060"/>
                      <w:sz w:val="36"/>
                      <w:szCs w:val="36"/>
                    </w:rPr>
                  </w:pPr>
                  <w:r w:rsidRPr="004F5805">
                    <w:rPr>
                      <w:b/>
                      <w:color w:val="002060"/>
                      <w:sz w:val="36"/>
                      <w:szCs w:val="36"/>
                    </w:rPr>
                    <w:t>WIZJA</w:t>
                  </w:r>
                </w:p>
                <w:p w:rsidR="000D717F" w:rsidRPr="002B09B7" w:rsidRDefault="000D717F" w:rsidP="002B09B7">
                  <w:pPr>
                    <w:jc w:val="center"/>
                    <w:rPr>
                      <w:b/>
                      <w:sz w:val="24"/>
                    </w:rPr>
                  </w:pPr>
                  <w:r w:rsidRPr="002B09B7">
                    <w:rPr>
                      <w:b/>
                      <w:sz w:val="24"/>
                    </w:rPr>
                    <w:t xml:space="preserve">Ożywienie kryzysowego obszaru w centrum Mirca, połączone </w:t>
                  </w:r>
                  <w:r>
                    <w:rPr>
                      <w:b/>
                      <w:sz w:val="24"/>
                    </w:rPr>
                    <w:br/>
                  </w:r>
                  <w:r w:rsidRPr="002B09B7">
                    <w:rPr>
                      <w:b/>
                      <w:sz w:val="24"/>
                    </w:rPr>
                    <w:t xml:space="preserve">z podniesieniem atrakcyjności przestrzeni wiejskiej dla turystów </w:t>
                  </w:r>
                  <w:r>
                    <w:rPr>
                      <w:b/>
                      <w:sz w:val="24"/>
                    </w:rPr>
                    <w:br/>
                  </w:r>
                  <w:r w:rsidRPr="002B09B7">
                    <w:rPr>
                      <w:b/>
                      <w:sz w:val="24"/>
                    </w:rPr>
                    <w:t>i inwestorów, wsparte rozwojem lokalnej przedsiębiorczości, polepszeniem jakości usług publicznych i społecznych oraz odnową obiektów pełniących funkcje użyteczności publicznej w kierunku wzrostu poziomu życia mieszkańców”.</w:t>
                  </w:r>
                </w:p>
                <w:p w:rsidR="000D717F" w:rsidRDefault="000D717F" w:rsidP="002B09B7">
                  <w:pPr>
                    <w:jc w:val="center"/>
                  </w:pPr>
                </w:p>
                <w:p w:rsidR="000D717F" w:rsidRDefault="000D717F" w:rsidP="002B09B7">
                  <w:pPr>
                    <w:jc w:val="center"/>
                  </w:pPr>
                </w:p>
                <w:p w:rsidR="000D717F" w:rsidRDefault="000D717F" w:rsidP="002B09B7">
                  <w:pPr>
                    <w:jc w:val="center"/>
                  </w:pPr>
                </w:p>
              </w:txbxContent>
            </v:textbox>
          </v:shape>
        </w:pict>
      </w:r>
      <w:r w:rsidR="00EE0C8C" w:rsidRPr="00EE0C8C">
        <w:rPr>
          <w:rFonts w:eastAsia="Calibri" w:cs="Times New Roman"/>
        </w:rPr>
        <w:t>Wypracowana podczas spotkań wizja rewitalizacji gminy Mirzec  zawiera akceptowane społecznie oczekiwania mieszkańców dotyczące rozwoju</w:t>
      </w:r>
      <w:r w:rsidR="002B09B7">
        <w:rPr>
          <w:rFonts w:eastAsia="Calibri" w:cs="Times New Roman"/>
        </w:rPr>
        <w:t xml:space="preserve">  gminy</w:t>
      </w:r>
      <w:r w:rsidR="00EE0C8C" w:rsidRPr="00EE0C8C">
        <w:rPr>
          <w:rFonts w:eastAsia="Calibri" w:cs="Times New Roman"/>
        </w:rPr>
        <w:t xml:space="preserve">  w prognozowanym okresie 2016 - 2022.</w:t>
      </w:r>
    </w:p>
    <w:p w:rsidR="00EE0C8C" w:rsidRPr="00EE0C8C" w:rsidRDefault="00EE0C8C" w:rsidP="00EE0C8C">
      <w:pPr>
        <w:rPr>
          <w:bCs/>
          <w:iCs/>
          <w:color w:val="000000" w:themeColor="text1"/>
        </w:rPr>
      </w:pPr>
    </w:p>
    <w:p w:rsidR="00EE0C8C" w:rsidRPr="00EE0C8C" w:rsidRDefault="00EE0C8C" w:rsidP="00EE0C8C"/>
    <w:p w:rsidR="00EE0C8C" w:rsidRPr="00EE0C8C" w:rsidRDefault="00EE0C8C" w:rsidP="00EE0C8C"/>
    <w:p w:rsidR="00EE0C8C" w:rsidRPr="00EE0C8C" w:rsidRDefault="00EE0C8C" w:rsidP="00EE0C8C"/>
    <w:p w:rsidR="00EE0C8C" w:rsidRPr="00EE0C8C" w:rsidRDefault="00EE0C8C" w:rsidP="00EE0C8C"/>
    <w:p w:rsidR="00EE0C8C" w:rsidRPr="00EE0C8C" w:rsidRDefault="00EE0C8C" w:rsidP="00EE0C8C"/>
    <w:p w:rsidR="00EE0C8C" w:rsidRPr="00EE0C8C" w:rsidRDefault="00EE0C8C" w:rsidP="00EE0C8C"/>
    <w:p w:rsidR="00EE0C8C" w:rsidRPr="00EE0C8C" w:rsidRDefault="00EE0C8C" w:rsidP="00EE0C8C"/>
    <w:p w:rsidR="00EE0C8C" w:rsidRDefault="00EE0C8C" w:rsidP="00A76BDB">
      <w:pPr>
        <w:pStyle w:val="Nagwek2"/>
      </w:pPr>
      <w:bookmarkStart w:id="104" w:name="_Toc450562510"/>
      <w:r w:rsidRPr="00EE0C8C">
        <w:t>5.2. MISJA REWITALIZACJI GMINY MIRZEC.</w:t>
      </w:r>
      <w:bookmarkEnd w:id="104"/>
    </w:p>
    <w:p w:rsidR="00A76BDB" w:rsidRPr="00A76BDB" w:rsidRDefault="00A76BDB" w:rsidP="00A76BDB"/>
    <w:p w:rsidR="00EE0C8C" w:rsidRPr="00EE0C8C" w:rsidRDefault="00EE0C8C" w:rsidP="002B09B7">
      <w:pPr>
        <w:jc w:val="both"/>
      </w:pPr>
      <w:r w:rsidRPr="00EE0C8C">
        <w:t xml:space="preserve">Misja rewitalizacji centrum Mirca: Sołectwo Mirzec I i Mirzec II – opisuje jego mandat do realizacji wizji rozwoju i rewitalizacji oraz nadrzędne wartości (zasady), jakimi gmina będzie się kierowała podejmując działania na rzecz realizacji wizji. </w:t>
      </w:r>
    </w:p>
    <w:p w:rsidR="00EE0C8C" w:rsidRPr="00EE0C8C" w:rsidRDefault="00EE0C8C" w:rsidP="002B09B7">
      <w:pPr>
        <w:jc w:val="both"/>
      </w:pPr>
      <w:r w:rsidRPr="00EE0C8C">
        <w:lastRenderedPageBreak/>
        <w:t xml:space="preserve">Misja to syntetyczny opis sposobu postępowania w celu realizacji wizji </w:t>
      </w:r>
      <w:r w:rsidR="00117F51">
        <w:t>gminy.</w:t>
      </w:r>
    </w:p>
    <w:p w:rsidR="00EE0C8C" w:rsidRPr="00EE0C8C" w:rsidRDefault="00B05FB3" w:rsidP="00EE0C8C">
      <w:pPr>
        <w:rPr>
          <w:b/>
          <w:bCs/>
          <w:iCs/>
          <w:color w:val="4F81BD" w:themeColor="accent1"/>
          <w:sz w:val="28"/>
          <w:szCs w:val="28"/>
        </w:rPr>
      </w:pPr>
      <w:r>
        <w:rPr>
          <w:bCs/>
          <w:iCs/>
          <w:noProof/>
          <w:color w:val="000000" w:themeColor="text1"/>
          <w:lang w:eastAsia="pl-PL"/>
        </w:rPr>
        <w:pict>
          <v:shape id="Sześciokąt 34" o:spid="_x0000_s1027" type="#_x0000_t9" style="position:absolute;margin-left:-11.05pt;margin-top:37.85pt;width:463.75pt;height:175.25pt;z-index:251668480;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" adj="2041" fillcolor="#a3c4ff" strokecolor="#4a7ebb">
            <v:fill color2="#e5eeff" rotate="t" angle="180" colors="0 #a3c4ff;22938f #bfd5ff;1 #e5eeff" focus="100%" type="gradient"/>
            <v:shadow on="t" color="black" opacity="24903f" origin=",.5" offset="0,.55556mm"/>
            <v:textbox style="mso-next-textbox:#Sześciokąt 34">
              <w:txbxContent>
                <w:p w:rsidR="000D717F" w:rsidRDefault="000D717F" w:rsidP="00EE0C8C">
                  <w:pPr>
                    <w:jc w:val="center"/>
                    <w:rPr>
                      <w:b/>
                      <w:color w:val="002060"/>
                      <w:sz w:val="36"/>
                      <w:szCs w:val="36"/>
                    </w:rPr>
                  </w:pPr>
                  <w:r>
                    <w:rPr>
                      <w:b/>
                      <w:color w:val="002060"/>
                      <w:sz w:val="36"/>
                      <w:szCs w:val="36"/>
                    </w:rPr>
                    <w:t>MISJA</w:t>
                  </w:r>
                </w:p>
                <w:p w:rsidR="000D717F" w:rsidRPr="00117F51" w:rsidRDefault="000D717F" w:rsidP="00EE0C8C">
                  <w:pPr>
                    <w:jc w:val="center"/>
                    <w:rPr>
                      <w:b/>
                      <w:sz w:val="24"/>
                    </w:rPr>
                  </w:pPr>
                  <w:r>
                    <w:rPr>
                      <w:b/>
                      <w:sz w:val="24"/>
                    </w:rPr>
                    <w:t>Koncentracja działań naprawczych</w:t>
                  </w:r>
                  <w:r w:rsidRPr="00117F51">
                    <w:rPr>
                      <w:b/>
                      <w:sz w:val="24"/>
                    </w:rPr>
                    <w:t xml:space="preserve"> na obszarze </w:t>
                  </w:r>
                  <w:r>
                    <w:rPr>
                      <w:b/>
                      <w:sz w:val="24"/>
                    </w:rPr>
                    <w:t xml:space="preserve">rewitalizacji </w:t>
                  </w:r>
                  <w:r w:rsidRPr="00117F51">
                    <w:rPr>
                      <w:b/>
                      <w:sz w:val="24"/>
                    </w:rPr>
                    <w:t>przy udziale partycypacji społecznej mieszkańców gminy Mirzec</w:t>
                  </w:r>
                  <w:r>
                    <w:rPr>
                      <w:b/>
                      <w:sz w:val="24"/>
                    </w:rPr>
                    <w:t xml:space="preserve"> </w:t>
                  </w:r>
                  <w:r>
                    <w:rPr>
                      <w:b/>
                      <w:sz w:val="24"/>
                    </w:rPr>
                    <w:br/>
                    <w:t xml:space="preserve">i zachowaniem partnerstwa </w:t>
                  </w:r>
                  <w:r w:rsidRPr="00117F51">
                    <w:rPr>
                      <w:b/>
                      <w:sz w:val="24"/>
                    </w:rPr>
                    <w:t>oraz transparentności działań w sferze przestrzennej, gospodarczej i społecznej.</w:t>
                  </w:r>
                </w:p>
                <w:p w:rsidR="000D717F" w:rsidRDefault="000D717F" w:rsidP="00EE0C8C">
                  <w:pPr>
                    <w:jc w:val="center"/>
                  </w:pPr>
                </w:p>
                <w:p w:rsidR="000D717F" w:rsidRDefault="000D717F" w:rsidP="00EE0C8C">
                  <w:pPr>
                    <w:jc w:val="center"/>
                  </w:pPr>
                </w:p>
                <w:p w:rsidR="000D717F" w:rsidRDefault="000D717F" w:rsidP="00EE0C8C">
                  <w:pPr>
                    <w:jc w:val="center"/>
                  </w:pPr>
                </w:p>
              </w:txbxContent>
            </v:textbox>
            <w10:wrap type="square" anchorx="margin" anchory="margin"/>
          </v:shape>
        </w:pict>
      </w:r>
    </w:p>
    <w:p w:rsidR="00EE0C8C" w:rsidRPr="00EE0C8C" w:rsidRDefault="00EE0C8C" w:rsidP="00EE0C8C">
      <w:pPr>
        <w:rPr>
          <w:b/>
          <w:bCs/>
          <w:iCs/>
          <w:color w:val="4F81BD" w:themeColor="accent1"/>
          <w:sz w:val="28"/>
          <w:szCs w:val="28"/>
        </w:rPr>
      </w:pPr>
    </w:p>
    <w:p w:rsidR="00EE0C8C" w:rsidRDefault="00EE0C8C" w:rsidP="00A76BDB">
      <w:pPr>
        <w:pStyle w:val="Nagwek2"/>
      </w:pPr>
      <w:bookmarkStart w:id="105" w:name="_Toc450562511"/>
      <w:r w:rsidRPr="00EE0C8C">
        <w:t>5.3. CELE REWITALIZACJI I ICH REALIZACJA</w:t>
      </w:r>
      <w:bookmarkEnd w:id="105"/>
    </w:p>
    <w:p w:rsidR="00A76BDB" w:rsidRPr="00A76BDB" w:rsidRDefault="00A76BDB" w:rsidP="00A76BDB"/>
    <w:p w:rsidR="00EE0C8C" w:rsidRPr="00EE0C8C" w:rsidRDefault="00EE0C8C" w:rsidP="00EE0C8C">
      <w:r w:rsidRPr="00EE0C8C">
        <w:t>Podstawowym  celem Programu Rewitalizacji będzie podniesienie atrakcyjności Gminy Mirzec, jako miejsca zamieszkania i pracy oraz atrakcji turystycznej ze względu na zrewitalizowanie Centrum Mirca.</w:t>
      </w:r>
    </w:p>
    <w:p w:rsidR="00EE0C8C" w:rsidRPr="00EE0C8C" w:rsidRDefault="00EE0C8C" w:rsidP="00EE0C8C">
      <w:r w:rsidRPr="00EE0C8C">
        <w:t>Główne cele Programu Rewitalizacji to:</w:t>
      </w:r>
    </w:p>
    <w:p w:rsidR="00EE0C8C" w:rsidRPr="00EE0C8C" w:rsidRDefault="00EE0C8C" w:rsidP="00EE0C8C">
      <w:pPr>
        <w:jc w:val="both"/>
        <w:rPr>
          <w:b/>
        </w:rPr>
      </w:pPr>
      <w:r w:rsidRPr="00EE0C8C">
        <w:rPr>
          <w:b/>
        </w:rPr>
        <w:t xml:space="preserve">- Rewitalizacja przestrzeni publicznej terenów otwartych poprzez projekt „Zintegrowana rewitalizacja terenów kulturowych w Mircu z zamiarem kompleksowej odnowy terenów kryzysowych w obszar rozwojowy poprzez powstanie strefy: turystyki, relaksu </w:t>
      </w:r>
      <w:r w:rsidRPr="00EE0C8C">
        <w:rPr>
          <w:b/>
        </w:rPr>
        <w:br/>
        <w:t>i aktywności.</w:t>
      </w:r>
    </w:p>
    <w:p w:rsidR="00EE0C8C" w:rsidRPr="00EE0C8C" w:rsidRDefault="00EE0C8C" w:rsidP="00EE0C8C">
      <w:pPr>
        <w:jc w:val="both"/>
        <w:rPr>
          <w:b/>
        </w:rPr>
      </w:pPr>
      <w:r w:rsidRPr="00EE0C8C">
        <w:rPr>
          <w:b/>
        </w:rPr>
        <w:t xml:space="preserve">- Usprawnienie działalności budynków użyteczności publicznej - uwzględnienie  doposażenia </w:t>
      </w:r>
      <w:r w:rsidRPr="00EE0C8C">
        <w:rPr>
          <w:b/>
        </w:rPr>
        <w:br/>
        <w:t>i wyposażenia ośrodka  zdrowia   do 2020r. ( doposażenie w sprzęt medyczny ośrodka zdrowia w Mircu oraz termomodernizację struktury grzewczej i budowlanej nieruchomości budynku świadczącego usługi zdrowotne dla mieszkańców Gminy Mirzec).</w:t>
      </w:r>
    </w:p>
    <w:p w:rsidR="00EE0C8C" w:rsidRPr="00EE0C8C" w:rsidRDefault="00EE0C8C" w:rsidP="00EE0C8C">
      <w:pPr>
        <w:jc w:val="both"/>
      </w:pPr>
      <w:r w:rsidRPr="00EE0C8C">
        <w:t>Kolejnymi celami, które mają za zadanie ograniczyć problemy społeczne na obszarze kryzysowym są:</w:t>
      </w:r>
    </w:p>
    <w:p w:rsidR="00EE0C8C" w:rsidRPr="00EE0C8C" w:rsidRDefault="00EE0C8C" w:rsidP="00EE0C8C">
      <w:pPr>
        <w:jc w:val="both"/>
      </w:pPr>
      <w:r w:rsidRPr="00EE0C8C">
        <w:t>- Poprawa warunków życia mieszkańców gminy w sferze bytowej, środowiskowej oraz społecznej.</w:t>
      </w:r>
    </w:p>
    <w:p w:rsidR="00EE0C8C" w:rsidRPr="00EE0C8C" w:rsidRDefault="00652A39" w:rsidP="00EE0C8C">
      <w:pPr>
        <w:jc w:val="both"/>
      </w:pPr>
      <w:r>
        <w:t xml:space="preserve">- </w:t>
      </w:r>
      <w:r w:rsidR="00EE0C8C" w:rsidRPr="00EE0C8C">
        <w:t xml:space="preserve">Działania na rzecz rozwoju kompleksowej oferty wsparcia dla osób starszych </w:t>
      </w:r>
      <w:r w:rsidR="00EE0C8C" w:rsidRPr="00EE0C8C">
        <w:br/>
        <w:t>i niepełnosprawnych poprzez rozwój usług socjalnych, opiekuńczych i rehabilitacyjnych.</w:t>
      </w:r>
    </w:p>
    <w:p w:rsidR="00EE0C8C" w:rsidRPr="00EE0C8C" w:rsidRDefault="00EE0C8C" w:rsidP="00EE0C8C">
      <w:pPr>
        <w:jc w:val="both"/>
      </w:pPr>
      <w:r w:rsidRPr="00EE0C8C">
        <w:t>- Nadanie obiektom i terenom zdegradowanym nowych funkcji.</w:t>
      </w:r>
    </w:p>
    <w:p w:rsidR="00EE0C8C" w:rsidRPr="00EE0C8C" w:rsidRDefault="00EE0C8C" w:rsidP="00EE0C8C">
      <w:pPr>
        <w:jc w:val="both"/>
      </w:pPr>
      <w:r w:rsidRPr="00EE0C8C">
        <w:t>- Promocja przedsiębiorczości;</w:t>
      </w:r>
    </w:p>
    <w:p w:rsidR="00EE0C8C" w:rsidRPr="00EE0C8C" w:rsidRDefault="00EE0C8C" w:rsidP="00EE0C8C">
      <w:pPr>
        <w:jc w:val="both"/>
      </w:pPr>
      <w:r w:rsidRPr="00EE0C8C">
        <w:lastRenderedPageBreak/>
        <w:t>- Wsparcie integracji społecznej na rzecz aktywizacji zawodowej.</w:t>
      </w:r>
    </w:p>
    <w:p w:rsidR="00EE0C8C" w:rsidRPr="00EE0C8C" w:rsidRDefault="00EE0C8C" w:rsidP="00EE0C8C">
      <w:pPr>
        <w:jc w:val="both"/>
      </w:pPr>
      <w:r w:rsidRPr="00EE0C8C">
        <w:t xml:space="preserve">- Zachowanie i ochrona środowiska oraz promowanie efektywnego gospodarowania zasobami </w:t>
      </w:r>
      <w:r w:rsidR="00652A39">
        <w:br/>
      </w:r>
      <w:r w:rsidRPr="00EE0C8C">
        <w:t>i wdrażania OZE.</w:t>
      </w:r>
    </w:p>
    <w:p w:rsidR="00EE0C8C" w:rsidRPr="00EE0C8C" w:rsidRDefault="00EE0C8C" w:rsidP="00EE0C8C">
      <w:pPr>
        <w:jc w:val="both"/>
      </w:pPr>
      <w:r w:rsidRPr="00EE0C8C">
        <w:t xml:space="preserve">- Promocja marki i wizerunku Gminy Mirzec poprzez organizację imprez kulturalnych </w:t>
      </w:r>
      <w:r w:rsidRPr="00EE0C8C">
        <w:br/>
        <w:t>o charakterze wizerunkowym.</w:t>
      </w:r>
    </w:p>
    <w:p w:rsidR="00EE0C8C" w:rsidRPr="00EE0C8C" w:rsidRDefault="00EE0C8C" w:rsidP="00EE0C8C"/>
    <w:p w:rsidR="00EE0C8C" w:rsidRPr="00EE0C8C" w:rsidRDefault="00EE0C8C" w:rsidP="00EE0C8C">
      <w:r w:rsidRPr="00EE0C8C">
        <w:t>Wymienione wyżej cele rewitalizacji korespondują z aspektami rewitalizacji, które uwzględniają :</w:t>
      </w:r>
    </w:p>
    <w:p w:rsidR="00EE0C8C" w:rsidRPr="00652A39" w:rsidRDefault="00EE0C8C" w:rsidP="00EE0C8C">
      <w:pPr>
        <w:rPr>
          <w:b/>
        </w:rPr>
      </w:pPr>
      <w:r w:rsidRPr="00652A39">
        <w:rPr>
          <w:b/>
        </w:rPr>
        <w:t>I.</w:t>
      </w:r>
      <w:r w:rsidRPr="00652A39">
        <w:rPr>
          <w:b/>
        </w:rPr>
        <w:tab/>
        <w:t>Aspekt Przestrzenno-Urbanistyczny</w:t>
      </w:r>
    </w:p>
    <w:p w:rsidR="00EE0C8C" w:rsidRPr="00EE0C8C" w:rsidRDefault="00EE0C8C" w:rsidP="00EE0C8C">
      <w:r w:rsidRPr="00EE0C8C">
        <w:t>-</w:t>
      </w:r>
      <w:r w:rsidRPr="00EE0C8C">
        <w:tab/>
        <w:t>działania dotyczące rozwoju infrastruktury technicznej,</w:t>
      </w:r>
    </w:p>
    <w:p w:rsidR="00EE0C8C" w:rsidRPr="00EE0C8C" w:rsidRDefault="00EE0C8C" w:rsidP="00EE0C8C">
      <w:r w:rsidRPr="00EE0C8C">
        <w:t>-</w:t>
      </w:r>
      <w:r w:rsidRPr="00EE0C8C">
        <w:tab/>
        <w:t>działania dotyczące podniesienia walorów estetycznych i funkcjonalnych przestrzeni publicznych,</w:t>
      </w:r>
    </w:p>
    <w:p w:rsidR="00EE0C8C" w:rsidRPr="00EE0C8C" w:rsidRDefault="00EE0C8C" w:rsidP="00EE0C8C">
      <w:r w:rsidRPr="00EE0C8C">
        <w:t>-</w:t>
      </w:r>
      <w:r w:rsidRPr="00EE0C8C">
        <w:tab/>
        <w:t>działania dotyczące rozwoju transportu,</w:t>
      </w:r>
    </w:p>
    <w:p w:rsidR="00EE0C8C" w:rsidRPr="00EE0C8C" w:rsidRDefault="00EE0C8C" w:rsidP="00EE0C8C">
      <w:r w:rsidRPr="00EE0C8C">
        <w:t>-</w:t>
      </w:r>
      <w:r w:rsidRPr="00EE0C8C">
        <w:tab/>
        <w:t>działania dotyczące remontów i renowacji istniejących budynków użyteczności publicznej,</w:t>
      </w:r>
    </w:p>
    <w:p w:rsidR="00EE0C8C" w:rsidRPr="00EE0C8C" w:rsidRDefault="00EE0C8C" w:rsidP="00EE0C8C">
      <w:r w:rsidRPr="00EE0C8C">
        <w:t>-</w:t>
      </w:r>
      <w:r w:rsidRPr="00EE0C8C">
        <w:tab/>
        <w:t>działania dotyczące rozwoju infrastruktury społecznej, kulturalnej i turystycznej,</w:t>
      </w:r>
    </w:p>
    <w:p w:rsidR="00EE0C8C" w:rsidRPr="00652A39" w:rsidRDefault="00EE0C8C" w:rsidP="00EE0C8C">
      <w:pPr>
        <w:rPr>
          <w:b/>
        </w:rPr>
      </w:pPr>
      <w:r w:rsidRPr="00652A39">
        <w:rPr>
          <w:b/>
        </w:rPr>
        <w:t>II.</w:t>
      </w:r>
      <w:r w:rsidRPr="00652A39">
        <w:rPr>
          <w:b/>
        </w:rPr>
        <w:tab/>
        <w:t>Aspekt Ekonomiczny</w:t>
      </w:r>
    </w:p>
    <w:p w:rsidR="00EE0C8C" w:rsidRPr="00EE0C8C" w:rsidRDefault="00EE0C8C" w:rsidP="00EE0C8C">
      <w:r w:rsidRPr="00EE0C8C">
        <w:t>-</w:t>
      </w:r>
      <w:r w:rsidRPr="00EE0C8C">
        <w:tab/>
        <w:t>działania dotyczące rozwoju turystyki bądź innych sektorów gospodarki lokalnej,</w:t>
      </w:r>
    </w:p>
    <w:p w:rsidR="00EE0C8C" w:rsidRPr="00EE0C8C" w:rsidRDefault="00EE0C8C" w:rsidP="00EE0C8C">
      <w:r w:rsidRPr="00EE0C8C">
        <w:t>-</w:t>
      </w:r>
      <w:r w:rsidRPr="00EE0C8C">
        <w:tab/>
        <w:t>działania dotyczące wspierania przedsiębiorczości,</w:t>
      </w:r>
    </w:p>
    <w:p w:rsidR="00EE0C8C" w:rsidRPr="00EE0C8C" w:rsidRDefault="00EE0C8C" w:rsidP="00EE0C8C">
      <w:r w:rsidRPr="00EE0C8C">
        <w:t>-</w:t>
      </w:r>
      <w:r w:rsidRPr="00EE0C8C">
        <w:tab/>
        <w:t>działania dotyczące uruchamiania finansowanych mechanizmów wsparcia (np. budżet obywatelski),</w:t>
      </w:r>
    </w:p>
    <w:p w:rsidR="00EE0C8C" w:rsidRPr="00EE0C8C" w:rsidRDefault="00EE0C8C" w:rsidP="00EE0C8C">
      <w:r w:rsidRPr="00EE0C8C">
        <w:t>-</w:t>
      </w:r>
      <w:r w:rsidRPr="00EE0C8C">
        <w:tab/>
        <w:t>działania wynikające z programów pomocowych dla rozwoju MŚP.</w:t>
      </w:r>
    </w:p>
    <w:p w:rsidR="00EE0C8C" w:rsidRPr="00652A39" w:rsidRDefault="00EE0C8C" w:rsidP="00EE0C8C">
      <w:pPr>
        <w:rPr>
          <w:b/>
        </w:rPr>
      </w:pPr>
      <w:r w:rsidRPr="00652A39">
        <w:rPr>
          <w:b/>
        </w:rPr>
        <w:t>III.</w:t>
      </w:r>
      <w:r w:rsidRPr="00652A39">
        <w:rPr>
          <w:b/>
        </w:rPr>
        <w:tab/>
        <w:t>Aspekt Społeczny</w:t>
      </w:r>
    </w:p>
    <w:p w:rsidR="00EE0C8C" w:rsidRPr="00EE0C8C" w:rsidRDefault="00EE0C8C" w:rsidP="00EE0C8C">
      <w:r w:rsidRPr="00EE0C8C">
        <w:t>-</w:t>
      </w:r>
      <w:r w:rsidRPr="00EE0C8C">
        <w:tab/>
        <w:t>działania dotyczące rozwoju zasobów ludzkich,</w:t>
      </w:r>
    </w:p>
    <w:p w:rsidR="00EE0C8C" w:rsidRPr="00EE0C8C" w:rsidRDefault="00EE0C8C" w:rsidP="00EE0C8C">
      <w:r w:rsidRPr="00EE0C8C">
        <w:t>-</w:t>
      </w:r>
      <w:r w:rsidRPr="00EE0C8C">
        <w:tab/>
        <w:t>działania dotyczące przeciwdziałania wykluczaniu społecznemu,</w:t>
      </w:r>
    </w:p>
    <w:p w:rsidR="00EE0C8C" w:rsidRPr="00EE0C8C" w:rsidRDefault="00EE0C8C" w:rsidP="00EE0C8C">
      <w:r w:rsidRPr="00EE0C8C">
        <w:t>-</w:t>
      </w:r>
      <w:r w:rsidRPr="00EE0C8C">
        <w:tab/>
        <w:t>działania dotyczące walki z patologiami społecznymi,</w:t>
      </w:r>
    </w:p>
    <w:p w:rsidR="00EE0C8C" w:rsidRPr="00EE0C8C" w:rsidRDefault="00EE0C8C" w:rsidP="00EE0C8C">
      <w:r w:rsidRPr="00EE0C8C">
        <w:t>-</w:t>
      </w:r>
      <w:r w:rsidRPr="00EE0C8C">
        <w:tab/>
        <w:t>działania dotyczące tworzenia równych szans,</w:t>
      </w:r>
    </w:p>
    <w:p w:rsidR="00EE0C8C" w:rsidRPr="00EE0C8C" w:rsidRDefault="00EE0C8C" w:rsidP="00EE0C8C">
      <w:r w:rsidRPr="00EE0C8C">
        <w:t>-</w:t>
      </w:r>
      <w:r w:rsidRPr="00EE0C8C">
        <w:tab/>
        <w:t>działania dotyczące zapobieganiu zjawisku bezrobocia,</w:t>
      </w:r>
    </w:p>
    <w:p w:rsidR="00EE0C8C" w:rsidRPr="00EE0C8C" w:rsidRDefault="00EE0C8C" w:rsidP="00EE0C8C">
      <w:r w:rsidRPr="00EE0C8C">
        <w:t>-</w:t>
      </w:r>
      <w:r w:rsidRPr="00EE0C8C">
        <w:tab/>
        <w:t>działania na rzecz aktywności środowisk dziecięcych i młodzieżowych.</w:t>
      </w:r>
    </w:p>
    <w:p w:rsidR="00EE0C8C" w:rsidRPr="00EE0C8C" w:rsidRDefault="00EE0C8C" w:rsidP="00EE0C8C"/>
    <w:p w:rsidR="00EE0C8C" w:rsidRPr="00EE0C8C" w:rsidRDefault="00EE0C8C" w:rsidP="00EE0C8C">
      <w:r w:rsidRPr="00EE0C8C">
        <w:t>Realizacja celów Programu Rewitalizacji odbywać się będzie poprzez:</w:t>
      </w:r>
    </w:p>
    <w:p w:rsidR="00EE0C8C" w:rsidRPr="00EE0C8C" w:rsidRDefault="00EE0C8C" w:rsidP="00EE0C8C">
      <w:r w:rsidRPr="00EE0C8C">
        <w:lastRenderedPageBreak/>
        <w:t>1.</w:t>
      </w:r>
      <w:r w:rsidRPr="00EE0C8C">
        <w:tab/>
        <w:t>Budowę marki i wizerunku Gminy Mirzec.</w:t>
      </w:r>
    </w:p>
    <w:p w:rsidR="00EE0C8C" w:rsidRPr="00EE0C8C" w:rsidRDefault="00EE0C8C" w:rsidP="00EE0C8C">
      <w:r w:rsidRPr="00EE0C8C">
        <w:t>2.</w:t>
      </w:r>
      <w:r w:rsidRPr="00EE0C8C">
        <w:tab/>
        <w:t>Podniesienie atrakcyjności centrum Mirca:</w:t>
      </w:r>
    </w:p>
    <w:p w:rsidR="00EE0C8C" w:rsidRPr="00EE0C8C" w:rsidRDefault="00EE0C8C" w:rsidP="00EE0C8C">
      <w:pPr>
        <w:jc w:val="both"/>
      </w:pPr>
      <w:r w:rsidRPr="00EE0C8C">
        <w:t>-</w:t>
      </w:r>
      <w:r w:rsidRPr="00EE0C8C">
        <w:tab/>
        <w:t xml:space="preserve">Rewitalizacja centrum Mirca  poprzez kompleksową odnowę kryzysowych terenów </w:t>
      </w:r>
      <w:r w:rsidRPr="00EE0C8C">
        <w:br/>
        <w:t>i obiektów w obszar rozwojowy tworząc strefy: turystyki, relaksu i aktywności w kierunku wzrostu poziomu życia mieszkańców.</w:t>
      </w:r>
    </w:p>
    <w:p w:rsidR="00EE0C8C" w:rsidRPr="00EE0C8C" w:rsidRDefault="00EE0C8C" w:rsidP="00EE0C8C">
      <w:r w:rsidRPr="00EE0C8C">
        <w:t>-</w:t>
      </w:r>
      <w:r w:rsidRPr="00EE0C8C">
        <w:tab/>
        <w:t>Wykonanie elewacji OSP Mirzec oraz rewitalizację infrastruktury towarzyszącej.</w:t>
      </w:r>
    </w:p>
    <w:p w:rsidR="00EE0C8C" w:rsidRPr="00EE0C8C" w:rsidRDefault="00EE0C8C" w:rsidP="00EE0C8C">
      <w:r w:rsidRPr="00EE0C8C">
        <w:t>1.</w:t>
      </w:r>
      <w:r w:rsidRPr="00EE0C8C">
        <w:tab/>
        <w:t>Organizację imprezy wizerunkowej Gminy Mirzec.</w:t>
      </w:r>
    </w:p>
    <w:p w:rsidR="00EE0C8C" w:rsidRPr="00EE0C8C" w:rsidRDefault="00EE0C8C" w:rsidP="00EE0C8C">
      <w:r w:rsidRPr="00EE0C8C">
        <w:t>2.</w:t>
      </w:r>
      <w:r w:rsidRPr="00EE0C8C">
        <w:tab/>
        <w:t>Zwiększenie dostępności i jakości usług zdrowotnych dla mieszkańców Gminy:</w:t>
      </w:r>
    </w:p>
    <w:p w:rsidR="00EE0C8C" w:rsidRPr="00EE0C8C" w:rsidRDefault="00EE0C8C" w:rsidP="00EE0C8C">
      <w:r w:rsidRPr="00EE0C8C">
        <w:t>-</w:t>
      </w:r>
      <w:r w:rsidRPr="00EE0C8C">
        <w:tab/>
        <w:t>Modernizacja struktury grzewczej i budowlanej Ośrodka Zdrowia w Mircu.</w:t>
      </w:r>
    </w:p>
    <w:p w:rsidR="00EE0C8C" w:rsidRPr="00EE0C8C" w:rsidRDefault="00EE0C8C" w:rsidP="00EE0C8C">
      <w:r w:rsidRPr="00EE0C8C">
        <w:t>-</w:t>
      </w:r>
      <w:r w:rsidRPr="00EE0C8C">
        <w:tab/>
        <w:t>Doposażenie w sprzęt medyczny podmiotu leczniczego - podstawowa opieka zdrowotna, stomatologia, ginekologia, laboratorium.</w:t>
      </w:r>
    </w:p>
    <w:p w:rsidR="00EE0C8C" w:rsidRPr="00EE0C8C" w:rsidRDefault="00EE0C8C" w:rsidP="00EE0C8C">
      <w:r w:rsidRPr="00EE0C8C">
        <w:t>-</w:t>
      </w:r>
      <w:r w:rsidRPr="00EE0C8C">
        <w:tab/>
        <w:t>Połączenie Ośrodka z siecią internetową e-Rejestracja, e-Wyniki laboratoryjne, e-Diagnostyka, e-Zwolnienie lekarskie</w:t>
      </w:r>
    </w:p>
    <w:p w:rsidR="00EE0C8C" w:rsidRPr="00EE0C8C" w:rsidRDefault="00EE0C8C" w:rsidP="00EE0C8C">
      <w:r w:rsidRPr="00EE0C8C">
        <w:t>1.</w:t>
      </w:r>
      <w:r w:rsidRPr="00EE0C8C">
        <w:tab/>
        <w:t>Przebudowę infrastruktury drogowej.</w:t>
      </w:r>
    </w:p>
    <w:p w:rsidR="00EE0C8C" w:rsidRPr="00EE0C8C" w:rsidRDefault="00EE0C8C" w:rsidP="00EE0C8C">
      <w:r w:rsidRPr="00EE0C8C">
        <w:t>2.</w:t>
      </w:r>
      <w:r w:rsidRPr="00EE0C8C">
        <w:tab/>
        <w:t>Wsparcie rodzin niewydolnych wychowawczo poprzez Projekt „Wspólna Sprawa”.</w:t>
      </w:r>
    </w:p>
    <w:p w:rsidR="00EE0C8C" w:rsidRPr="00EE0C8C" w:rsidRDefault="00EE0C8C" w:rsidP="00EE0C8C">
      <w:pPr>
        <w:jc w:val="both"/>
      </w:pPr>
      <w:r w:rsidRPr="00EE0C8C">
        <w:t>3.</w:t>
      </w:r>
      <w:r w:rsidRPr="00EE0C8C">
        <w:tab/>
        <w:t>Promocję zdrowia i zdrowego stylu życia, zwiększenie świadomości mieszkańców dotyczącej wad postawy u dzieci, młodzieży i dorosłych, oraz metody ich rehabilitacji.</w:t>
      </w:r>
    </w:p>
    <w:p w:rsidR="00EE0C8C" w:rsidRPr="00EE0C8C" w:rsidRDefault="00EE0C8C" w:rsidP="00EE0C8C">
      <w:pPr>
        <w:jc w:val="both"/>
      </w:pPr>
      <w:r w:rsidRPr="00EE0C8C">
        <w:t xml:space="preserve">Na określenie celów </w:t>
      </w:r>
      <w:r w:rsidR="0078683D">
        <w:t>Gminnego</w:t>
      </w:r>
      <w:r w:rsidRPr="00EE0C8C">
        <w:t xml:space="preserve"> Programu </w:t>
      </w:r>
      <w:r w:rsidR="003E259E">
        <w:t>r</w:t>
      </w:r>
      <w:r w:rsidRPr="00EE0C8C">
        <w:t xml:space="preserve">ewitalizacji </w:t>
      </w:r>
      <w:r w:rsidR="0078683D">
        <w:t xml:space="preserve">miały wpływ nie tylko analizy </w:t>
      </w:r>
      <w:r w:rsidRPr="00EE0C8C">
        <w:t xml:space="preserve">i obserwacje zespołu </w:t>
      </w:r>
      <w:r w:rsidR="0078683D">
        <w:t>zadaniowego ds. rewitalizacji</w:t>
      </w:r>
      <w:r w:rsidRPr="00EE0C8C">
        <w:t>, ale również przeprowadzone konsultacje społeczne, ankietyzacja społeczna, wywiady przeprowadzone z mieszkańcami.</w:t>
      </w:r>
    </w:p>
    <w:p w:rsidR="00EE0C8C" w:rsidRPr="00EE0C8C" w:rsidRDefault="00EE0C8C" w:rsidP="00EE0C8C">
      <w:pPr>
        <w:jc w:val="both"/>
      </w:pPr>
      <w:r w:rsidRPr="00EE0C8C">
        <w:t>Zakres pól operacyjnych określono na podstawie analizy występowania zjawisk kryzysowych, materiałów otrzymanych od odpowiednich urzędów, przyjętych wcześniej obszarów kryzysowych.</w:t>
      </w:r>
    </w:p>
    <w:p w:rsidR="00EE0C8C" w:rsidRPr="00EE0C8C" w:rsidRDefault="00EE0C8C" w:rsidP="00EE0C8C">
      <w:pPr>
        <w:jc w:val="both"/>
      </w:pPr>
      <w:r w:rsidRPr="00EE0C8C">
        <w:t xml:space="preserve">Ewaluacja zjawisk kryzysowych zarejestrowanych na poszczególnych polach interwencji wraz </w:t>
      </w:r>
      <w:r w:rsidR="0078683D">
        <w:br/>
      </w:r>
      <w:r w:rsidRPr="00EE0C8C">
        <w:t xml:space="preserve">z wyborem rodzaju działań mających na celu łagodzenie tych zjawisk, została poddana uproszczonej komparatywnej analizie użyteczności. Dzięki tej analizie powstała pierwsza lista projektów działań na obszarach pól interwencji, pokazując ich praktyczną wartość użytkową. Szczególnie trudne jest to </w:t>
      </w:r>
      <w:r w:rsidR="0078683D">
        <w:br/>
      </w:r>
      <w:r w:rsidRPr="00EE0C8C">
        <w:t>w przypadkach oceny działań kryteriów niewymiernych finansowo, tak zwanych miękkich.</w:t>
      </w:r>
    </w:p>
    <w:p w:rsidR="00EE0C8C" w:rsidRPr="00EE0C8C" w:rsidRDefault="00EE0C8C" w:rsidP="00EE0C8C">
      <w:r w:rsidRPr="00EE0C8C">
        <w:t>Przy ocenie projektów działań znaczenie miały następujące kryteria:</w:t>
      </w:r>
    </w:p>
    <w:p w:rsidR="00EE0C8C" w:rsidRPr="00EE0C8C" w:rsidRDefault="00EE0C8C" w:rsidP="00EE0C8C">
      <w:pPr>
        <w:jc w:val="both"/>
      </w:pPr>
      <w:r w:rsidRPr="00EE0C8C">
        <w:t>- kwalifikowalność do współfinansowania w ramach Regionalnego Programu Operacyjnego Województwa Świętokrzyskiego na lata 2014-2020 oraz innych programów pomocowych Unii Europejskiej i EOG;</w:t>
      </w:r>
    </w:p>
    <w:p w:rsidR="00EE0C8C" w:rsidRPr="00EE0C8C" w:rsidRDefault="00EE0C8C" w:rsidP="00652A39">
      <w:pPr>
        <w:jc w:val="both"/>
      </w:pPr>
      <w:r w:rsidRPr="00EE0C8C">
        <w:t>- zgodność z zamierzeniami Władz Gminy oraz innych inwestorów zdefiniowany</w:t>
      </w:r>
      <w:r w:rsidR="00652A39">
        <w:t xml:space="preserve">mi </w:t>
      </w:r>
      <w:r w:rsidRPr="00EE0C8C">
        <w:t>w dokumentach strategicznych i planistycznych;</w:t>
      </w:r>
    </w:p>
    <w:p w:rsidR="00A76BDB" w:rsidRPr="00A76BDB" w:rsidRDefault="00EE0C8C" w:rsidP="00EE0C8C">
      <w:r w:rsidRPr="00EE0C8C">
        <w:lastRenderedPageBreak/>
        <w:t>- wyniki konsultacji społecznych.</w:t>
      </w:r>
    </w:p>
    <w:p w:rsidR="00EE0C8C" w:rsidRDefault="00EE0C8C" w:rsidP="00A76BDB">
      <w:pPr>
        <w:pStyle w:val="Nagwek2"/>
      </w:pPr>
      <w:bookmarkStart w:id="106" w:name="_Toc450562512"/>
      <w:r w:rsidRPr="00EE0C8C">
        <w:t>5.4. KRYTERIA WYBORU OBSZARÓW KRYZYSOWYCH.</w:t>
      </w:r>
      <w:bookmarkEnd w:id="106"/>
    </w:p>
    <w:p w:rsidR="00A76BDB" w:rsidRPr="00A76BDB" w:rsidRDefault="00A76BDB" w:rsidP="00A76BDB"/>
    <w:p w:rsidR="00EE0C8C" w:rsidRPr="00EE0C8C" w:rsidRDefault="00EE0C8C" w:rsidP="00EE0C8C">
      <w:pPr>
        <w:jc w:val="both"/>
      </w:pPr>
      <w:r w:rsidRPr="00EE0C8C">
        <w:t xml:space="preserve">Zasięg każdego z obszarów rewitalizacji wyznaczany jest przy założeniu, że stanowi on teren </w:t>
      </w:r>
      <w:r w:rsidR="0078683D">
        <w:br/>
      </w:r>
      <w:r w:rsidRPr="00EE0C8C">
        <w:t xml:space="preserve">o istotnym znaczeniu dla rozwoju </w:t>
      </w:r>
      <w:r w:rsidR="0078683D">
        <w:t>gminy</w:t>
      </w:r>
      <w:r w:rsidRPr="00EE0C8C">
        <w:t>, obejmujący całość lub część obszaru zdegradowanego, na którym ze względu na szczególną koncentrację negatywnych zjawisk, projektowana lub prowadzona jest rewitalizacja.</w:t>
      </w:r>
    </w:p>
    <w:p w:rsidR="00EE0C8C" w:rsidRPr="00EE0C8C" w:rsidRDefault="00EE0C8C" w:rsidP="00EE0C8C">
      <w:pPr>
        <w:jc w:val="both"/>
      </w:pPr>
      <w:r w:rsidRPr="00EE0C8C">
        <w:rPr>
          <w:b/>
        </w:rPr>
        <w:t>Obszar rewitalizacji nie może być większy niż 20% powierzchni gminy oraz zamieszkały przez więcej niż 30% liczby mieszkańców gminy</w:t>
      </w:r>
      <w:r w:rsidRPr="00EE0C8C">
        <w:t>. Obszar rewitalizacji może być podzielony na podobszary, w tym podobszary nieposiadające ze sobą wspólnych granic.</w:t>
      </w:r>
    </w:p>
    <w:p w:rsidR="00EE0C8C" w:rsidRPr="00EE0C8C" w:rsidRDefault="00EE0C8C" w:rsidP="00EE0C8C">
      <w:pPr>
        <w:jc w:val="both"/>
      </w:pPr>
      <w:r w:rsidRPr="00EE0C8C">
        <w:t>Opis planowanych działań rewitalizacyjnych, które będą realizowane w ramach danego programu rewitalizacji powinien zawierać przede wszystkim: identyfikację głównych przedsięwzięć rewitalizacyjnych, tj. takich, bez których obszar rewitalizacji nie będzie w stanie wyjść z kryzysowej sytuacji oraz innych uzupełniających rodzajów przedsięwzięć rewitalizacyjnych tj. takich, które ze względu na mniejszą skalę oddziaływania trudno zidentyfikować indywidualnie, a są oczekiwane ze względu na realizację celów programu rewitalizacji. W opisie przedsięwzięć uzupełniających należy wskazać obszary tematyczne, zagadnienia istotne z punktu widzenia potrzeb rewitalizowanego obszaru.</w:t>
      </w:r>
    </w:p>
    <w:p w:rsidR="00EE0C8C" w:rsidRPr="00EE0C8C" w:rsidRDefault="00EE0C8C" w:rsidP="00EE0C8C">
      <w:pPr>
        <w:jc w:val="both"/>
      </w:pPr>
      <w:r w:rsidRPr="00EE0C8C">
        <w:t xml:space="preserve">Zarówno przedsięwzięcia główne, jak i uzupełniające są </w:t>
      </w:r>
      <w:r w:rsidR="00652A39">
        <w:t>przedsięwzięciami zaplanowanymi,</w:t>
      </w:r>
      <w:r w:rsidRPr="00EE0C8C">
        <w:t xml:space="preserve"> wynikającymi z programu rewitalizacji. </w:t>
      </w:r>
    </w:p>
    <w:p w:rsidR="00EE0C8C" w:rsidRPr="00EE0C8C" w:rsidRDefault="00EE0C8C" w:rsidP="00EE0C8C">
      <w:pPr>
        <w:jc w:val="both"/>
      </w:pPr>
      <w:r w:rsidRPr="00EE0C8C">
        <w:t xml:space="preserve">Na terenach objętych analizą związaną z Gminnym Programem </w:t>
      </w:r>
      <w:r w:rsidR="00547550">
        <w:t>R</w:t>
      </w:r>
      <w:r w:rsidRPr="00EE0C8C">
        <w:t xml:space="preserve">ewitalizacji występują liczne zjawiska kryzysowe w sferach funkcjonalno – przestrzennych, środowiskowych, społecznych </w:t>
      </w:r>
      <w:r w:rsidRPr="00EE0C8C">
        <w:br/>
        <w:t xml:space="preserve">i ekonomicznych. </w:t>
      </w:r>
    </w:p>
    <w:p w:rsidR="00EE0C8C" w:rsidRPr="00EE0C8C" w:rsidRDefault="00EE0C8C" w:rsidP="00EE0C8C">
      <w:pPr>
        <w:jc w:val="both"/>
      </w:pPr>
      <w:r w:rsidRPr="00EE0C8C">
        <w:t xml:space="preserve">Przy braku szybkiej reakcji na te zjawiska przez władze </w:t>
      </w:r>
      <w:r w:rsidR="0078683D">
        <w:t>gminy</w:t>
      </w:r>
      <w:r w:rsidRPr="00EE0C8C">
        <w:t xml:space="preserve"> można doprowadzić do nieodwracalnych degradacji substancji historycznej miasta i wyraźnego pogorszenia się bytu jego mieszkańców. </w:t>
      </w:r>
    </w:p>
    <w:p w:rsidR="00EE0C8C" w:rsidRPr="00EE0C8C" w:rsidRDefault="00EE0C8C" w:rsidP="00EE0C8C">
      <w:pPr>
        <w:jc w:val="both"/>
      </w:pPr>
      <w:r w:rsidRPr="00EE0C8C">
        <w:t>Zidentyfikowano problemy do rozwiązania na obszarze kryzysowym objętym rewitalizacją miejscowości Mirzec:</w:t>
      </w:r>
    </w:p>
    <w:p w:rsidR="00EE0C8C" w:rsidRPr="00EE0C8C" w:rsidRDefault="00EE0C8C" w:rsidP="00EE0C8C">
      <w:pPr>
        <w:jc w:val="both"/>
      </w:pPr>
      <w:r w:rsidRPr="00EE0C8C">
        <w:t xml:space="preserve">Obszar gminy znajdujący się w stanie kryzysowym z powodu koncentracji negatywnych zjawisk społecznych, w szczególności bezrobocia, ubóstwa, przestępczości, niskiego poziomu edukacji lub kapitału społecznego, a także niewystarczającego poziomu uczestnictwa w życiu publicznym i kulturalnym, można wyznaczyć jako obszar zdegradowany w przypadku występowania na nim ponadto co najmniej jednego z następujących negatywnych zjawisk: </w:t>
      </w:r>
    </w:p>
    <w:p w:rsidR="00EE0C8C" w:rsidRPr="00EE0C8C" w:rsidRDefault="00EE0C8C" w:rsidP="00DC61B1">
      <w:pPr>
        <w:numPr>
          <w:ilvl w:val="0"/>
          <w:numId w:val="35"/>
        </w:numPr>
        <w:contextualSpacing/>
        <w:jc w:val="both"/>
      </w:pPr>
      <w:r w:rsidRPr="00EE0C8C">
        <w:rPr>
          <w:b/>
        </w:rPr>
        <w:t>gospodarczych</w:t>
      </w:r>
      <w:r w:rsidRPr="00EE0C8C">
        <w:t xml:space="preserve"> – w szczególności niskiego stopnia przedsiębiorczości, słabej kondycji lokalnych przedsiębiorstw lub </w:t>
      </w:r>
    </w:p>
    <w:p w:rsidR="00EE0C8C" w:rsidRPr="00EE0C8C" w:rsidRDefault="00EE0C8C" w:rsidP="00DC61B1">
      <w:pPr>
        <w:numPr>
          <w:ilvl w:val="0"/>
          <w:numId w:val="35"/>
        </w:numPr>
        <w:contextualSpacing/>
        <w:jc w:val="both"/>
      </w:pPr>
      <w:r w:rsidRPr="00EE0C8C">
        <w:rPr>
          <w:b/>
        </w:rPr>
        <w:t>środowiskowych</w:t>
      </w:r>
      <w:r w:rsidRPr="00EE0C8C">
        <w:t xml:space="preserve"> – w szczególności przekroczenia standardów jakości środowiska, obecności odpadów stwarzających zagrożenie dla życia, zdrowia ludzi lub stanu środowiska, lub </w:t>
      </w:r>
    </w:p>
    <w:p w:rsidR="00EE0C8C" w:rsidRPr="00EE0C8C" w:rsidRDefault="00EE0C8C" w:rsidP="00DC61B1">
      <w:pPr>
        <w:numPr>
          <w:ilvl w:val="0"/>
          <w:numId w:val="35"/>
        </w:numPr>
        <w:contextualSpacing/>
        <w:jc w:val="both"/>
      </w:pPr>
      <w:r w:rsidRPr="00EE0C8C">
        <w:rPr>
          <w:b/>
        </w:rPr>
        <w:lastRenderedPageBreak/>
        <w:t>przestrzenno-funkcjonalnych</w:t>
      </w:r>
      <w:r w:rsidRPr="00EE0C8C">
        <w:t xml:space="preserve"> – w szczególności niewystarczającego wyposażenia w infrastrukturę techniczną i społeczną lub jej złego stanu technicznego, braku dostępu do podstawowych usług lub ich niskiej jakości, niedostosowania rozwiązań urbanistycznych do zmieniających się funkcji obszaru, niskiego poziomu obsługi komunikacyjnej, niedoboru lub niskiej jakości terenów publicznych, lub </w:t>
      </w:r>
    </w:p>
    <w:p w:rsidR="00EE0C8C" w:rsidRPr="00EE0C8C" w:rsidRDefault="00EE0C8C" w:rsidP="00DC61B1">
      <w:pPr>
        <w:numPr>
          <w:ilvl w:val="0"/>
          <w:numId w:val="35"/>
        </w:numPr>
        <w:contextualSpacing/>
        <w:jc w:val="both"/>
      </w:pPr>
      <w:r w:rsidRPr="00EE0C8C">
        <w:rPr>
          <w:b/>
        </w:rPr>
        <w:t>technicznych</w:t>
      </w:r>
      <w:r w:rsidRPr="00EE0C8C">
        <w:t xml:space="preserve"> – w szczególności degradacji stanu technicznego obiektów budowlanych, w tym o przeznaczeniu mieszkaniowym, oraz niefunkcjonowaniu rozwiązań technicznych umożliwiających efektywne korzystanie z obiektów budowlanych, w szczególności w zakresie energooszczędności i ochrony środowiska. </w:t>
      </w:r>
    </w:p>
    <w:p w:rsidR="00EE0C8C" w:rsidRPr="00EE0C8C" w:rsidRDefault="00EE0C8C" w:rsidP="00EE0C8C">
      <w:pPr>
        <w:jc w:val="both"/>
      </w:pPr>
      <w:r w:rsidRPr="00EE0C8C">
        <w:t>Obszar zdegradowany może być podzielony na podobszary, w tym podobszary nieposiadające ze sobą wspólnych granic, pod warunkiem stwierdzenia na każdym z podobszarów występowania koncentracji negatywnych zjawisk społecznych oraz gospodarczych, środowiskowych, przestrzenno-funkcjonalnych lub technicznych</w:t>
      </w:r>
      <w:r w:rsidRPr="00EE0C8C">
        <w:rPr>
          <w:vertAlign w:val="superscript"/>
        </w:rPr>
        <w:footnoteReference w:id="27"/>
      </w:r>
      <w:r w:rsidRPr="00EE0C8C">
        <w:t>.</w:t>
      </w:r>
    </w:p>
    <w:p w:rsidR="00EE0C8C" w:rsidRPr="00EE0C8C" w:rsidRDefault="00EE0C8C" w:rsidP="00EE0C8C">
      <w:pPr>
        <w:jc w:val="both"/>
      </w:pPr>
    </w:p>
    <w:p w:rsidR="00EE0C8C" w:rsidRDefault="00EE0C8C" w:rsidP="00A76BDB">
      <w:pPr>
        <w:pStyle w:val="Nagwek2"/>
      </w:pPr>
      <w:bookmarkStart w:id="107" w:name="_Toc450562513"/>
      <w:r w:rsidRPr="00EE0C8C">
        <w:t>5.5. DELIMI</w:t>
      </w:r>
      <w:r w:rsidR="00B46559">
        <w:t>T</w:t>
      </w:r>
      <w:r w:rsidRPr="00EE0C8C">
        <w:t>ACJA OBSZARÓW KRYZYSOWYCH.</w:t>
      </w:r>
      <w:bookmarkEnd w:id="107"/>
    </w:p>
    <w:p w:rsidR="00A76BDB" w:rsidRPr="00A76BDB" w:rsidRDefault="00A76BDB" w:rsidP="00A76BDB"/>
    <w:p w:rsidR="00EE0C8C" w:rsidRPr="00EE0C8C" w:rsidRDefault="00EE0C8C" w:rsidP="0078683D">
      <w:pPr>
        <w:spacing w:after="0"/>
        <w:jc w:val="both"/>
      </w:pPr>
      <w:r w:rsidRPr="00EE0C8C">
        <w:rPr>
          <w:b/>
          <w:bCs/>
        </w:rPr>
        <w:t>Delimitacja</w:t>
      </w:r>
      <w:r w:rsidRPr="00EE0C8C">
        <w:t xml:space="preserve"> (delimitation), to metoda podziału obszaru problemowego Gminy dla realizacji zadań inwestycyjnych i społecznych w latach 201</w:t>
      </w:r>
      <w:r w:rsidR="00544EC7">
        <w:t>6</w:t>
      </w:r>
      <w:r w:rsidRPr="00EE0C8C">
        <w:t>-202</w:t>
      </w:r>
      <w:r w:rsidR="00544EC7">
        <w:t>2</w:t>
      </w:r>
      <w:r w:rsidRPr="00EE0C8C">
        <w:t>, przeprowadzona na podstawie analizy dokumentów strategicznych Gminy, oceny aktualnej sytuacji społeczno-gospodarczej Gminy obejmującej zagospodarowanie przestrzenne, infrastrukturę techniczną, gospodarkę i sferę społeczną oraz wskazania możliw</w:t>
      </w:r>
      <w:r w:rsidR="0078683D">
        <w:t xml:space="preserve">ości finansowych budżetu Gminy </w:t>
      </w:r>
      <w:r w:rsidRPr="00EE0C8C">
        <w:t>i dostępnych funduszy zewnętrznych, w tym UE i EOG.</w:t>
      </w:r>
    </w:p>
    <w:p w:rsidR="0078683D" w:rsidRDefault="0078683D" w:rsidP="0078683D">
      <w:pPr>
        <w:spacing w:after="0"/>
        <w:jc w:val="both"/>
        <w:rPr>
          <w:b/>
          <w:bCs/>
        </w:rPr>
      </w:pPr>
    </w:p>
    <w:p w:rsidR="00EE0C8C" w:rsidRPr="00EE0C8C" w:rsidRDefault="00EE0C8C" w:rsidP="0078683D">
      <w:pPr>
        <w:spacing w:after="0"/>
        <w:jc w:val="both"/>
        <w:rPr>
          <w:b/>
          <w:bCs/>
        </w:rPr>
      </w:pPr>
      <w:r w:rsidRPr="00EE0C8C">
        <w:rPr>
          <w:b/>
          <w:bCs/>
        </w:rPr>
        <w:t>Delimitacja obszarów kryzysowych dokonywana jest przy wykorzystaniu kryteriów dwóch podsystemów:</w:t>
      </w:r>
    </w:p>
    <w:p w:rsidR="00EE0C8C" w:rsidRPr="00EE0C8C" w:rsidRDefault="00EE0C8C" w:rsidP="00EE0C8C">
      <w:pPr>
        <w:spacing w:after="0"/>
        <w:jc w:val="both"/>
        <w:rPr>
          <w:bCs/>
        </w:rPr>
      </w:pPr>
      <w:r w:rsidRPr="00EE0C8C">
        <w:rPr>
          <w:bCs/>
        </w:rPr>
        <w:t>- Podsystem społeczno-ekonomiczny,</w:t>
      </w:r>
    </w:p>
    <w:p w:rsidR="00EE0C8C" w:rsidRPr="00EE0C8C" w:rsidRDefault="00EE0C8C" w:rsidP="00EE0C8C">
      <w:pPr>
        <w:spacing w:after="0"/>
        <w:jc w:val="both"/>
        <w:rPr>
          <w:bCs/>
        </w:rPr>
      </w:pPr>
      <w:r w:rsidRPr="00EE0C8C">
        <w:rPr>
          <w:bCs/>
        </w:rPr>
        <w:t xml:space="preserve">Dla podsystemu społeczno-ekonomicznego wykorzystuje się minimalny zestaw 6 wskaźników, </w:t>
      </w:r>
      <w:r w:rsidRPr="00EE0C8C">
        <w:rPr>
          <w:bCs/>
        </w:rPr>
        <w:br/>
        <w:t>które pozwalają na ocenę stopnia degradacji i kryzysu w poszczególnych jednostkach urbanistycznych (Tab. 1).</w:t>
      </w:r>
    </w:p>
    <w:p w:rsidR="00EE0C8C" w:rsidRPr="00EE0C8C" w:rsidRDefault="00EE0C8C" w:rsidP="00EE0C8C">
      <w:pPr>
        <w:jc w:val="center"/>
      </w:pPr>
      <w:r w:rsidRPr="00EE0C8C">
        <w:rPr>
          <w:noProof/>
          <w:lang w:eastAsia="pl-PL"/>
        </w:rPr>
        <w:lastRenderedPageBreak/>
        <w:drawing>
          <wp:inline distT="0" distB="0" distL="0" distR="0" wp14:anchorId="06FAC67C" wp14:editId="5D9D3120">
            <wp:extent cx="5106389" cy="2690845"/>
            <wp:effectExtent l="0" t="0" r="0" b="0"/>
            <wp:docPr id="35"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2"/>
                    <pic:cNvPicPr>
                      <a:picLocks noChangeAspect="1" noChangeArrowheads="1"/>
                    </pic:cNvPicPr>
                  </pic:nvPicPr>
                  <pic:blipFill>
                    <a:blip r:embed="rId48" cstate="print"/>
                    <a:srcRect/>
                    <a:stretch>
                      <a:fillRect/>
                    </a:stretch>
                  </pic:blipFill>
                  <pic:spPr bwMode="auto">
                    <a:xfrm>
                      <a:off x="0" y="0"/>
                      <a:ext cx="5108582" cy="2692001"/>
                    </a:xfrm>
                    <a:prstGeom prst="rect">
                      <a:avLst/>
                    </a:prstGeom>
                    <a:noFill/>
                    <a:ln w="9525">
                      <a:noFill/>
                      <a:miter lim="800000"/>
                      <a:headEnd/>
                      <a:tailEnd/>
                    </a:ln>
                  </pic:spPr>
                </pic:pic>
              </a:graphicData>
            </a:graphic>
          </wp:inline>
        </w:drawing>
      </w:r>
    </w:p>
    <w:p w:rsidR="00EE0C8C" w:rsidRPr="00EE0C8C" w:rsidRDefault="00EE0C8C" w:rsidP="00EE0C8C">
      <w:pPr>
        <w:spacing w:after="0"/>
        <w:jc w:val="both"/>
      </w:pPr>
      <w:r w:rsidRPr="00EE0C8C">
        <w:rPr>
          <w:bCs/>
        </w:rPr>
        <w:t>- Podsystem oceny jakości tkanki dla każdej jednostki urbanistycznej:</w:t>
      </w:r>
    </w:p>
    <w:p w:rsidR="004140DA" w:rsidRDefault="004140DA" w:rsidP="004140DA">
      <w:pPr>
        <w:spacing w:after="0"/>
        <w:jc w:val="both"/>
      </w:pPr>
    </w:p>
    <w:p w:rsidR="00EE0C8C" w:rsidRPr="00544EC7" w:rsidRDefault="00EE0C8C" w:rsidP="004140DA">
      <w:pPr>
        <w:spacing w:after="0"/>
        <w:jc w:val="both"/>
      </w:pPr>
      <w:r w:rsidRPr="00EE0C8C">
        <w:t xml:space="preserve">W sytuacji braku informacji jakościowych o stanie technicznym tkanki miejskiej jedynym sposobem pozyskania informacji są badania terenowe – inwentaryzacja. Na potrzeby audytu gminnego/miejskiego niezbędne jest zatem przeprowadzanie inwentaryzacji urbanistycznej. </w:t>
      </w:r>
      <w:r w:rsidRPr="00EE0C8C">
        <w:br/>
        <w:t>W ramach podsystemu urbanistycznego dla każdej z jednostek należy uwzględniać przynajmniej sześć wskaźników cząstkowych, wymienionych w Tabeli 2 i w procesie inwentaryzacji przyznać im odpowiednią ocenę w czte</w:t>
      </w:r>
      <w:r w:rsidR="00544EC7">
        <w:t>rostopniowej skali – od 0 do 3.</w:t>
      </w:r>
    </w:p>
    <w:p w:rsidR="00EE0C8C" w:rsidRPr="00EE0C8C" w:rsidRDefault="00EE0C8C" w:rsidP="00EE0C8C">
      <w:pPr>
        <w:spacing w:after="0"/>
        <w:jc w:val="both"/>
      </w:pPr>
    </w:p>
    <w:p w:rsidR="00EE0C8C" w:rsidRPr="00EE0C8C" w:rsidRDefault="00EE0C8C" w:rsidP="00EE0C8C">
      <w:r w:rsidRPr="00EE0C8C">
        <w:rPr>
          <w:noProof/>
          <w:lang w:eastAsia="pl-PL"/>
        </w:rPr>
        <w:drawing>
          <wp:inline distT="0" distB="0" distL="0" distR="0" wp14:anchorId="72728DA9" wp14:editId="2FB181F5">
            <wp:extent cx="5524500" cy="4086225"/>
            <wp:effectExtent l="0" t="0" r="0" b="0"/>
            <wp:docPr id="3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49" cstate="print"/>
                    <a:srcRect/>
                    <a:stretch>
                      <a:fillRect/>
                    </a:stretch>
                  </pic:blipFill>
                  <pic:spPr bwMode="auto">
                    <a:xfrm>
                      <a:off x="0" y="0"/>
                      <a:ext cx="5524500" cy="4086225"/>
                    </a:xfrm>
                    <a:prstGeom prst="rect">
                      <a:avLst/>
                    </a:prstGeom>
                    <a:noFill/>
                    <a:ln w="9525">
                      <a:noFill/>
                      <a:miter lim="800000"/>
                      <a:headEnd/>
                      <a:tailEnd/>
                    </a:ln>
                  </pic:spPr>
                </pic:pic>
              </a:graphicData>
            </a:graphic>
          </wp:inline>
        </w:drawing>
      </w:r>
    </w:p>
    <w:p w:rsidR="00EE0C8C" w:rsidRPr="00EE0C8C" w:rsidRDefault="00EE0C8C" w:rsidP="00544EC7">
      <w:pPr>
        <w:spacing w:after="0"/>
        <w:jc w:val="both"/>
      </w:pPr>
      <w:r w:rsidRPr="00EE0C8C">
        <w:lastRenderedPageBreak/>
        <w:t>Podstawowym kryterium wskazania obszaru, jako „kryzysowego” i wskazania go do rewitalizacji powinien być więc fakt, że sytuacja jest tam gorsza/trudniejsza niż średnia dla danej gminy.</w:t>
      </w:r>
    </w:p>
    <w:p w:rsidR="00544EC7" w:rsidRDefault="00544EC7" w:rsidP="00544EC7">
      <w:pPr>
        <w:spacing w:after="0"/>
        <w:jc w:val="both"/>
      </w:pPr>
    </w:p>
    <w:p w:rsidR="00EE0C8C" w:rsidRPr="00EE0C8C" w:rsidRDefault="00EE0C8C" w:rsidP="00544EC7">
      <w:pPr>
        <w:spacing w:after="0"/>
        <w:jc w:val="both"/>
      </w:pPr>
      <w:r w:rsidRPr="00EE0C8C">
        <w:t xml:space="preserve">Obszar </w:t>
      </w:r>
      <w:r w:rsidR="00544EC7">
        <w:t>kryzysowy</w:t>
      </w:r>
      <w:r w:rsidRPr="00EE0C8C">
        <w:t xml:space="preserve"> może być podzielony na podobszary, w tym podobszary nieposiadające ze sobą wspólnych granic, pod warunkiem stwierdzenia na każdym z obszarów występowania koncentracji negatywnych zjawisk społecznych oraz gospodarczych, środowiskowych, przestrzenno-funkcjonalnych lub technicznych. </w:t>
      </w:r>
    </w:p>
    <w:p w:rsidR="004140DA" w:rsidRDefault="004140DA" w:rsidP="004140DA">
      <w:pPr>
        <w:spacing w:after="0"/>
        <w:jc w:val="both"/>
      </w:pPr>
    </w:p>
    <w:p w:rsidR="00EE0C8C" w:rsidRPr="00EE0C8C" w:rsidRDefault="00EE0C8C" w:rsidP="004140DA">
      <w:pPr>
        <w:spacing w:after="0"/>
        <w:jc w:val="both"/>
      </w:pPr>
      <w:r w:rsidRPr="00EE0C8C">
        <w:t>Obszar rewitalizacji podzielony na podobszary nieposiadające ze sobą wspólnych granic nie może obejmować łącznie terenów o powierzchnio większej niż 20% powierzchni gminy oraz zamieszkały być przez więcej niż 30% mieszkańców.</w:t>
      </w:r>
    </w:p>
    <w:p w:rsidR="004140DA" w:rsidRDefault="004140DA" w:rsidP="004140DA">
      <w:pPr>
        <w:spacing w:after="0"/>
        <w:jc w:val="both"/>
      </w:pPr>
    </w:p>
    <w:p w:rsidR="00EE0C8C" w:rsidRPr="00EE0C8C" w:rsidRDefault="00EE0C8C" w:rsidP="004140DA">
      <w:pPr>
        <w:spacing w:after="0"/>
        <w:jc w:val="both"/>
      </w:pPr>
      <w:r w:rsidRPr="00EE0C8C">
        <w:t>Dla określenia i zdefiniowania charakterystyki aktualnego stanu obszaru przeprowadzono następujące inwentaryzacje, obserwacje i analizy:</w:t>
      </w:r>
    </w:p>
    <w:p w:rsidR="00EE0C8C" w:rsidRPr="00EE0C8C" w:rsidRDefault="00EE0C8C" w:rsidP="00DC61B1">
      <w:pPr>
        <w:numPr>
          <w:ilvl w:val="0"/>
          <w:numId w:val="36"/>
        </w:numPr>
        <w:spacing w:after="0"/>
      </w:pPr>
      <w:r w:rsidRPr="00EE0C8C">
        <w:t>Inwentaryzację: urbanistyczną obszaru, techniczną zabudowy, konserwatorską obiektów zabytkowych;</w:t>
      </w:r>
    </w:p>
    <w:p w:rsidR="00EE0C8C" w:rsidRPr="00EE0C8C" w:rsidRDefault="00EE0C8C" w:rsidP="00DC61B1">
      <w:pPr>
        <w:numPr>
          <w:ilvl w:val="0"/>
          <w:numId w:val="36"/>
        </w:numPr>
        <w:spacing w:after="0"/>
      </w:pPr>
      <w:r w:rsidRPr="00EE0C8C">
        <w:t xml:space="preserve">Przeanalizowano materiały planistyczne i ekspertyzy dotyczące Gminy </w:t>
      </w:r>
      <w:r w:rsidR="00544EC7">
        <w:t>Mirzec</w:t>
      </w:r>
      <w:r w:rsidRPr="00EE0C8C">
        <w:t>;</w:t>
      </w:r>
    </w:p>
    <w:p w:rsidR="00EE0C8C" w:rsidRPr="00EE0C8C" w:rsidRDefault="00EE0C8C" w:rsidP="00DC61B1">
      <w:pPr>
        <w:numPr>
          <w:ilvl w:val="0"/>
          <w:numId w:val="36"/>
        </w:numPr>
        <w:spacing w:after="0"/>
      </w:pPr>
      <w:r w:rsidRPr="00EE0C8C">
        <w:t>Kwerendę archiwalną i zebrano materiały źródłowe;</w:t>
      </w:r>
    </w:p>
    <w:p w:rsidR="00EE0C8C" w:rsidRPr="00EE0C8C" w:rsidRDefault="00EE0C8C" w:rsidP="00DC61B1">
      <w:pPr>
        <w:numPr>
          <w:ilvl w:val="0"/>
          <w:numId w:val="36"/>
        </w:numPr>
        <w:spacing w:after="0"/>
      </w:pPr>
      <w:r w:rsidRPr="00EE0C8C">
        <w:t>Wywiady z ludnością, przedstawicielami instytucji i organizacji społecznych,</w:t>
      </w:r>
    </w:p>
    <w:p w:rsidR="00EE0C8C" w:rsidRPr="00EE0C8C" w:rsidRDefault="00EE0C8C" w:rsidP="00DC61B1">
      <w:pPr>
        <w:numPr>
          <w:ilvl w:val="0"/>
          <w:numId w:val="36"/>
        </w:numPr>
        <w:spacing w:after="0"/>
      </w:pPr>
      <w:r w:rsidRPr="00EE0C8C">
        <w:t>Zebrano wyniki rozesłanych i rozdanych ankiet;</w:t>
      </w:r>
    </w:p>
    <w:p w:rsidR="00652A39" w:rsidRDefault="00652A39" w:rsidP="00652A39">
      <w:pPr>
        <w:spacing w:after="0"/>
        <w:jc w:val="both"/>
      </w:pPr>
    </w:p>
    <w:p w:rsidR="00EE0C8C" w:rsidRPr="00EE0C8C" w:rsidRDefault="00EE0C8C" w:rsidP="00652A39">
      <w:pPr>
        <w:spacing w:after="0"/>
        <w:jc w:val="both"/>
      </w:pPr>
      <w:r w:rsidRPr="00EE0C8C">
        <w:t>W wyniku tych opracowań powstał obraz obszaru Programu z szerokim spektrum zagadnień od technicznych, przez ekonomiczne, po społeczne i środowiskowe.</w:t>
      </w:r>
    </w:p>
    <w:p w:rsidR="00EE0C8C" w:rsidRPr="00EE0C8C" w:rsidRDefault="00EE0C8C" w:rsidP="00EE0C8C">
      <w:pPr>
        <w:rPr>
          <w:b/>
          <w:bCs/>
          <w:iCs/>
          <w:color w:val="4F81BD" w:themeColor="accent1"/>
          <w:sz w:val="28"/>
          <w:szCs w:val="28"/>
        </w:rPr>
      </w:pPr>
    </w:p>
    <w:p w:rsidR="00EE0C8C" w:rsidRDefault="00EE0C8C" w:rsidP="00A76BDB">
      <w:pPr>
        <w:pStyle w:val="Nagwek2"/>
      </w:pPr>
      <w:bookmarkStart w:id="108" w:name="_Toc450562514"/>
      <w:r w:rsidRPr="00EE0C8C">
        <w:t>5.6. CHARAKTERYSTYKA OBSZARU REWITALIZACJI</w:t>
      </w:r>
      <w:bookmarkEnd w:id="108"/>
    </w:p>
    <w:p w:rsidR="00A76BDB" w:rsidRPr="00A76BDB" w:rsidRDefault="00A76BDB" w:rsidP="00A76BDB"/>
    <w:p w:rsidR="00EE0C8C" w:rsidRPr="00EE0C8C" w:rsidRDefault="00EE0C8C" w:rsidP="00544EC7">
      <w:pPr>
        <w:spacing w:after="0"/>
        <w:jc w:val="both"/>
        <w:rPr>
          <w:rFonts w:ascii="Calibri" w:eastAsia="Times New Roman" w:hAnsi="Calibri" w:cs="Times New Roman"/>
          <w:lang w:eastAsia="pl-PL"/>
        </w:rPr>
      </w:pPr>
      <w:r w:rsidRPr="00EE0C8C">
        <w:rPr>
          <w:rFonts w:ascii="Calibri" w:eastAsia="Times New Roman" w:hAnsi="Calibri" w:cs="Times New Roman"/>
          <w:lang w:eastAsia="pl-PL"/>
        </w:rPr>
        <w:t>Na terenie woj. świętokrzyskiego wyznaczono pięć tzw. Obszarów Strategicznej Interwencji (OSI). To miejsca o szczególnym potencjale lub barierach rozwojowych, wymagające najpilniejszego wsparcia finansowego, co uwzględniono w Regionalnym Programie Operacyjnym Województwa Świętokrzyskiego na lata 2014-2020. Jednym z  obszarów zaliczonych do OSI są aglomeracje  wiejskie o najgorszym dostępie do usług publicznych. Według Planu Zagospodarowania Przestrzennego Województwa  Świętokrzys</w:t>
      </w:r>
      <w:r w:rsidR="00544EC7">
        <w:rPr>
          <w:rFonts w:ascii="Calibri" w:eastAsia="Times New Roman" w:hAnsi="Calibri" w:cs="Times New Roman"/>
          <w:lang w:eastAsia="pl-PL"/>
        </w:rPr>
        <w:t xml:space="preserve">kiego </w:t>
      </w:r>
      <w:r w:rsidRPr="00EE0C8C">
        <w:rPr>
          <w:rFonts w:ascii="Calibri" w:eastAsia="Times New Roman" w:hAnsi="Calibri" w:cs="Times New Roman"/>
          <w:lang w:eastAsia="pl-PL"/>
        </w:rPr>
        <w:t>( Uchwała Nr XLVII/833/14 Sejmiku województwa Świętokrzyskiego z dnia 22 września 2014r.) gminę Mirzec zaliczono do obszarów o najgorszym dostępie do usług. Ponadto g</w:t>
      </w:r>
      <w:r w:rsidR="00544EC7">
        <w:rPr>
          <w:rFonts w:ascii="Calibri" w:eastAsia="Times New Roman" w:hAnsi="Calibri" w:cs="Times New Roman"/>
          <w:lang w:eastAsia="pl-PL"/>
        </w:rPr>
        <w:t xml:space="preserve">mina Mirzec zlokalizowana jest </w:t>
      </w:r>
      <w:r w:rsidRPr="00EE0C8C">
        <w:rPr>
          <w:rFonts w:ascii="Calibri" w:eastAsia="Times New Roman" w:hAnsi="Calibri" w:cs="Times New Roman"/>
          <w:lang w:eastAsia="pl-PL"/>
        </w:rPr>
        <w:t xml:space="preserve">w północnej części województwa świętokrzyskiego przy zwartym obszarze miast byłego Centralnego Okręgu Przemysłowego  tj. Starachowic, Skarżyska </w:t>
      </w:r>
      <w:r w:rsidR="00547550">
        <w:rPr>
          <w:rFonts w:ascii="Calibri" w:eastAsia="Times New Roman" w:hAnsi="Calibri" w:cs="Times New Roman"/>
          <w:lang w:eastAsia="pl-PL"/>
        </w:rPr>
        <w:br/>
      </w:r>
      <w:r w:rsidRPr="00EE0C8C">
        <w:rPr>
          <w:rFonts w:ascii="Calibri" w:eastAsia="Times New Roman" w:hAnsi="Calibri" w:cs="Times New Roman"/>
          <w:lang w:eastAsia="pl-PL"/>
        </w:rPr>
        <w:t xml:space="preserve">i Ostrowca. Tereny te charakteryzuje recesja przestarzałej bazy przemysłowej wymagającej wielokierunkowej aktywizacji społeczno- gospodarczej. Gmina Mirzec znajduje się w obrębie w/w  </w:t>
      </w:r>
      <w:r w:rsidR="00652A39">
        <w:rPr>
          <w:rFonts w:ascii="Calibri" w:eastAsia="Times New Roman" w:hAnsi="Calibri" w:cs="Times New Roman"/>
          <w:lang w:eastAsia="pl-PL"/>
        </w:rPr>
        <w:t>gmin,</w:t>
      </w:r>
      <w:r w:rsidRPr="00EE0C8C">
        <w:rPr>
          <w:rFonts w:ascii="Calibri" w:eastAsia="Times New Roman" w:hAnsi="Calibri" w:cs="Times New Roman"/>
          <w:lang w:eastAsia="pl-PL"/>
        </w:rPr>
        <w:t xml:space="preserve"> tracących dynamikę zrównoważonego rozwoju. Gmina Mirzec zaliczona do OSI posiada szereg problemów do których można zaliczyć:</w:t>
      </w:r>
    </w:p>
    <w:p w:rsidR="00EE0C8C" w:rsidRPr="00EE0C8C" w:rsidRDefault="00EE0C8C" w:rsidP="00EE0C8C">
      <w:pPr>
        <w:spacing w:after="0"/>
        <w:ind w:left="708"/>
        <w:jc w:val="both"/>
        <w:rPr>
          <w:rFonts w:ascii="Calibri" w:eastAsia="Times New Roman" w:hAnsi="Calibri" w:cs="Times New Roman"/>
          <w:lang w:eastAsia="pl-PL"/>
        </w:rPr>
      </w:pPr>
      <w:r w:rsidRPr="00EE0C8C">
        <w:rPr>
          <w:rFonts w:ascii="Calibri" w:eastAsia="Times New Roman" w:hAnsi="Calibri" w:cs="Times New Roman"/>
          <w:lang w:eastAsia="pl-PL"/>
        </w:rPr>
        <w:t>- niedostateczną ofertę rynku pracy,</w:t>
      </w:r>
    </w:p>
    <w:p w:rsidR="00EE0C8C" w:rsidRPr="00EE0C8C" w:rsidRDefault="00EE0C8C" w:rsidP="00EE0C8C">
      <w:pPr>
        <w:spacing w:after="0"/>
        <w:ind w:left="708"/>
        <w:jc w:val="both"/>
        <w:rPr>
          <w:rFonts w:ascii="Calibri" w:eastAsia="Times New Roman" w:hAnsi="Calibri" w:cs="Times New Roman"/>
          <w:lang w:eastAsia="pl-PL"/>
        </w:rPr>
      </w:pPr>
      <w:r w:rsidRPr="00EE0C8C">
        <w:rPr>
          <w:rFonts w:ascii="Calibri" w:eastAsia="Times New Roman" w:hAnsi="Calibri" w:cs="Times New Roman"/>
          <w:lang w:eastAsia="pl-PL"/>
        </w:rPr>
        <w:t>- małe znaczenie dla obsługi rolnictwa,</w:t>
      </w:r>
    </w:p>
    <w:p w:rsidR="00EE0C8C" w:rsidRPr="00EE0C8C" w:rsidRDefault="00EE0C8C" w:rsidP="00EE0C8C">
      <w:pPr>
        <w:spacing w:after="0"/>
        <w:ind w:left="708"/>
        <w:jc w:val="both"/>
        <w:rPr>
          <w:rFonts w:ascii="Calibri" w:eastAsia="Times New Roman" w:hAnsi="Calibri" w:cs="Times New Roman"/>
          <w:lang w:eastAsia="pl-PL"/>
        </w:rPr>
      </w:pPr>
      <w:r w:rsidRPr="00EE0C8C">
        <w:rPr>
          <w:rFonts w:ascii="Calibri" w:eastAsia="Times New Roman" w:hAnsi="Calibri" w:cs="Times New Roman"/>
          <w:lang w:eastAsia="pl-PL"/>
        </w:rPr>
        <w:t>-niską przedsiębiorczość,</w:t>
      </w:r>
    </w:p>
    <w:p w:rsidR="00EE0C8C" w:rsidRPr="00EE0C8C" w:rsidRDefault="00EE0C8C" w:rsidP="00EE0C8C">
      <w:pPr>
        <w:spacing w:after="0"/>
        <w:ind w:left="708"/>
        <w:jc w:val="both"/>
        <w:rPr>
          <w:rFonts w:ascii="Calibri" w:eastAsia="Times New Roman" w:hAnsi="Calibri" w:cs="Times New Roman"/>
          <w:lang w:eastAsia="pl-PL"/>
        </w:rPr>
      </w:pPr>
      <w:r w:rsidRPr="00EE0C8C">
        <w:rPr>
          <w:rFonts w:ascii="Calibri" w:eastAsia="Times New Roman" w:hAnsi="Calibri" w:cs="Times New Roman"/>
          <w:lang w:eastAsia="pl-PL"/>
        </w:rPr>
        <w:t>-ubytek ludności i peryferyzacja obszarów,</w:t>
      </w:r>
    </w:p>
    <w:p w:rsidR="00EE0C8C" w:rsidRPr="00EE0C8C" w:rsidRDefault="00EE0C8C" w:rsidP="00EE0C8C">
      <w:pPr>
        <w:spacing w:after="0"/>
        <w:ind w:left="708"/>
        <w:jc w:val="both"/>
        <w:rPr>
          <w:rFonts w:ascii="Calibri" w:eastAsia="Times New Roman" w:hAnsi="Calibri" w:cs="Times New Roman"/>
          <w:lang w:eastAsia="pl-PL"/>
        </w:rPr>
      </w:pPr>
      <w:r w:rsidRPr="00EE0C8C">
        <w:rPr>
          <w:rFonts w:ascii="Calibri" w:eastAsia="Times New Roman" w:hAnsi="Calibri" w:cs="Times New Roman"/>
          <w:lang w:eastAsia="pl-PL"/>
        </w:rPr>
        <w:lastRenderedPageBreak/>
        <w:t>- słaby dostęp do usług publicznych.</w:t>
      </w:r>
    </w:p>
    <w:p w:rsidR="00EE0C8C" w:rsidRPr="00EE0C8C" w:rsidRDefault="00EE0C8C" w:rsidP="00544EC7">
      <w:pPr>
        <w:spacing w:after="0"/>
        <w:jc w:val="both"/>
        <w:rPr>
          <w:rFonts w:ascii="Calibri" w:eastAsia="Times New Roman" w:hAnsi="Calibri" w:cs="Times New Roman"/>
          <w:lang w:eastAsia="pl-PL"/>
        </w:rPr>
      </w:pPr>
    </w:p>
    <w:p w:rsidR="00EE0C8C" w:rsidRPr="00EE0C8C" w:rsidRDefault="00EE0C8C" w:rsidP="00EE0C8C">
      <w:pPr>
        <w:spacing w:after="0"/>
        <w:jc w:val="both"/>
        <w:rPr>
          <w:rFonts w:ascii="Calibri" w:eastAsia="Times New Roman" w:hAnsi="Calibri" w:cs="Times New Roman"/>
          <w:lang w:eastAsia="pl-PL"/>
        </w:rPr>
      </w:pPr>
      <w:r w:rsidRPr="00EE0C8C">
        <w:rPr>
          <w:rFonts w:ascii="Calibri" w:eastAsia="Times New Roman" w:hAnsi="Calibri" w:cs="Times New Roman"/>
          <w:lang w:eastAsia="pl-PL"/>
        </w:rPr>
        <w:t xml:space="preserve">Obszar regionu Świętokrzyskiego o najgorszym dostępie do usług obrazuje mapa nr 42 ( załączenie do diagnozy) z Planu Zagospodarowania Przestrzennego Województwa Świętokrzyskiego , gdzie wyraźnie widać konieczność interwencji na terenie Gminy Mirzec. </w:t>
      </w:r>
    </w:p>
    <w:p w:rsidR="00EE0C8C" w:rsidRPr="00EE0C8C" w:rsidRDefault="00EE0C8C" w:rsidP="00EE0C8C">
      <w:pPr>
        <w:spacing w:after="0"/>
        <w:jc w:val="both"/>
        <w:rPr>
          <w:rFonts w:ascii="Calibri" w:eastAsia="Times New Roman" w:hAnsi="Calibri" w:cs="Times New Roman"/>
          <w:lang w:eastAsia="pl-PL"/>
        </w:rPr>
      </w:pPr>
    </w:p>
    <w:p w:rsidR="00EE0C8C" w:rsidRPr="00EE0C8C" w:rsidRDefault="00EE0C8C" w:rsidP="00EE0C8C">
      <w:pPr>
        <w:spacing w:after="0"/>
        <w:jc w:val="both"/>
        <w:rPr>
          <w:rFonts w:ascii="Calibri" w:eastAsia="Times New Roman" w:hAnsi="Calibri" w:cs="Times New Roman"/>
          <w:lang w:eastAsia="pl-PL"/>
        </w:rPr>
      </w:pPr>
      <w:r w:rsidRPr="00EE0C8C">
        <w:rPr>
          <w:rFonts w:ascii="Calibri" w:eastAsia="Times New Roman" w:hAnsi="Calibri" w:cs="Times New Roman"/>
          <w:lang w:eastAsia="pl-PL"/>
        </w:rPr>
        <w:t xml:space="preserve">Biorąc powyższe pod uwagę oraz przeprowadzoną diagnozę Gminy Mirzec obszar gminy zaliczono do obszaru zdegradowanego. Obszar zdegradowany gminy jest w stanie kryzysowym koncentrując  negatywne zjawiska społeczne( bezrobocie, ubóstwo, przestępczość, niski poziom kapitału społecznego, niewystarczający poziom uczestnictwa w życiu publicznym, kulturalnym, a także gospodarczym, środowiskowym, przestrzenno- funkcjonalnymi oraz technicznym) </w:t>
      </w:r>
    </w:p>
    <w:p w:rsidR="00EE0C8C" w:rsidRPr="00EE0C8C" w:rsidRDefault="00EE0C8C" w:rsidP="00EE0C8C">
      <w:pPr>
        <w:spacing w:after="0"/>
        <w:jc w:val="both"/>
        <w:rPr>
          <w:rFonts w:ascii="Calibri" w:eastAsia="Times New Roman" w:hAnsi="Calibri" w:cs="Times New Roman"/>
          <w:lang w:eastAsia="pl-PL"/>
        </w:rPr>
      </w:pPr>
      <w:r w:rsidRPr="00EE0C8C">
        <w:rPr>
          <w:rFonts w:ascii="Calibri" w:eastAsia="Times New Roman" w:hAnsi="Calibri" w:cs="Times New Roman"/>
          <w:lang w:eastAsia="pl-PL"/>
        </w:rPr>
        <w:t xml:space="preserve"> </w:t>
      </w:r>
    </w:p>
    <w:p w:rsidR="00EE0C8C" w:rsidRPr="00EE0C8C" w:rsidRDefault="00EE0C8C" w:rsidP="004140DA">
      <w:pPr>
        <w:spacing w:after="0"/>
        <w:jc w:val="both"/>
        <w:rPr>
          <w:rFonts w:ascii="Calibri" w:eastAsia="Times New Roman" w:hAnsi="Calibri" w:cs="Times New Roman"/>
          <w:lang w:eastAsia="pl-PL"/>
        </w:rPr>
      </w:pPr>
      <w:r w:rsidRPr="00EE0C8C">
        <w:rPr>
          <w:rFonts w:ascii="Calibri" w:eastAsia="Times New Roman" w:hAnsi="Calibri" w:cs="Times New Roman"/>
          <w:lang w:eastAsia="pl-PL"/>
        </w:rPr>
        <w:t>Jak wspomniano na wstępie diagnozy Uchwałą Nr XIX/128/2016 Rady Gminy w Mircu z dnia 26 lutego 2016 roku wyznaczono obszar zdegradowany oraz obszar rewitalizacji zaś  do obszaru rewitalizacji zaliczają się  sołectwa Mirzec I oraz  Mirzec II z wyłączeniem obszarów leśnych.  W 2015r. Niniejszy obszar  zamieszkiwało 8 422 mieszkańców, z czego Mirzec I – 1 325 mieszkańców, a Mirzec II – 837 mieszkańców ( łącznie 25,67% ). Jest to zgodne z wymogami „ ustawy rewitalizacyjnej ”, która określa iż, obszar rewitalizacji nie może mieć więcej niż 20 % powierzchni Gminy , oraz nie może być zamieszkały przez nie więce</w:t>
      </w:r>
      <w:r w:rsidR="004140DA">
        <w:rPr>
          <w:rFonts w:ascii="Calibri" w:eastAsia="Times New Roman" w:hAnsi="Calibri" w:cs="Times New Roman"/>
          <w:lang w:eastAsia="pl-PL"/>
        </w:rPr>
        <w:t xml:space="preserve">j niż 30 % mieszkańców Gminy . </w:t>
      </w:r>
    </w:p>
    <w:p w:rsidR="00EE0C8C" w:rsidRPr="00EE0C8C" w:rsidRDefault="00EE0C8C" w:rsidP="00EE0C8C">
      <w:pPr>
        <w:keepNext/>
        <w:keepLines/>
        <w:spacing w:before="200" w:after="0"/>
        <w:jc w:val="both"/>
        <w:outlineLvl w:val="3"/>
        <w:rPr>
          <w:rFonts w:ascii="Cambria" w:eastAsia="Times New Roman" w:hAnsi="Cambria" w:cs="Times New Roman"/>
          <w:b/>
          <w:bCs/>
          <w:i/>
          <w:iCs/>
          <w:color w:val="4F81BD"/>
        </w:rPr>
      </w:pPr>
      <w:r w:rsidRPr="00EE0C8C">
        <w:rPr>
          <w:rFonts w:ascii="Cambria" w:eastAsia="Times New Roman" w:hAnsi="Cambria" w:cs="Times New Roman"/>
          <w:b/>
          <w:bCs/>
          <w:i/>
          <w:iCs/>
          <w:color w:val="4F81BD"/>
        </w:rPr>
        <w:t>Pomoc społeczna.</w:t>
      </w:r>
    </w:p>
    <w:p w:rsidR="00EE0C8C" w:rsidRPr="00EE0C8C" w:rsidRDefault="00EE0C8C" w:rsidP="00EE0C8C">
      <w:pPr>
        <w:jc w:val="both"/>
        <w:rPr>
          <w:rFonts w:ascii="Calibri" w:eastAsia="Times New Roman" w:hAnsi="Calibri" w:cs="Times New Roman"/>
        </w:rPr>
      </w:pPr>
    </w:p>
    <w:tbl>
      <w:tblPr>
        <w:tblStyle w:val="Tabela-Siatka2"/>
        <w:tblpPr w:leftFromText="141" w:rightFromText="141" w:vertAnchor="text" w:horzAnchor="margin" w:tblpXSpec="center" w:tblpY="166"/>
        <w:tblW w:w="0" w:type="auto"/>
        <w:tblLook w:val="04A0" w:firstRow="1" w:lastRow="0" w:firstColumn="1" w:lastColumn="0" w:noHBand="0" w:noVBand="1"/>
      </w:tblPr>
      <w:tblGrid>
        <w:gridCol w:w="1842"/>
        <w:gridCol w:w="1842"/>
        <w:gridCol w:w="1842"/>
        <w:gridCol w:w="1843"/>
        <w:gridCol w:w="1843"/>
      </w:tblGrid>
      <w:tr w:rsidR="00EE0C8C" w:rsidRPr="00EE0C8C" w:rsidTr="00A76BDB">
        <w:tc>
          <w:tcPr>
            <w:tcW w:w="9212" w:type="dxa"/>
            <w:gridSpan w:val="5"/>
            <w:shd w:val="clear" w:color="auto" w:fill="008080"/>
            <w:vAlign w:val="center"/>
          </w:tcPr>
          <w:p w:rsidR="00EE0C8C" w:rsidRPr="00EE0C8C" w:rsidRDefault="00EE0C8C" w:rsidP="00EE0C8C">
            <w:pPr>
              <w:jc w:val="both"/>
              <w:rPr>
                <w:rFonts w:ascii="Calibri" w:eastAsia="Calibri" w:hAnsi="Calibri" w:cs="Times New Roman"/>
                <w:b/>
                <w:color w:val="FFFFFF"/>
                <w:lang w:eastAsia="pl-PL"/>
              </w:rPr>
            </w:pPr>
            <w:r w:rsidRPr="00EE0C8C">
              <w:rPr>
                <w:rFonts w:ascii="Calibri" w:eastAsia="Calibri" w:hAnsi="Calibri" w:cs="Times New Roman"/>
                <w:b/>
                <w:color w:val="FFFFFF"/>
                <w:lang w:eastAsia="pl-PL"/>
              </w:rPr>
              <w:t>Osoby korzystające z pomocy społecznej</w:t>
            </w:r>
          </w:p>
        </w:tc>
      </w:tr>
      <w:tr w:rsidR="00EE0C8C" w:rsidRPr="00EE0C8C" w:rsidTr="00A76BDB">
        <w:tc>
          <w:tcPr>
            <w:tcW w:w="1842" w:type="dxa"/>
            <w:vMerge w:val="restart"/>
            <w:vAlign w:val="center"/>
          </w:tcPr>
          <w:p w:rsidR="00EE0C8C" w:rsidRPr="00EE0C8C" w:rsidRDefault="00EE0C8C" w:rsidP="00EE0C8C">
            <w:pPr>
              <w:jc w:val="both"/>
              <w:rPr>
                <w:rFonts w:ascii="Calibri" w:eastAsia="Calibri" w:hAnsi="Calibri" w:cs="Times New Roman"/>
                <w:lang w:eastAsia="pl-PL"/>
              </w:rPr>
            </w:pPr>
            <w:r w:rsidRPr="00EE0C8C">
              <w:rPr>
                <w:rFonts w:ascii="Calibri" w:eastAsia="Calibri" w:hAnsi="Calibri" w:cs="Times New Roman"/>
                <w:lang w:eastAsia="pl-PL"/>
              </w:rPr>
              <w:t>Lata</w:t>
            </w:r>
          </w:p>
        </w:tc>
        <w:tc>
          <w:tcPr>
            <w:tcW w:w="3684" w:type="dxa"/>
            <w:gridSpan w:val="2"/>
            <w:shd w:val="clear" w:color="auto" w:fill="008080"/>
            <w:vAlign w:val="center"/>
          </w:tcPr>
          <w:p w:rsidR="00EE0C8C" w:rsidRPr="00EE0C8C" w:rsidRDefault="00EE0C8C" w:rsidP="00EE0C8C">
            <w:pPr>
              <w:jc w:val="both"/>
              <w:rPr>
                <w:rFonts w:ascii="Calibri" w:eastAsia="Calibri" w:hAnsi="Calibri" w:cs="Times New Roman"/>
                <w:b/>
                <w:color w:val="FFFFFF"/>
                <w:lang w:eastAsia="pl-PL"/>
              </w:rPr>
            </w:pPr>
            <w:r w:rsidRPr="00EE0C8C">
              <w:rPr>
                <w:rFonts w:ascii="Calibri" w:eastAsia="Calibri" w:hAnsi="Calibri" w:cs="Times New Roman"/>
                <w:b/>
                <w:color w:val="FFFFFF"/>
                <w:lang w:eastAsia="pl-PL"/>
              </w:rPr>
              <w:t>Osoby</w:t>
            </w:r>
          </w:p>
        </w:tc>
        <w:tc>
          <w:tcPr>
            <w:tcW w:w="1843" w:type="dxa"/>
            <w:shd w:val="clear" w:color="auto" w:fill="008080"/>
            <w:vAlign w:val="center"/>
          </w:tcPr>
          <w:p w:rsidR="00EE0C8C" w:rsidRPr="00EE0C8C" w:rsidRDefault="00EE0C8C" w:rsidP="00EE0C8C">
            <w:pPr>
              <w:jc w:val="both"/>
              <w:rPr>
                <w:rFonts w:ascii="Calibri" w:eastAsia="Calibri" w:hAnsi="Calibri" w:cs="Times New Roman"/>
                <w:b/>
                <w:color w:val="FFFFFF"/>
                <w:lang w:eastAsia="pl-PL"/>
              </w:rPr>
            </w:pPr>
            <w:r w:rsidRPr="00EE0C8C">
              <w:rPr>
                <w:rFonts w:ascii="Calibri" w:eastAsia="Calibri" w:hAnsi="Calibri" w:cs="Times New Roman"/>
                <w:b/>
                <w:color w:val="FFFFFF"/>
                <w:lang w:eastAsia="pl-PL"/>
              </w:rPr>
              <w:t>Procent wszystkich mieszkańców</w:t>
            </w:r>
          </w:p>
        </w:tc>
        <w:tc>
          <w:tcPr>
            <w:tcW w:w="1843" w:type="dxa"/>
            <w:shd w:val="clear" w:color="auto" w:fill="008080"/>
            <w:vAlign w:val="center"/>
          </w:tcPr>
          <w:p w:rsidR="00EE0C8C" w:rsidRPr="00EE0C8C" w:rsidRDefault="00EE0C8C" w:rsidP="00EE0C8C">
            <w:pPr>
              <w:jc w:val="both"/>
              <w:rPr>
                <w:rFonts w:ascii="Calibri" w:eastAsia="Calibri" w:hAnsi="Calibri" w:cs="Times New Roman"/>
                <w:b/>
                <w:color w:val="FFFFFF"/>
                <w:lang w:eastAsia="pl-PL"/>
              </w:rPr>
            </w:pPr>
            <w:r w:rsidRPr="00EE0C8C">
              <w:rPr>
                <w:rFonts w:ascii="Calibri" w:eastAsia="Calibri" w:hAnsi="Calibri" w:cs="Times New Roman"/>
                <w:b/>
                <w:color w:val="FFFFFF"/>
                <w:lang w:eastAsia="pl-PL"/>
              </w:rPr>
              <w:t>Procent wszystkich mieszkańców</w:t>
            </w:r>
          </w:p>
        </w:tc>
      </w:tr>
      <w:tr w:rsidR="00EE0C8C" w:rsidRPr="00EE0C8C" w:rsidTr="00A76BDB">
        <w:tc>
          <w:tcPr>
            <w:tcW w:w="1842" w:type="dxa"/>
            <w:vMerge/>
            <w:vAlign w:val="center"/>
          </w:tcPr>
          <w:p w:rsidR="00EE0C8C" w:rsidRPr="00EE0C8C" w:rsidRDefault="00EE0C8C" w:rsidP="00EE0C8C">
            <w:pPr>
              <w:jc w:val="both"/>
              <w:rPr>
                <w:rFonts w:ascii="Calibri" w:eastAsia="Calibri" w:hAnsi="Calibri" w:cs="Times New Roman"/>
                <w:lang w:eastAsia="pl-PL"/>
              </w:rPr>
            </w:pPr>
          </w:p>
        </w:tc>
        <w:tc>
          <w:tcPr>
            <w:tcW w:w="1842" w:type="dxa"/>
            <w:shd w:val="clear" w:color="auto" w:fill="33CCCC"/>
            <w:vAlign w:val="center"/>
          </w:tcPr>
          <w:p w:rsidR="00EE0C8C" w:rsidRPr="00EE0C8C" w:rsidRDefault="00EE0C8C" w:rsidP="00EE0C8C">
            <w:pPr>
              <w:jc w:val="both"/>
              <w:rPr>
                <w:rFonts w:ascii="Calibri" w:eastAsia="Calibri" w:hAnsi="Calibri" w:cs="Times New Roman"/>
                <w:lang w:eastAsia="pl-PL"/>
              </w:rPr>
            </w:pPr>
            <w:r w:rsidRPr="00EE0C8C">
              <w:rPr>
                <w:rFonts w:ascii="Calibri" w:eastAsia="Calibri" w:hAnsi="Calibri" w:cs="Times New Roman"/>
                <w:lang w:eastAsia="pl-PL"/>
              </w:rPr>
              <w:t>Mirzec I</w:t>
            </w:r>
          </w:p>
        </w:tc>
        <w:tc>
          <w:tcPr>
            <w:tcW w:w="1842" w:type="dxa"/>
            <w:shd w:val="clear" w:color="auto" w:fill="33CCCC"/>
            <w:vAlign w:val="center"/>
          </w:tcPr>
          <w:p w:rsidR="00EE0C8C" w:rsidRPr="00EE0C8C" w:rsidRDefault="00EE0C8C" w:rsidP="00EE0C8C">
            <w:pPr>
              <w:jc w:val="both"/>
              <w:rPr>
                <w:rFonts w:ascii="Calibri" w:eastAsia="Calibri" w:hAnsi="Calibri" w:cs="Times New Roman"/>
                <w:lang w:eastAsia="pl-PL"/>
              </w:rPr>
            </w:pPr>
            <w:r w:rsidRPr="00EE0C8C">
              <w:rPr>
                <w:rFonts w:ascii="Calibri" w:eastAsia="Calibri" w:hAnsi="Calibri" w:cs="Times New Roman"/>
                <w:lang w:eastAsia="pl-PL"/>
              </w:rPr>
              <w:t>Mirzec II</w:t>
            </w:r>
          </w:p>
        </w:tc>
        <w:tc>
          <w:tcPr>
            <w:tcW w:w="1843" w:type="dxa"/>
            <w:shd w:val="clear" w:color="auto" w:fill="33CCCC"/>
            <w:vAlign w:val="center"/>
          </w:tcPr>
          <w:p w:rsidR="00EE0C8C" w:rsidRPr="00EE0C8C" w:rsidRDefault="00EE0C8C" w:rsidP="00EE0C8C">
            <w:pPr>
              <w:jc w:val="both"/>
              <w:rPr>
                <w:rFonts w:ascii="Calibri" w:eastAsia="Calibri" w:hAnsi="Calibri" w:cs="Times New Roman"/>
                <w:lang w:eastAsia="pl-PL"/>
              </w:rPr>
            </w:pPr>
            <w:r w:rsidRPr="00EE0C8C">
              <w:rPr>
                <w:rFonts w:ascii="Calibri" w:eastAsia="Calibri" w:hAnsi="Calibri" w:cs="Times New Roman"/>
                <w:lang w:eastAsia="pl-PL"/>
              </w:rPr>
              <w:t>Mirzec I</w:t>
            </w:r>
          </w:p>
        </w:tc>
        <w:tc>
          <w:tcPr>
            <w:tcW w:w="1843" w:type="dxa"/>
            <w:shd w:val="clear" w:color="auto" w:fill="33CCCC"/>
            <w:vAlign w:val="center"/>
          </w:tcPr>
          <w:p w:rsidR="00EE0C8C" w:rsidRPr="00EE0C8C" w:rsidRDefault="00EE0C8C" w:rsidP="00EE0C8C">
            <w:pPr>
              <w:jc w:val="both"/>
              <w:rPr>
                <w:rFonts w:ascii="Calibri" w:eastAsia="Calibri" w:hAnsi="Calibri" w:cs="Times New Roman"/>
                <w:lang w:eastAsia="pl-PL"/>
              </w:rPr>
            </w:pPr>
            <w:r w:rsidRPr="00EE0C8C">
              <w:rPr>
                <w:rFonts w:ascii="Calibri" w:eastAsia="Calibri" w:hAnsi="Calibri" w:cs="Times New Roman"/>
                <w:lang w:eastAsia="pl-PL"/>
              </w:rPr>
              <w:t>Mirzec II</w:t>
            </w:r>
          </w:p>
        </w:tc>
      </w:tr>
      <w:tr w:rsidR="00EE0C8C" w:rsidRPr="00EE0C8C" w:rsidTr="00A76BDB">
        <w:tc>
          <w:tcPr>
            <w:tcW w:w="1842" w:type="dxa"/>
          </w:tcPr>
          <w:p w:rsidR="00EE0C8C" w:rsidRPr="00EE0C8C" w:rsidRDefault="00EE0C8C" w:rsidP="00EE0C8C">
            <w:pPr>
              <w:jc w:val="both"/>
              <w:rPr>
                <w:rFonts w:ascii="Calibri" w:eastAsia="Calibri" w:hAnsi="Calibri" w:cs="Times New Roman"/>
                <w:lang w:eastAsia="pl-PL"/>
              </w:rPr>
            </w:pPr>
            <w:r w:rsidRPr="00EE0C8C">
              <w:rPr>
                <w:rFonts w:ascii="Calibri" w:eastAsia="Calibri" w:hAnsi="Calibri" w:cs="Times New Roman"/>
                <w:lang w:eastAsia="pl-PL"/>
              </w:rPr>
              <w:t>2012</w:t>
            </w:r>
          </w:p>
        </w:tc>
        <w:tc>
          <w:tcPr>
            <w:tcW w:w="1842" w:type="dxa"/>
          </w:tcPr>
          <w:p w:rsidR="00EE0C8C" w:rsidRPr="00EE0C8C" w:rsidRDefault="00EE0C8C" w:rsidP="00EE0C8C">
            <w:pPr>
              <w:jc w:val="both"/>
              <w:rPr>
                <w:rFonts w:ascii="Calibri" w:eastAsia="Calibri" w:hAnsi="Calibri" w:cs="Times New Roman"/>
                <w:lang w:eastAsia="pl-PL"/>
              </w:rPr>
            </w:pPr>
            <w:r w:rsidRPr="00EE0C8C">
              <w:rPr>
                <w:rFonts w:ascii="Calibri" w:eastAsia="Calibri" w:hAnsi="Calibri" w:cs="Times New Roman"/>
                <w:lang w:eastAsia="pl-PL"/>
              </w:rPr>
              <w:t>43</w:t>
            </w:r>
          </w:p>
        </w:tc>
        <w:tc>
          <w:tcPr>
            <w:tcW w:w="1842" w:type="dxa"/>
          </w:tcPr>
          <w:p w:rsidR="00EE0C8C" w:rsidRPr="00EE0C8C" w:rsidRDefault="00EE0C8C" w:rsidP="00EE0C8C">
            <w:pPr>
              <w:jc w:val="both"/>
              <w:rPr>
                <w:rFonts w:ascii="Calibri" w:eastAsia="Calibri" w:hAnsi="Calibri" w:cs="Times New Roman"/>
                <w:lang w:eastAsia="pl-PL"/>
              </w:rPr>
            </w:pPr>
            <w:r w:rsidRPr="00EE0C8C">
              <w:rPr>
                <w:rFonts w:ascii="Calibri" w:eastAsia="Calibri" w:hAnsi="Calibri" w:cs="Times New Roman"/>
                <w:lang w:eastAsia="pl-PL"/>
              </w:rPr>
              <w:t>30</w:t>
            </w:r>
          </w:p>
        </w:tc>
        <w:tc>
          <w:tcPr>
            <w:tcW w:w="1843" w:type="dxa"/>
          </w:tcPr>
          <w:p w:rsidR="00EE0C8C" w:rsidRPr="00EE0C8C" w:rsidRDefault="00EE0C8C" w:rsidP="00EE0C8C">
            <w:pPr>
              <w:jc w:val="both"/>
              <w:rPr>
                <w:rFonts w:ascii="Calibri" w:eastAsia="Calibri" w:hAnsi="Calibri" w:cs="Times New Roman"/>
                <w:lang w:eastAsia="pl-PL"/>
              </w:rPr>
            </w:pPr>
            <w:r w:rsidRPr="00EE0C8C">
              <w:rPr>
                <w:rFonts w:ascii="Calibri" w:eastAsia="Calibri" w:hAnsi="Calibri" w:cs="Times New Roman"/>
                <w:lang w:eastAsia="pl-PL"/>
              </w:rPr>
              <w:t>3,35 %</w:t>
            </w:r>
          </w:p>
        </w:tc>
        <w:tc>
          <w:tcPr>
            <w:tcW w:w="1843" w:type="dxa"/>
          </w:tcPr>
          <w:p w:rsidR="00EE0C8C" w:rsidRPr="00EE0C8C" w:rsidRDefault="00EE0C8C" w:rsidP="00EE0C8C">
            <w:pPr>
              <w:jc w:val="both"/>
              <w:rPr>
                <w:rFonts w:ascii="Calibri" w:eastAsia="Calibri" w:hAnsi="Calibri" w:cs="Times New Roman"/>
                <w:lang w:eastAsia="pl-PL"/>
              </w:rPr>
            </w:pPr>
            <w:r w:rsidRPr="00EE0C8C">
              <w:rPr>
                <w:rFonts w:ascii="Calibri" w:eastAsia="Calibri" w:hAnsi="Calibri" w:cs="Times New Roman"/>
                <w:lang w:eastAsia="pl-PL"/>
              </w:rPr>
              <w:t>3,37 %</w:t>
            </w:r>
          </w:p>
        </w:tc>
      </w:tr>
      <w:tr w:rsidR="00EE0C8C" w:rsidRPr="00EE0C8C" w:rsidTr="00A76BDB">
        <w:tc>
          <w:tcPr>
            <w:tcW w:w="1842" w:type="dxa"/>
          </w:tcPr>
          <w:p w:rsidR="00EE0C8C" w:rsidRPr="00EE0C8C" w:rsidRDefault="00EE0C8C" w:rsidP="00EE0C8C">
            <w:pPr>
              <w:jc w:val="both"/>
              <w:rPr>
                <w:rFonts w:ascii="Calibri" w:eastAsia="Calibri" w:hAnsi="Calibri" w:cs="Times New Roman"/>
                <w:lang w:eastAsia="pl-PL"/>
              </w:rPr>
            </w:pPr>
            <w:r w:rsidRPr="00EE0C8C">
              <w:rPr>
                <w:rFonts w:ascii="Calibri" w:eastAsia="Calibri" w:hAnsi="Calibri" w:cs="Times New Roman"/>
                <w:lang w:eastAsia="pl-PL"/>
              </w:rPr>
              <w:t>2013</w:t>
            </w:r>
          </w:p>
        </w:tc>
        <w:tc>
          <w:tcPr>
            <w:tcW w:w="1842" w:type="dxa"/>
          </w:tcPr>
          <w:p w:rsidR="00EE0C8C" w:rsidRPr="00EE0C8C" w:rsidRDefault="00EE0C8C" w:rsidP="00EE0C8C">
            <w:pPr>
              <w:jc w:val="both"/>
              <w:rPr>
                <w:rFonts w:ascii="Calibri" w:eastAsia="Calibri" w:hAnsi="Calibri" w:cs="Times New Roman"/>
                <w:lang w:eastAsia="pl-PL"/>
              </w:rPr>
            </w:pPr>
            <w:r w:rsidRPr="00EE0C8C">
              <w:rPr>
                <w:rFonts w:ascii="Calibri" w:eastAsia="Calibri" w:hAnsi="Calibri" w:cs="Times New Roman"/>
                <w:lang w:eastAsia="pl-PL"/>
              </w:rPr>
              <w:t>38</w:t>
            </w:r>
          </w:p>
        </w:tc>
        <w:tc>
          <w:tcPr>
            <w:tcW w:w="1842" w:type="dxa"/>
          </w:tcPr>
          <w:p w:rsidR="00EE0C8C" w:rsidRPr="00EE0C8C" w:rsidRDefault="00EE0C8C" w:rsidP="00EE0C8C">
            <w:pPr>
              <w:jc w:val="both"/>
              <w:rPr>
                <w:rFonts w:ascii="Calibri" w:eastAsia="Calibri" w:hAnsi="Calibri" w:cs="Times New Roman"/>
                <w:lang w:eastAsia="pl-PL"/>
              </w:rPr>
            </w:pPr>
            <w:r w:rsidRPr="00EE0C8C">
              <w:rPr>
                <w:rFonts w:ascii="Calibri" w:eastAsia="Calibri" w:hAnsi="Calibri" w:cs="Times New Roman"/>
                <w:lang w:eastAsia="pl-PL"/>
              </w:rPr>
              <w:t>24</w:t>
            </w:r>
          </w:p>
        </w:tc>
        <w:tc>
          <w:tcPr>
            <w:tcW w:w="1843" w:type="dxa"/>
          </w:tcPr>
          <w:p w:rsidR="00EE0C8C" w:rsidRPr="00EE0C8C" w:rsidRDefault="00EE0C8C" w:rsidP="00EE0C8C">
            <w:pPr>
              <w:jc w:val="both"/>
              <w:rPr>
                <w:rFonts w:ascii="Calibri" w:eastAsia="Calibri" w:hAnsi="Calibri" w:cs="Times New Roman"/>
                <w:lang w:eastAsia="pl-PL"/>
              </w:rPr>
            </w:pPr>
            <w:r w:rsidRPr="00EE0C8C">
              <w:rPr>
                <w:rFonts w:ascii="Calibri" w:eastAsia="Calibri" w:hAnsi="Calibri" w:cs="Times New Roman"/>
                <w:lang w:eastAsia="pl-PL"/>
              </w:rPr>
              <w:t>2,95 %</w:t>
            </w:r>
          </w:p>
        </w:tc>
        <w:tc>
          <w:tcPr>
            <w:tcW w:w="1843" w:type="dxa"/>
          </w:tcPr>
          <w:p w:rsidR="00EE0C8C" w:rsidRPr="00EE0C8C" w:rsidRDefault="00EE0C8C" w:rsidP="00EE0C8C">
            <w:pPr>
              <w:jc w:val="both"/>
              <w:rPr>
                <w:rFonts w:ascii="Calibri" w:eastAsia="Calibri" w:hAnsi="Calibri" w:cs="Times New Roman"/>
                <w:lang w:eastAsia="pl-PL"/>
              </w:rPr>
            </w:pPr>
            <w:r w:rsidRPr="00EE0C8C">
              <w:rPr>
                <w:rFonts w:ascii="Calibri" w:eastAsia="Calibri" w:hAnsi="Calibri" w:cs="Times New Roman"/>
                <w:lang w:eastAsia="pl-PL"/>
              </w:rPr>
              <w:t>2,70 %</w:t>
            </w:r>
          </w:p>
        </w:tc>
      </w:tr>
      <w:tr w:rsidR="00EE0C8C" w:rsidRPr="00EE0C8C" w:rsidTr="00A76BDB">
        <w:tc>
          <w:tcPr>
            <w:tcW w:w="1842" w:type="dxa"/>
          </w:tcPr>
          <w:p w:rsidR="00EE0C8C" w:rsidRPr="00EE0C8C" w:rsidRDefault="00EE0C8C" w:rsidP="00EE0C8C">
            <w:pPr>
              <w:jc w:val="both"/>
              <w:rPr>
                <w:rFonts w:ascii="Calibri" w:eastAsia="Calibri" w:hAnsi="Calibri" w:cs="Times New Roman"/>
                <w:lang w:eastAsia="pl-PL"/>
              </w:rPr>
            </w:pPr>
            <w:r w:rsidRPr="00EE0C8C">
              <w:rPr>
                <w:rFonts w:ascii="Calibri" w:eastAsia="Calibri" w:hAnsi="Calibri" w:cs="Times New Roman"/>
                <w:lang w:eastAsia="pl-PL"/>
              </w:rPr>
              <w:t>2014</w:t>
            </w:r>
          </w:p>
        </w:tc>
        <w:tc>
          <w:tcPr>
            <w:tcW w:w="1842" w:type="dxa"/>
          </w:tcPr>
          <w:p w:rsidR="00EE0C8C" w:rsidRPr="00EE0C8C" w:rsidRDefault="00EE0C8C" w:rsidP="00EE0C8C">
            <w:pPr>
              <w:jc w:val="both"/>
              <w:rPr>
                <w:rFonts w:ascii="Calibri" w:eastAsia="Calibri" w:hAnsi="Calibri" w:cs="Times New Roman"/>
                <w:lang w:eastAsia="pl-PL"/>
              </w:rPr>
            </w:pPr>
            <w:r w:rsidRPr="00EE0C8C">
              <w:rPr>
                <w:rFonts w:ascii="Calibri" w:eastAsia="Calibri" w:hAnsi="Calibri" w:cs="Times New Roman"/>
                <w:lang w:eastAsia="pl-PL"/>
              </w:rPr>
              <w:t>35</w:t>
            </w:r>
          </w:p>
        </w:tc>
        <w:tc>
          <w:tcPr>
            <w:tcW w:w="1842" w:type="dxa"/>
          </w:tcPr>
          <w:p w:rsidR="00EE0C8C" w:rsidRPr="00EE0C8C" w:rsidRDefault="00EE0C8C" w:rsidP="00EE0C8C">
            <w:pPr>
              <w:jc w:val="both"/>
              <w:rPr>
                <w:rFonts w:ascii="Calibri" w:eastAsia="Calibri" w:hAnsi="Calibri" w:cs="Times New Roman"/>
                <w:lang w:eastAsia="pl-PL"/>
              </w:rPr>
            </w:pPr>
            <w:r w:rsidRPr="00EE0C8C">
              <w:rPr>
                <w:rFonts w:ascii="Calibri" w:eastAsia="Calibri" w:hAnsi="Calibri" w:cs="Times New Roman"/>
                <w:lang w:eastAsia="pl-PL"/>
              </w:rPr>
              <w:t>22</w:t>
            </w:r>
          </w:p>
        </w:tc>
        <w:tc>
          <w:tcPr>
            <w:tcW w:w="1843" w:type="dxa"/>
          </w:tcPr>
          <w:p w:rsidR="00EE0C8C" w:rsidRPr="00EE0C8C" w:rsidRDefault="00EE0C8C" w:rsidP="00EE0C8C">
            <w:pPr>
              <w:jc w:val="both"/>
              <w:rPr>
                <w:rFonts w:ascii="Calibri" w:eastAsia="Calibri" w:hAnsi="Calibri" w:cs="Times New Roman"/>
                <w:lang w:eastAsia="pl-PL"/>
              </w:rPr>
            </w:pPr>
            <w:r w:rsidRPr="00EE0C8C">
              <w:rPr>
                <w:rFonts w:ascii="Calibri" w:eastAsia="Calibri" w:hAnsi="Calibri" w:cs="Times New Roman"/>
                <w:lang w:eastAsia="pl-PL"/>
              </w:rPr>
              <w:t>2,71 %</w:t>
            </w:r>
          </w:p>
        </w:tc>
        <w:tc>
          <w:tcPr>
            <w:tcW w:w="1843" w:type="dxa"/>
          </w:tcPr>
          <w:p w:rsidR="00EE0C8C" w:rsidRPr="00EE0C8C" w:rsidRDefault="00EE0C8C" w:rsidP="00EE0C8C">
            <w:pPr>
              <w:jc w:val="both"/>
              <w:rPr>
                <w:rFonts w:ascii="Calibri" w:eastAsia="Calibri" w:hAnsi="Calibri" w:cs="Times New Roman"/>
                <w:lang w:eastAsia="pl-PL"/>
              </w:rPr>
            </w:pPr>
            <w:r w:rsidRPr="00EE0C8C">
              <w:rPr>
                <w:rFonts w:ascii="Calibri" w:eastAsia="Calibri" w:hAnsi="Calibri" w:cs="Times New Roman"/>
                <w:lang w:eastAsia="pl-PL"/>
              </w:rPr>
              <w:t>2,50 %</w:t>
            </w:r>
          </w:p>
        </w:tc>
      </w:tr>
      <w:tr w:rsidR="00EE0C8C" w:rsidRPr="00EE0C8C" w:rsidTr="00A76BDB">
        <w:tc>
          <w:tcPr>
            <w:tcW w:w="9212" w:type="dxa"/>
            <w:gridSpan w:val="5"/>
          </w:tcPr>
          <w:p w:rsidR="00EE0C8C" w:rsidRPr="00EE0C8C" w:rsidRDefault="00EE0C8C" w:rsidP="00EE0C8C">
            <w:pPr>
              <w:jc w:val="both"/>
              <w:rPr>
                <w:rFonts w:ascii="Calibri" w:eastAsia="Calibri" w:hAnsi="Calibri" w:cs="Times New Roman"/>
                <w:lang w:eastAsia="pl-PL"/>
              </w:rPr>
            </w:pPr>
            <w:r w:rsidRPr="00EE0C8C">
              <w:rPr>
                <w:rFonts w:ascii="Calibri" w:eastAsia="Calibri" w:hAnsi="Calibri" w:cs="Times New Roman"/>
                <w:lang w:eastAsia="pl-PL"/>
              </w:rPr>
              <w:t>(Źródło: Gminny Ośrodek Pomocy Społecznej w Mircu)</w:t>
            </w:r>
          </w:p>
        </w:tc>
      </w:tr>
    </w:tbl>
    <w:p w:rsidR="00EE0C8C" w:rsidRPr="00EE0C8C" w:rsidRDefault="00EE0C8C" w:rsidP="00EE0C8C">
      <w:pPr>
        <w:jc w:val="both"/>
        <w:rPr>
          <w:rFonts w:ascii="Calibri" w:eastAsia="Times New Roman" w:hAnsi="Calibri" w:cs="Times New Roman"/>
        </w:rPr>
      </w:pPr>
    </w:p>
    <w:p w:rsidR="00EE0C8C" w:rsidRPr="00EE0C8C" w:rsidRDefault="00EE0C8C" w:rsidP="00EE0C8C">
      <w:pPr>
        <w:jc w:val="both"/>
        <w:rPr>
          <w:rFonts w:ascii="Calibri" w:eastAsia="Times New Roman" w:hAnsi="Calibri" w:cs="Times New Roman"/>
        </w:rPr>
      </w:pPr>
    </w:p>
    <w:tbl>
      <w:tblPr>
        <w:tblStyle w:val="Tabela-Siatka1"/>
        <w:tblW w:w="0" w:type="auto"/>
        <w:jc w:val="center"/>
        <w:tblLook w:val="04A0" w:firstRow="1" w:lastRow="0" w:firstColumn="1" w:lastColumn="0" w:noHBand="0" w:noVBand="1"/>
      </w:tblPr>
      <w:tblGrid>
        <w:gridCol w:w="663"/>
        <w:gridCol w:w="821"/>
        <w:gridCol w:w="821"/>
        <w:gridCol w:w="821"/>
        <w:gridCol w:w="821"/>
        <w:gridCol w:w="1004"/>
        <w:gridCol w:w="1018"/>
        <w:gridCol w:w="856"/>
        <w:gridCol w:w="821"/>
        <w:gridCol w:w="821"/>
        <w:gridCol w:w="821"/>
      </w:tblGrid>
      <w:tr w:rsidR="00EE0C8C" w:rsidRPr="00EE0C8C" w:rsidTr="00A76BDB">
        <w:trPr>
          <w:jc w:val="center"/>
        </w:trPr>
        <w:tc>
          <w:tcPr>
            <w:tcW w:w="9288" w:type="dxa"/>
            <w:gridSpan w:val="11"/>
            <w:shd w:val="clear" w:color="auto" w:fill="008080"/>
            <w:vAlign w:val="center"/>
          </w:tcPr>
          <w:p w:rsidR="00EE0C8C" w:rsidRPr="00EE0C8C" w:rsidRDefault="00EE0C8C" w:rsidP="00EE0C8C">
            <w:pPr>
              <w:jc w:val="both"/>
              <w:rPr>
                <w:rFonts w:ascii="Calibri" w:eastAsia="Calibri" w:hAnsi="Calibri" w:cs="Times New Roman"/>
                <w:b/>
              </w:rPr>
            </w:pPr>
            <w:r w:rsidRPr="00EE0C8C">
              <w:rPr>
                <w:rFonts w:ascii="Calibri" w:eastAsia="Calibri" w:hAnsi="Calibri" w:cs="Times New Roman"/>
                <w:b/>
                <w:color w:val="FFFFFF"/>
              </w:rPr>
              <w:t>Liczba i struktura beneficjentów GOPS (mieszkańców Mirca)</w:t>
            </w:r>
          </w:p>
        </w:tc>
      </w:tr>
      <w:tr w:rsidR="00EE0C8C" w:rsidRPr="00EE0C8C" w:rsidTr="00A76BDB">
        <w:trPr>
          <w:jc w:val="center"/>
        </w:trPr>
        <w:tc>
          <w:tcPr>
            <w:tcW w:w="663" w:type="dxa"/>
            <w:vMerge w:val="restart"/>
            <w:vAlign w:val="center"/>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Lata</w:t>
            </w:r>
          </w:p>
        </w:tc>
        <w:tc>
          <w:tcPr>
            <w:tcW w:w="1642" w:type="dxa"/>
            <w:gridSpan w:val="2"/>
            <w:shd w:val="clear" w:color="auto" w:fill="008080"/>
            <w:vAlign w:val="center"/>
          </w:tcPr>
          <w:p w:rsidR="00EE0C8C" w:rsidRPr="00EE0C8C" w:rsidRDefault="00EE0C8C" w:rsidP="00EE0C8C">
            <w:pPr>
              <w:jc w:val="both"/>
              <w:rPr>
                <w:rFonts w:ascii="Calibri" w:eastAsia="Calibri" w:hAnsi="Calibri" w:cs="Times New Roman"/>
                <w:b/>
                <w:color w:val="FFFFFF"/>
              </w:rPr>
            </w:pPr>
            <w:r w:rsidRPr="00EE0C8C">
              <w:rPr>
                <w:rFonts w:ascii="Calibri" w:eastAsia="Calibri" w:hAnsi="Calibri" w:cs="Times New Roman"/>
                <w:b/>
                <w:color w:val="FFFFFF"/>
              </w:rPr>
              <w:t>Ubóstwo</w:t>
            </w:r>
          </w:p>
        </w:tc>
        <w:tc>
          <w:tcPr>
            <w:tcW w:w="1642" w:type="dxa"/>
            <w:gridSpan w:val="2"/>
            <w:shd w:val="clear" w:color="auto" w:fill="008080"/>
            <w:vAlign w:val="center"/>
          </w:tcPr>
          <w:p w:rsidR="00EE0C8C" w:rsidRPr="00EE0C8C" w:rsidRDefault="00EE0C8C" w:rsidP="00EE0C8C">
            <w:pPr>
              <w:jc w:val="both"/>
              <w:rPr>
                <w:rFonts w:ascii="Calibri" w:eastAsia="Calibri" w:hAnsi="Calibri" w:cs="Times New Roman"/>
                <w:b/>
                <w:color w:val="FFFFFF"/>
              </w:rPr>
            </w:pPr>
            <w:r w:rsidRPr="00EE0C8C">
              <w:rPr>
                <w:rFonts w:ascii="Calibri" w:eastAsia="Calibri" w:hAnsi="Calibri" w:cs="Times New Roman"/>
                <w:b/>
                <w:color w:val="FFFFFF"/>
              </w:rPr>
              <w:t>Bezdomność</w:t>
            </w:r>
          </w:p>
        </w:tc>
        <w:tc>
          <w:tcPr>
            <w:tcW w:w="2022" w:type="dxa"/>
            <w:gridSpan w:val="2"/>
            <w:shd w:val="clear" w:color="auto" w:fill="008080"/>
            <w:vAlign w:val="center"/>
          </w:tcPr>
          <w:p w:rsidR="00EE0C8C" w:rsidRPr="00EE0C8C" w:rsidRDefault="00EE0C8C" w:rsidP="00EE0C8C">
            <w:pPr>
              <w:jc w:val="both"/>
              <w:rPr>
                <w:rFonts w:ascii="Calibri" w:eastAsia="Calibri" w:hAnsi="Calibri" w:cs="Times New Roman"/>
                <w:b/>
                <w:color w:val="FFFFFF"/>
              </w:rPr>
            </w:pPr>
            <w:r w:rsidRPr="00EE0C8C">
              <w:rPr>
                <w:rFonts w:ascii="Calibri" w:eastAsia="Calibri" w:hAnsi="Calibri" w:cs="Times New Roman"/>
                <w:b/>
                <w:color w:val="FFFFFF"/>
              </w:rPr>
              <w:t>Niepełnosprawność</w:t>
            </w:r>
          </w:p>
        </w:tc>
        <w:tc>
          <w:tcPr>
            <w:tcW w:w="1677" w:type="dxa"/>
            <w:gridSpan w:val="2"/>
            <w:shd w:val="clear" w:color="auto" w:fill="008080"/>
            <w:vAlign w:val="center"/>
          </w:tcPr>
          <w:p w:rsidR="00EE0C8C" w:rsidRPr="00EE0C8C" w:rsidRDefault="00EE0C8C" w:rsidP="00EE0C8C">
            <w:pPr>
              <w:jc w:val="both"/>
              <w:rPr>
                <w:rFonts w:ascii="Calibri" w:eastAsia="Calibri" w:hAnsi="Calibri" w:cs="Times New Roman"/>
                <w:b/>
                <w:color w:val="FFFFFF"/>
              </w:rPr>
            </w:pPr>
            <w:r w:rsidRPr="00EE0C8C">
              <w:rPr>
                <w:rFonts w:ascii="Calibri" w:eastAsia="Calibri" w:hAnsi="Calibri" w:cs="Times New Roman"/>
                <w:b/>
                <w:color w:val="FFFFFF"/>
              </w:rPr>
              <w:t>Uzależnienie</w:t>
            </w:r>
          </w:p>
        </w:tc>
        <w:tc>
          <w:tcPr>
            <w:tcW w:w="1642" w:type="dxa"/>
            <w:gridSpan w:val="2"/>
            <w:shd w:val="clear" w:color="auto" w:fill="008080"/>
            <w:vAlign w:val="center"/>
          </w:tcPr>
          <w:p w:rsidR="00EE0C8C" w:rsidRPr="00EE0C8C" w:rsidRDefault="00EE0C8C" w:rsidP="00EE0C8C">
            <w:pPr>
              <w:jc w:val="both"/>
              <w:rPr>
                <w:rFonts w:ascii="Calibri" w:eastAsia="Calibri" w:hAnsi="Calibri" w:cs="Times New Roman"/>
                <w:b/>
                <w:color w:val="FFFFFF"/>
              </w:rPr>
            </w:pPr>
            <w:r w:rsidRPr="00EE0C8C">
              <w:rPr>
                <w:rFonts w:ascii="Calibri" w:eastAsia="Calibri" w:hAnsi="Calibri" w:cs="Times New Roman"/>
                <w:b/>
                <w:color w:val="FFFFFF"/>
              </w:rPr>
              <w:t>Razem</w:t>
            </w:r>
          </w:p>
        </w:tc>
      </w:tr>
      <w:tr w:rsidR="00EE0C8C" w:rsidRPr="00EE0C8C" w:rsidTr="00A76BDB">
        <w:trPr>
          <w:jc w:val="center"/>
        </w:trPr>
        <w:tc>
          <w:tcPr>
            <w:tcW w:w="663" w:type="dxa"/>
            <w:vMerge/>
          </w:tcPr>
          <w:p w:rsidR="00EE0C8C" w:rsidRPr="00EE0C8C" w:rsidRDefault="00EE0C8C" w:rsidP="00EE0C8C">
            <w:pPr>
              <w:jc w:val="both"/>
              <w:rPr>
                <w:rFonts w:ascii="Calibri" w:eastAsia="Calibri" w:hAnsi="Calibri" w:cs="Times New Roman"/>
              </w:rPr>
            </w:pPr>
          </w:p>
        </w:tc>
        <w:tc>
          <w:tcPr>
            <w:tcW w:w="821" w:type="dxa"/>
            <w:shd w:val="clear" w:color="auto" w:fill="33CCCC"/>
            <w:vAlign w:val="center"/>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Mirzec I</w:t>
            </w:r>
          </w:p>
        </w:tc>
        <w:tc>
          <w:tcPr>
            <w:tcW w:w="821" w:type="dxa"/>
            <w:shd w:val="clear" w:color="auto" w:fill="33CCCC"/>
            <w:vAlign w:val="center"/>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Mirzec II</w:t>
            </w:r>
          </w:p>
        </w:tc>
        <w:tc>
          <w:tcPr>
            <w:tcW w:w="821" w:type="dxa"/>
            <w:shd w:val="clear" w:color="auto" w:fill="33CCCC"/>
            <w:vAlign w:val="center"/>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Mirzec I</w:t>
            </w:r>
          </w:p>
        </w:tc>
        <w:tc>
          <w:tcPr>
            <w:tcW w:w="821" w:type="dxa"/>
            <w:shd w:val="clear" w:color="auto" w:fill="33CCCC"/>
            <w:vAlign w:val="center"/>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Mirzec II</w:t>
            </w:r>
          </w:p>
        </w:tc>
        <w:tc>
          <w:tcPr>
            <w:tcW w:w="1004" w:type="dxa"/>
            <w:shd w:val="clear" w:color="auto" w:fill="33CCCC"/>
            <w:vAlign w:val="center"/>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Mirzec I</w:t>
            </w:r>
          </w:p>
        </w:tc>
        <w:tc>
          <w:tcPr>
            <w:tcW w:w="1018" w:type="dxa"/>
            <w:shd w:val="clear" w:color="auto" w:fill="33CCCC"/>
            <w:vAlign w:val="center"/>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Mirzec II</w:t>
            </w:r>
          </w:p>
        </w:tc>
        <w:tc>
          <w:tcPr>
            <w:tcW w:w="856" w:type="dxa"/>
            <w:shd w:val="clear" w:color="auto" w:fill="33CCCC"/>
            <w:vAlign w:val="center"/>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Mirzec I</w:t>
            </w:r>
          </w:p>
        </w:tc>
        <w:tc>
          <w:tcPr>
            <w:tcW w:w="821" w:type="dxa"/>
            <w:shd w:val="clear" w:color="auto" w:fill="33CCCC"/>
            <w:vAlign w:val="center"/>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Mirzec II</w:t>
            </w:r>
          </w:p>
        </w:tc>
        <w:tc>
          <w:tcPr>
            <w:tcW w:w="821" w:type="dxa"/>
            <w:shd w:val="clear" w:color="auto" w:fill="33CCCC"/>
            <w:vAlign w:val="center"/>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Mirzec I</w:t>
            </w:r>
          </w:p>
        </w:tc>
        <w:tc>
          <w:tcPr>
            <w:tcW w:w="821" w:type="dxa"/>
            <w:shd w:val="clear" w:color="auto" w:fill="33CCCC"/>
            <w:vAlign w:val="center"/>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Mirzec II</w:t>
            </w:r>
          </w:p>
        </w:tc>
      </w:tr>
      <w:tr w:rsidR="00EE0C8C" w:rsidRPr="00EE0C8C" w:rsidTr="00A76BDB">
        <w:trPr>
          <w:jc w:val="center"/>
        </w:trPr>
        <w:tc>
          <w:tcPr>
            <w:tcW w:w="663" w:type="dxa"/>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2012</w:t>
            </w:r>
          </w:p>
        </w:tc>
        <w:tc>
          <w:tcPr>
            <w:tcW w:w="821" w:type="dxa"/>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3</w:t>
            </w:r>
          </w:p>
        </w:tc>
        <w:tc>
          <w:tcPr>
            <w:tcW w:w="821" w:type="dxa"/>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2</w:t>
            </w:r>
          </w:p>
        </w:tc>
        <w:tc>
          <w:tcPr>
            <w:tcW w:w="821" w:type="dxa"/>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1</w:t>
            </w:r>
          </w:p>
        </w:tc>
        <w:tc>
          <w:tcPr>
            <w:tcW w:w="821" w:type="dxa"/>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w:t>
            </w:r>
          </w:p>
        </w:tc>
        <w:tc>
          <w:tcPr>
            <w:tcW w:w="1004" w:type="dxa"/>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14</w:t>
            </w:r>
          </w:p>
        </w:tc>
        <w:tc>
          <w:tcPr>
            <w:tcW w:w="1018" w:type="dxa"/>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11</w:t>
            </w:r>
          </w:p>
        </w:tc>
        <w:tc>
          <w:tcPr>
            <w:tcW w:w="856" w:type="dxa"/>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5</w:t>
            </w:r>
          </w:p>
        </w:tc>
        <w:tc>
          <w:tcPr>
            <w:tcW w:w="821" w:type="dxa"/>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3</w:t>
            </w:r>
          </w:p>
        </w:tc>
        <w:tc>
          <w:tcPr>
            <w:tcW w:w="821" w:type="dxa"/>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23</w:t>
            </w:r>
          </w:p>
        </w:tc>
        <w:tc>
          <w:tcPr>
            <w:tcW w:w="821" w:type="dxa"/>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16</w:t>
            </w:r>
          </w:p>
        </w:tc>
      </w:tr>
      <w:tr w:rsidR="00EE0C8C" w:rsidRPr="00EE0C8C" w:rsidTr="00A76BDB">
        <w:trPr>
          <w:jc w:val="center"/>
        </w:trPr>
        <w:tc>
          <w:tcPr>
            <w:tcW w:w="663" w:type="dxa"/>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2013</w:t>
            </w:r>
          </w:p>
        </w:tc>
        <w:tc>
          <w:tcPr>
            <w:tcW w:w="821" w:type="dxa"/>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2</w:t>
            </w:r>
          </w:p>
        </w:tc>
        <w:tc>
          <w:tcPr>
            <w:tcW w:w="821" w:type="dxa"/>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w:t>
            </w:r>
          </w:p>
        </w:tc>
        <w:tc>
          <w:tcPr>
            <w:tcW w:w="821" w:type="dxa"/>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1</w:t>
            </w:r>
          </w:p>
        </w:tc>
        <w:tc>
          <w:tcPr>
            <w:tcW w:w="821" w:type="dxa"/>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w:t>
            </w:r>
          </w:p>
        </w:tc>
        <w:tc>
          <w:tcPr>
            <w:tcW w:w="1004" w:type="dxa"/>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16</w:t>
            </w:r>
          </w:p>
        </w:tc>
        <w:tc>
          <w:tcPr>
            <w:tcW w:w="1018" w:type="dxa"/>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8</w:t>
            </w:r>
          </w:p>
        </w:tc>
        <w:tc>
          <w:tcPr>
            <w:tcW w:w="856" w:type="dxa"/>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4</w:t>
            </w:r>
          </w:p>
        </w:tc>
        <w:tc>
          <w:tcPr>
            <w:tcW w:w="821" w:type="dxa"/>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4</w:t>
            </w:r>
          </w:p>
        </w:tc>
        <w:tc>
          <w:tcPr>
            <w:tcW w:w="821" w:type="dxa"/>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23</w:t>
            </w:r>
          </w:p>
        </w:tc>
        <w:tc>
          <w:tcPr>
            <w:tcW w:w="821" w:type="dxa"/>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12</w:t>
            </w:r>
          </w:p>
        </w:tc>
      </w:tr>
      <w:tr w:rsidR="00EE0C8C" w:rsidRPr="00EE0C8C" w:rsidTr="00A76BDB">
        <w:trPr>
          <w:jc w:val="center"/>
        </w:trPr>
        <w:tc>
          <w:tcPr>
            <w:tcW w:w="663" w:type="dxa"/>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2014</w:t>
            </w:r>
          </w:p>
        </w:tc>
        <w:tc>
          <w:tcPr>
            <w:tcW w:w="821" w:type="dxa"/>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2</w:t>
            </w:r>
          </w:p>
        </w:tc>
        <w:tc>
          <w:tcPr>
            <w:tcW w:w="821" w:type="dxa"/>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1</w:t>
            </w:r>
          </w:p>
        </w:tc>
        <w:tc>
          <w:tcPr>
            <w:tcW w:w="821" w:type="dxa"/>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1</w:t>
            </w:r>
          </w:p>
        </w:tc>
        <w:tc>
          <w:tcPr>
            <w:tcW w:w="821" w:type="dxa"/>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w:t>
            </w:r>
          </w:p>
        </w:tc>
        <w:tc>
          <w:tcPr>
            <w:tcW w:w="1004" w:type="dxa"/>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9</w:t>
            </w:r>
          </w:p>
        </w:tc>
        <w:tc>
          <w:tcPr>
            <w:tcW w:w="1018" w:type="dxa"/>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8</w:t>
            </w:r>
          </w:p>
        </w:tc>
        <w:tc>
          <w:tcPr>
            <w:tcW w:w="856" w:type="dxa"/>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4</w:t>
            </w:r>
          </w:p>
        </w:tc>
        <w:tc>
          <w:tcPr>
            <w:tcW w:w="821" w:type="dxa"/>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2</w:t>
            </w:r>
          </w:p>
        </w:tc>
        <w:tc>
          <w:tcPr>
            <w:tcW w:w="821" w:type="dxa"/>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15</w:t>
            </w:r>
          </w:p>
        </w:tc>
        <w:tc>
          <w:tcPr>
            <w:tcW w:w="821" w:type="dxa"/>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11</w:t>
            </w:r>
          </w:p>
        </w:tc>
      </w:tr>
      <w:tr w:rsidR="00EE0C8C" w:rsidRPr="00EE0C8C" w:rsidTr="00A76BDB">
        <w:trPr>
          <w:jc w:val="center"/>
        </w:trPr>
        <w:tc>
          <w:tcPr>
            <w:tcW w:w="9288" w:type="dxa"/>
            <w:gridSpan w:val="11"/>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(Źródło: Gminny Ośrodek Pomocy Społecznej w Mircu)</w:t>
            </w:r>
          </w:p>
        </w:tc>
      </w:tr>
    </w:tbl>
    <w:p w:rsidR="00EE0C8C" w:rsidRPr="00EE0C8C" w:rsidRDefault="00EE0C8C" w:rsidP="00EE0C8C">
      <w:pPr>
        <w:jc w:val="both"/>
        <w:rPr>
          <w:rFonts w:ascii="Calibri" w:eastAsia="Times New Roman" w:hAnsi="Calibri" w:cs="Times New Roman"/>
          <w:b/>
          <w:lang w:eastAsia="pl-PL"/>
        </w:rPr>
      </w:pPr>
      <w:r w:rsidRPr="00EE0C8C">
        <w:rPr>
          <w:rFonts w:ascii="Calibri" w:eastAsia="Times New Roman" w:hAnsi="Calibri" w:cs="Times New Roman"/>
          <w:b/>
          <w:lang w:eastAsia="pl-PL"/>
        </w:rPr>
        <w:t xml:space="preserve">                               </w:t>
      </w:r>
    </w:p>
    <w:p w:rsidR="00EE0C8C" w:rsidRPr="00EE0C8C" w:rsidRDefault="00EE0C8C" w:rsidP="00EE0C8C">
      <w:pPr>
        <w:jc w:val="both"/>
        <w:rPr>
          <w:rFonts w:ascii="Calibri" w:eastAsia="Times New Roman" w:hAnsi="Calibri" w:cs="Times New Roman"/>
          <w:b/>
          <w:sz w:val="24"/>
          <w:szCs w:val="24"/>
          <w:lang w:eastAsia="pl-PL"/>
        </w:rPr>
      </w:pPr>
      <w:r w:rsidRPr="00EE0C8C">
        <w:rPr>
          <w:rFonts w:ascii="Calibri" w:eastAsia="Times New Roman" w:hAnsi="Calibri" w:cs="Times New Roman"/>
          <w:b/>
          <w:sz w:val="24"/>
          <w:szCs w:val="24"/>
          <w:lang w:eastAsia="pl-PL"/>
        </w:rPr>
        <w:t>Służba zdrowia i kondycja zdrowotna gminy Mirzec.</w:t>
      </w:r>
    </w:p>
    <w:p w:rsidR="00EE0C8C" w:rsidRPr="00EE0C8C" w:rsidRDefault="00EE0C8C" w:rsidP="00EE0C8C">
      <w:pPr>
        <w:jc w:val="both"/>
        <w:rPr>
          <w:rFonts w:ascii="Calibri" w:eastAsia="Times New Roman" w:hAnsi="Calibri" w:cs="Times New Roman"/>
          <w:b/>
          <w:sz w:val="24"/>
          <w:szCs w:val="24"/>
          <w:lang w:eastAsia="pl-PL"/>
        </w:rPr>
      </w:pPr>
    </w:p>
    <w:p w:rsidR="00EE0C8C" w:rsidRPr="00EE0C8C" w:rsidRDefault="00EE0C8C" w:rsidP="00EE0C8C">
      <w:pPr>
        <w:jc w:val="both"/>
        <w:rPr>
          <w:rFonts w:ascii="Calibri" w:eastAsia="Times New Roman" w:hAnsi="Calibri" w:cs="Times New Roman"/>
          <w:sz w:val="24"/>
          <w:szCs w:val="24"/>
          <w:lang w:eastAsia="pl-PL"/>
        </w:rPr>
      </w:pPr>
      <w:r w:rsidRPr="00EE0C8C">
        <w:rPr>
          <w:rFonts w:ascii="Calibri" w:eastAsia="Times New Roman" w:hAnsi="Calibri" w:cs="Times New Roman"/>
          <w:sz w:val="24"/>
          <w:szCs w:val="24"/>
          <w:lang w:eastAsia="pl-PL"/>
        </w:rPr>
        <w:t>Samodzielny Publiczny Zakład Opieki Zdrowotnej w Mir</w:t>
      </w:r>
      <w:r w:rsidR="00547550">
        <w:rPr>
          <w:rFonts w:ascii="Calibri" w:eastAsia="Times New Roman" w:hAnsi="Calibri" w:cs="Times New Roman"/>
          <w:sz w:val="24"/>
          <w:szCs w:val="24"/>
          <w:lang w:eastAsia="pl-PL"/>
        </w:rPr>
        <w:t xml:space="preserve">cu swoją działalność prowadzi </w:t>
      </w:r>
      <w:r w:rsidR="00547550">
        <w:rPr>
          <w:rFonts w:ascii="Calibri" w:eastAsia="Times New Roman" w:hAnsi="Calibri" w:cs="Times New Roman"/>
          <w:sz w:val="24"/>
          <w:szCs w:val="24"/>
          <w:lang w:eastAsia="pl-PL"/>
        </w:rPr>
        <w:br/>
        <w:t xml:space="preserve">w </w:t>
      </w:r>
      <w:r w:rsidRPr="00EE0C8C">
        <w:rPr>
          <w:rFonts w:ascii="Calibri" w:eastAsia="Times New Roman" w:hAnsi="Calibri" w:cs="Times New Roman"/>
          <w:sz w:val="24"/>
          <w:szCs w:val="24"/>
          <w:lang w:eastAsia="pl-PL"/>
        </w:rPr>
        <w:t>dwóch ośrodkach zdrowia w Mircu i w Jagodnem.</w:t>
      </w:r>
    </w:p>
    <w:p w:rsidR="00EE0C8C" w:rsidRPr="00EE0C8C" w:rsidRDefault="00EE0C8C" w:rsidP="00EE0C8C">
      <w:pPr>
        <w:jc w:val="both"/>
        <w:rPr>
          <w:rFonts w:ascii="Calibri" w:eastAsia="Times New Roman" w:hAnsi="Calibri" w:cs="Times New Roman"/>
          <w:sz w:val="24"/>
          <w:szCs w:val="24"/>
          <w:lang w:eastAsia="pl-PL"/>
        </w:rPr>
      </w:pPr>
      <w:r w:rsidRPr="00EE0C8C">
        <w:rPr>
          <w:rFonts w:ascii="Calibri" w:eastAsia="Times New Roman" w:hAnsi="Calibri" w:cs="Times New Roman"/>
          <w:sz w:val="24"/>
          <w:szCs w:val="24"/>
          <w:lang w:eastAsia="pl-PL"/>
        </w:rPr>
        <w:t>Udziela świadczeń w następujących zakresach:</w:t>
      </w:r>
    </w:p>
    <w:p w:rsidR="00EE0C8C" w:rsidRPr="00EE0C8C" w:rsidRDefault="00EE0C8C" w:rsidP="00EE0C8C">
      <w:pPr>
        <w:jc w:val="both"/>
        <w:rPr>
          <w:rFonts w:ascii="Calibri" w:eastAsia="Times New Roman" w:hAnsi="Calibri" w:cs="Times New Roman"/>
          <w:sz w:val="24"/>
          <w:szCs w:val="24"/>
          <w:lang w:eastAsia="pl-PL"/>
        </w:rPr>
      </w:pPr>
      <w:r w:rsidRPr="00EE0C8C">
        <w:rPr>
          <w:rFonts w:ascii="Calibri" w:eastAsia="Times New Roman" w:hAnsi="Calibri" w:cs="Times New Roman"/>
          <w:sz w:val="24"/>
          <w:szCs w:val="24"/>
          <w:lang w:eastAsia="pl-PL"/>
        </w:rPr>
        <w:t>1/podstawowej opiece zdrowotnej, udzielanej w warunkach ambulatoryjnych i domowych,</w:t>
      </w:r>
    </w:p>
    <w:p w:rsidR="00EE0C8C" w:rsidRPr="00EE0C8C" w:rsidRDefault="00EE0C8C" w:rsidP="00EE0C8C">
      <w:pPr>
        <w:jc w:val="both"/>
        <w:rPr>
          <w:rFonts w:ascii="Calibri" w:eastAsia="Times New Roman" w:hAnsi="Calibri" w:cs="Times New Roman"/>
          <w:sz w:val="24"/>
          <w:szCs w:val="24"/>
          <w:lang w:eastAsia="pl-PL"/>
        </w:rPr>
      </w:pPr>
      <w:r w:rsidRPr="00EE0C8C">
        <w:rPr>
          <w:rFonts w:ascii="Calibri" w:eastAsia="Times New Roman" w:hAnsi="Calibri" w:cs="Times New Roman"/>
          <w:sz w:val="24"/>
          <w:szCs w:val="24"/>
          <w:lang w:eastAsia="pl-PL"/>
        </w:rPr>
        <w:t>2/stomatologii,</w:t>
      </w:r>
    </w:p>
    <w:p w:rsidR="00EE0C8C" w:rsidRPr="00EE0C8C" w:rsidRDefault="00EE0C8C" w:rsidP="00EE0C8C">
      <w:pPr>
        <w:jc w:val="both"/>
        <w:rPr>
          <w:rFonts w:ascii="Calibri" w:eastAsia="Times New Roman" w:hAnsi="Calibri" w:cs="Times New Roman"/>
          <w:sz w:val="24"/>
          <w:szCs w:val="24"/>
          <w:lang w:eastAsia="pl-PL"/>
        </w:rPr>
      </w:pPr>
      <w:r w:rsidRPr="00EE0C8C">
        <w:rPr>
          <w:rFonts w:ascii="Calibri" w:eastAsia="Times New Roman" w:hAnsi="Calibri" w:cs="Times New Roman"/>
          <w:sz w:val="24"/>
          <w:szCs w:val="24"/>
          <w:lang w:eastAsia="pl-PL"/>
        </w:rPr>
        <w:t>3/specjalistycznej opiece zdrowotnej w zakresie ginekologii.</w:t>
      </w:r>
    </w:p>
    <w:p w:rsidR="00EE0C8C" w:rsidRPr="00EE0C8C" w:rsidRDefault="00EE0C8C" w:rsidP="00EE0C8C">
      <w:pPr>
        <w:jc w:val="both"/>
        <w:rPr>
          <w:rFonts w:ascii="Calibri" w:eastAsia="Times New Roman" w:hAnsi="Calibri" w:cs="Times New Roman"/>
          <w:sz w:val="24"/>
          <w:szCs w:val="24"/>
          <w:lang w:eastAsia="pl-PL"/>
        </w:rPr>
      </w:pPr>
      <w:r w:rsidRPr="00EE0C8C">
        <w:rPr>
          <w:rFonts w:ascii="Calibri" w:eastAsia="Times New Roman" w:hAnsi="Calibri" w:cs="Times New Roman"/>
          <w:sz w:val="24"/>
          <w:szCs w:val="24"/>
          <w:lang w:eastAsia="pl-PL"/>
        </w:rPr>
        <w:t>Łączna liczba deklaracji na 31.12.2015 roku to 16.127 w tym do :</w:t>
      </w:r>
    </w:p>
    <w:p w:rsidR="00EE0C8C" w:rsidRPr="00EE0C8C" w:rsidRDefault="00EE0C8C" w:rsidP="00EE0C8C">
      <w:pPr>
        <w:jc w:val="both"/>
        <w:rPr>
          <w:rFonts w:ascii="Calibri" w:eastAsia="Times New Roman" w:hAnsi="Calibri" w:cs="Times New Roman"/>
          <w:sz w:val="24"/>
          <w:szCs w:val="24"/>
          <w:lang w:eastAsia="pl-PL"/>
        </w:rPr>
      </w:pPr>
      <w:r w:rsidRPr="00EE0C8C">
        <w:rPr>
          <w:rFonts w:ascii="Calibri" w:eastAsia="Times New Roman" w:hAnsi="Calibri" w:cs="Times New Roman"/>
          <w:sz w:val="24"/>
          <w:szCs w:val="24"/>
          <w:lang w:eastAsia="pl-PL"/>
        </w:rPr>
        <w:t>-lekarza POZ                                                                    6.135 deklaracji</w:t>
      </w:r>
    </w:p>
    <w:p w:rsidR="00EE0C8C" w:rsidRPr="00EE0C8C" w:rsidRDefault="00EE0C8C" w:rsidP="00EE0C8C">
      <w:pPr>
        <w:jc w:val="both"/>
        <w:rPr>
          <w:rFonts w:ascii="Calibri" w:eastAsia="Times New Roman" w:hAnsi="Calibri" w:cs="Times New Roman"/>
          <w:sz w:val="24"/>
          <w:szCs w:val="24"/>
          <w:lang w:eastAsia="pl-PL"/>
        </w:rPr>
      </w:pPr>
      <w:r w:rsidRPr="00EE0C8C">
        <w:rPr>
          <w:rFonts w:ascii="Calibri" w:eastAsia="Times New Roman" w:hAnsi="Calibri" w:cs="Times New Roman"/>
          <w:sz w:val="24"/>
          <w:szCs w:val="24"/>
          <w:lang w:eastAsia="pl-PL"/>
        </w:rPr>
        <w:t>-pielęgniarki  środowiskowo-rodzinnej                      6.173 deklaracji</w:t>
      </w:r>
    </w:p>
    <w:p w:rsidR="00EE0C8C" w:rsidRPr="00EE0C8C" w:rsidRDefault="00EE0C8C" w:rsidP="00EE0C8C">
      <w:pPr>
        <w:jc w:val="both"/>
        <w:rPr>
          <w:rFonts w:ascii="Calibri" w:eastAsia="Times New Roman" w:hAnsi="Calibri" w:cs="Times New Roman"/>
          <w:sz w:val="24"/>
          <w:szCs w:val="24"/>
          <w:lang w:eastAsia="pl-PL"/>
        </w:rPr>
      </w:pPr>
      <w:r w:rsidRPr="00EE0C8C">
        <w:rPr>
          <w:rFonts w:ascii="Calibri" w:eastAsia="Times New Roman" w:hAnsi="Calibri" w:cs="Times New Roman"/>
          <w:sz w:val="24"/>
          <w:szCs w:val="24"/>
          <w:lang w:eastAsia="pl-PL"/>
        </w:rPr>
        <w:t>-położnej                                                                          2.921 deklaracji</w:t>
      </w:r>
    </w:p>
    <w:p w:rsidR="00EE0C8C" w:rsidRPr="00EE0C8C" w:rsidRDefault="00EE0C8C" w:rsidP="00EE0C8C">
      <w:pPr>
        <w:jc w:val="both"/>
        <w:rPr>
          <w:rFonts w:ascii="Calibri" w:eastAsia="Times New Roman" w:hAnsi="Calibri" w:cs="Times New Roman"/>
          <w:sz w:val="24"/>
          <w:szCs w:val="24"/>
          <w:lang w:eastAsia="pl-PL"/>
        </w:rPr>
      </w:pPr>
      <w:r w:rsidRPr="00EE0C8C">
        <w:rPr>
          <w:rFonts w:ascii="Calibri" w:eastAsia="Times New Roman" w:hAnsi="Calibri" w:cs="Times New Roman"/>
          <w:sz w:val="24"/>
          <w:szCs w:val="24"/>
          <w:lang w:eastAsia="pl-PL"/>
        </w:rPr>
        <w:t>-pielęgniarki higieny szkolnej                                           898 deklaracji.</w:t>
      </w:r>
    </w:p>
    <w:p w:rsidR="00EE0C8C" w:rsidRPr="00EE0C8C" w:rsidRDefault="00EE0C8C" w:rsidP="00EE0C8C">
      <w:pPr>
        <w:jc w:val="both"/>
        <w:rPr>
          <w:rFonts w:ascii="Calibri" w:eastAsia="Times New Roman" w:hAnsi="Calibri" w:cs="Times New Roman"/>
          <w:sz w:val="24"/>
          <w:szCs w:val="24"/>
          <w:lang w:eastAsia="pl-PL"/>
        </w:rPr>
      </w:pPr>
    </w:p>
    <w:p w:rsidR="00EE0C8C" w:rsidRPr="00EE0C8C" w:rsidRDefault="00EE0C8C" w:rsidP="00EE0C8C">
      <w:pPr>
        <w:jc w:val="both"/>
        <w:rPr>
          <w:rFonts w:ascii="Calibri" w:eastAsia="Times New Roman" w:hAnsi="Calibri" w:cs="Times New Roman"/>
          <w:sz w:val="24"/>
          <w:szCs w:val="24"/>
          <w:lang w:eastAsia="pl-PL"/>
        </w:rPr>
      </w:pPr>
      <w:r w:rsidRPr="00EE0C8C">
        <w:rPr>
          <w:rFonts w:ascii="Calibri" w:eastAsia="Times New Roman" w:hAnsi="Calibri" w:cs="Times New Roman"/>
          <w:sz w:val="24"/>
          <w:szCs w:val="24"/>
          <w:lang w:eastAsia="pl-PL"/>
        </w:rPr>
        <w:t>Lista deklaracji na dzień 31.12.2015 roku</w:t>
      </w:r>
    </w:p>
    <w:p w:rsidR="00EE0C8C" w:rsidRPr="00EE0C8C" w:rsidRDefault="00EE0C8C" w:rsidP="00EE0C8C">
      <w:pPr>
        <w:jc w:val="both"/>
        <w:rPr>
          <w:rFonts w:ascii="Calibri" w:eastAsia="Times New Roman" w:hAnsi="Calibri" w:cs="Times New Roman"/>
          <w:sz w:val="24"/>
          <w:szCs w:val="24"/>
          <w:lang w:eastAsia="pl-PL"/>
        </w:rPr>
      </w:pPr>
      <w:r w:rsidRPr="00EE0C8C">
        <w:rPr>
          <w:rFonts w:ascii="Calibri" w:eastAsia="Times New Roman" w:hAnsi="Calibri" w:cs="Times New Roman"/>
          <w:sz w:val="24"/>
          <w:szCs w:val="24"/>
          <w:lang w:eastAsia="pl-PL"/>
        </w:rPr>
        <w:t>Tabela nr1</w:t>
      </w:r>
    </w:p>
    <w:tbl>
      <w:tblPr>
        <w:tblStyle w:val="Tabela-Siatka5"/>
        <w:tblW w:w="0" w:type="auto"/>
        <w:jc w:val="center"/>
        <w:tblLook w:val="04A0" w:firstRow="1" w:lastRow="0" w:firstColumn="1" w:lastColumn="0" w:noHBand="0" w:noVBand="1"/>
      </w:tblPr>
      <w:tblGrid>
        <w:gridCol w:w="2802"/>
        <w:gridCol w:w="1275"/>
        <w:gridCol w:w="1449"/>
        <w:gridCol w:w="1843"/>
        <w:gridCol w:w="1843"/>
      </w:tblGrid>
      <w:tr w:rsidR="00EE0C8C" w:rsidRPr="00EE0C8C" w:rsidTr="00A76BDB">
        <w:trPr>
          <w:jc w:val="center"/>
        </w:trPr>
        <w:tc>
          <w:tcPr>
            <w:tcW w:w="2802" w:type="dxa"/>
          </w:tcPr>
          <w:p w:rsidR="00EE0C8C" w:rsidRPr="00EE0C8C" w:rsidRDefault="00EE0C8C" w:rsidP="00EE0C8C">
            <w:pPr>
              <w:tabs>
                <w:tab w:val="center" w:pos="4536"/>
                <w:tab w:val="right" w:pos="9072"/>
              </w:tabs>
              <w:jc w:val="both"/>
              <w:rPr>
                <w:rFonts w:ascii="Calibri" w:eastAsiaTheme="minorHAnsi" w:hAnsi="Calibri"/>
                <w:sz w:val="24"/>
                <w:szCs w:val="24"/>
              </w:rPr>
            </w:pPr>
          </w:p>
        </w:tc>
        <w:tc>
          <w:tcPr>
            <w:tcW w:w="1275"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Lekarz POZ</w:t>
            </w:r>
          </w:p>
        </w:tc>
        <w:tc>
          <w:tcPr>
            <w:tcW w:w="1449"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Pielęgniarka POZ</w:t>
            </w:r>
          </w:p>
        </w:tc>
        <w:tc>
          <w:tcPr>
            <w:tcW w:w="1843"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Położna POZ</w:t>
            </w:r>
          </w:p>
        </w:tc>
        <w:tc>
          <w:tcPr>
            <w:tcW w:w="1843"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Pielęgniarka szkolna</w:t>
            </w:r>
          </w:p>
        </w:tc>
      </w:tr>
      <w:tr w:rsidR="00EE0C8C" w:rsidRPr="00EE0C8C" w:rsidTr="00A76BDB">
        <w:trPr>
          <w:jc w:val="center"/>
        </w:trPr>
        <w:tc>
          <w:tcPr>
            <w:tcW w:w="2802"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Mirzec I</w:t>
            </w:r>
          </w:p>
        </w:tc>
        <w:tc>
          <w:tcPr>
            <w:tcW w:w="1275" w:type="dxa"/>
          </w:tcPr>
          <w:p w:rsidR="00EE0C8C" w:rsidRPr="00EE0C8C" w:rsidRDefault="00EE0C8C" w:rsidP="00EE0C8C">
            <w:pPr>
              <w:tabs>
                <w:tab w:val="center" w:pos="4536"/>
                <w:tab w:val="right" w:pos="9072"/>
              </w:tabs>
              <w:jc w:val="both"/>
              <w:rPr>
                <w:rFonts w:ascii="Calibri" w:eastAsiaTheme="minorHAnsi" w:hAnsi="Calibri"/>
                <w:sz w:val="24"/>
                <w:szCs w:val="24"/>
              </w:rPr>
            </w:pPr>
          </w:p>
        </w:tc>
        <w:tc>
          <w:tcPr>
            <w:tcW w:w="1449" w:type="dxa"/>
          </w:tcPr>
          <w:p w:rsidR="00EE0C8C" w:rsidRPr="00EE0C8C" w:rsidRDefault="00EE0C8C" w:rsidP="00EE0C8C">
            <w:pPr>
              <w:tabs>
                <w:tab w:val="center" w:pos="4536"/>
                <w:tab w:val="right" w:pos="9072"/>
              </w:tabs>
              <w:jc w:val="both"/>
              <w:rPr>
                <w:rFonts w:ascii="Calibri" w:eastAsiaTheme="minorHAnsi" w:hAnsi="Calibri"/>
                <w:sz w:val="24"/>
                <w:szCs w:val="24"/>
              </w:rPr>
            </w:pPr>
          </w:p>
        </w:tc>
        <w:tc>
          <w:tcPr>
            <w:tcW w:w="1843" w:type="dxa"/>
          </w:tcPr>
          <w:p w:rsidR="00EE0C8C" w:rsidRPr="00EE0C8C" w:rsidRDefault="00EE0C8C" w:rsidP="00EE0C8C">
            <w:pPr>
              <w:tabs>
                <w:tab w:val="center" w:pos="4536"/>
                <w:tab w:val="right" w:pos="9072"/>
              </w:tabs>
              <w:jc w:val="both"/>
              <w:rPr>
                <w:rFonts w:ascii="Calibri" w:eastAsiaTheme="minorHAnsi" w:hAnsi="Calibri"/>
                <w:sz w:val="24"/>
                <w:szCs w:val="24"/>
              </w:rPr>
            </w:pPr>
          </w:p>
        </w:tc>
        <w:tc>
          <w:tcPr>
            <w:tcW w:w="1843" w:type="dxa"/>
          </w:tcPr>
          <w:p w:rsidR="00EE0C8C" w:rsidRPr="00EE0C8C" w:rsidRDefault="00EE0C8C" w:rsidP="00EE0C8C">
            <w:pPr>
              <w:tabs>
                <w:tab w:val="center" w:pos="4536"/>
                <w:tab w:val="right" w:pos="9072"/>
              </w:tabs>
              <w:jc w:val="both"/>
              <w:rPr>
                <w:rFonts w:ascii="Calibri" w:eastAsiaTheme="minorHAnsi" w:hAnsi="Calibri"/>
                <w:sz w:val="24"/>
                <w:szCs w:val="24"/>
              </w:rPr>
            </w:pPr>
          </w:p>
        </w:tc>
      </w:tr>
      <w:tr w:rsidR="00EE0C8C" w:rsidRPr="00EE0C8C" w:rsidTr="00A76BDB">
        <w:trPr>
          <w:jc w:val="center"/>
        </w:trPr>
        <w:tc>
          <w:tcPr>
            <w:tcW w:w="2802"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 xml:space="preserve">Malcówki                  </w:t>
            </w:r>
          </w:p>
        </w:tc>
        <w:tc>
          <w:tcPr>
            <w:tcW w:w="1275"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201</w:t>
            </w:r>
          </w:p>
        </w:tc>
        <w:tc>
          <w:tcPr>
            <w:tcW w:w="1449"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205</w:t>
            </w:r>
          </w:p>
        </w:tc>
        <w:tc>
          <w:tcPr>
            <w:tcW w:w="1843"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 xml:space="preserve">  87</w:t>
            </w:r>
          </w:p>
        </w:tc>
        <w:tc>
          <w:tcPr>
            <w:tcW w:w="1843"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18</w:t>
            </w:r>
          </w:p>
        </w:tc>
      </w:tr>
      <w:tr w:rsidR="00EE0C8C" w:rsidRPr="00EE0C8C" w:rsidTr="00A76BDB">
        <w:trPr>
          <w:jc w:val="center"/>
        </w:trPr>
        <w:tc>
          <w:tcPr>
            <w:tcW w:w="2802"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 xml:space="preserve">Majorat                     </w:t>
            </w:r>
          </w:p>
        </w:tc>
        <w:tc>
          <w:tcPr>
            <w:tcW w:w="1275"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289</w:t>
            </w:r>
          </w:p>
        </w:tc>
        <w:tc>
          <w:tcPr>
            <w:tcW w:w="1449"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288</w:t>
            </w:r>
          </w:p>
        </w:tc>
        <w:tc>
          <w:tcPr>
            <w:tcW w:w="1843"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137</w:t>
            </w:r>
          </w:p>
        </w:tc>
        <w:tc>
          <w:tcPr>
            <w:tcW w:w="1843"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30</w:t>
            </w:r>
          </w:p>
        </w:tc>
      </w:tr>
      <w:tr w:rsidR="00EE0C8C" w:rsidRPr="00EE0C8C" w:rsidTr="00A76BDB">
        <w:trPr>
          <w:jc w:val="center"/>
        </w:trPr>
        <w:tc>
          <w:tcPr>
            <w:tcW w:w="2802"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 xml:space="preserve">Poddąbrowa             </w:t>
            </w:r>
          </w:p>
        </w:tc>
        <w:tc>
          <w:tcPr>
            <w:tcW w:w="1275"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302</w:t>
            </w:r>
          </w:p>
        </w:tc>
        <w:tc>
          <w:tcPr>
            <w:tcW w:w="1449"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303</w:t>
            </w:r>
          </w:p>
        </w:tc>
        <w:tc>
          <w:tcPr>
            <w:tcW w:w="1843"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156</w:t>
            </w:r>
          </w:p>
        </w:tc>
        <w:tc>
          <w:tcPr>
            <w:tcW w:w="1843"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41</w:t>
            </w:r>
          </w:p>
        </w:tc>
      </w:tr>
      <w:tr w:rsidR="00EE0C8C" w:rsidRPr="00EE0C8C" w:rsidTr="00A76BDB">
        <w:trPr>
          <w:jc w:val="center"/>
        </w:trPr>
        <w:tc>
          <w:tcPr>
            <w:tcW w:w="2802"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 xml:space="preserve">ul. Langiewicza               </w:t>
            </w:r>
          </w:p>
        </w:tc>
        <w:tc>
          <w:tcPr>
            <w:tcW w:w="1275"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152</w:t>
            </w:r>
          </w:p>
        </w:tc>
        <w:tc>
          <w:tcPr>
            <w:tcW w:w="1449"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105</w:t>
            </w:r>
          </w:p>
        </w:tc>
        <w:tc>
          <w:tcPr>
            <w:tcW w:w="1843"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 xml:space="preserve"> 125</w:t>
            </w:r>
          </w:p>
        </w:tc>
        <w:tc>
          <w:tcPr>
            <w:tcW w:w="1843"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38</w:t>
            </w:r>
          </w:p>
        </w:tc>
      </w:tr>
      <w:tr w:rsidR="00EE0C8C" w:rsidRPr="00EE0C8C" w:rsidTr="00A76BDB">
        <w:trPr>
          <w:jc w:val="center"/>
        </w:trPr>
        <w:tc>
          <w:tcPr>
            <w:tcW w:w="2802"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Razem</w:t>
            </w:r>
          </w:p>
        </w:tc>
        <w:tc>
          <w:tcPr>
            <w:tcW w:w="1275"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944</w:t>
            </w:r>
          </w:p>
        </w:tc>
        <w:tc>
          <w:tcPr>
            <w:tcW w:w="1449"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901</w:t>
            </w:r>
          </w:p>
        </w:tc>
        <w:tc>
          <w:tcPr>
            <w:tcW w:w="1843"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505</w:t>
            </w:r>
          </w:p>
        </w:tc>
        <w:tc>
          <w:tcPr>
            <w:tcW w:w="1843"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127</w:t>
            </w:r>
          </w:p>
        </w:tc>
      </w:tr>
      <w:tr w:rsidR="00EE0C8C" w:rsidRPr="00EE0C8C" w:rsidTr="00A76BDB">
        <w:trPr>
          <w:jc w:val="center"/>
        </w:trPr>
        <w:tc>
          <w:tcPr>
            <w:tcW w:w="2802"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Mirzec II</w:t>
            </w:r>
          </w:p>
        </w:tc>
        <w:tc>
          <w:tcPr>
            <w:tcW w:w="1275" w:type="dxa"/>
          </w:tcPr>
          <w:p w:rsidR="00EE0C8C" w:rsidRPr="00EE0C8C" w:rsidRDefault="00EE0C8C" w:rsidP="00EE0C8C">
            <w:pPr>
              <w:tabs>
                <w:tab w:val="center" w:pos="4536"/>
                <w:tab w:val="right" w:pos="9072"/>
              </w:tabs>
              <w:jc w:val="both"/>
              <w:rPr>
                <w:rFonts w:ascii="Calibri" w:eastAsiaTheme="minorHAnsi" w:hAnsi="Calibri"/>
                <w:sz w:val="24"/>
                <w:szCs w:val="24"/>
              </w:rPr>
            </w:pPr>
          </w:p>
        </w:tc>
        <w:tc>
          <w:tcPr>
            <w:tcW w:w="1449" w:type="dxa"/>
          </w:tcPr>
          <w:p w:rsidR="00EE0C8C" w:rsidRPr="00EE0C8C" w:rsidRDefault="00EE0C8C" w:rsidP="00EE0C8C">
            <w:pPr>
              <w:tabs>
                <w:tab w:val="center" w:pos="4536"/>
                <w:tab w:val="right" w:pos="9072"/>
              </w:tabs>
              <w:jc w:val="both"/>
              <w:rPr>
                <w:rFonts w:ascii="Calibri" w:eastAsiaTheme="minorHAnsi" w:hAnsi="Calibri"/>
                <w:sz w:val="24"/>
                <w:szCs w:val="24"/>
              </w:rPr>
            </w:pPr>
          </w:p>
        </w:tc>
        <w:tc>
          <w:tcPr>
            <w:tcW w:w="1843" w:type="dxa"/>
          </w:tcPr>
          <w:p w:rsidR="00EE0C8C" w:rsidRPr="00EE0C8C" w:rsidRDefault="00EE0C8C" w:rsidP="00EE0C8C">
            <w:pPr>
              <w:tabs>
                <w:tab w:val="center" w:pos="4536"/>
                <w:tab w:val="right" w:pos="9072"/>
              </w:tabs>
              <w:jc w:val="both"/>
              <w:rPr>
                <w:rFonts w:ascii="Calibri" w:eastAsiaTheme="minorHAnsi" w:hAnsi="Calibri"/>
                <w:sz w:val="24"/>
                <w:szCs w:val="24"/>
              </w:rPr>
            </w:pPr>
          </w:p>
        </w:tc>
        <w:tc>
          <w:tcPr>
            <w:tcW w:w="1843" w:type="dxa"/>
          </w:tcPr>
          <w:p w:rsidR="00EE0C8C" w:rsidRPr="00EE0C8C" w:rsidRDefault="00EE0C8C" w:rsidP="00EE0C8C">
            <w:pPr>
              <w:tabs>
                <w:tab w:val="center" w:pos="4536"/>
                <w:tab w:val="right" w:pos="9072"/>
              </w:tabs>
              <w:jc w:val="both"/>
              <w:rPr>
                <w:rFonts w:ascii="Calibri" w:eastAsiaTheme="minorHAnsi" w:hAnsi="Calibri"/>
                <w:sz w:val="24"/>
                <w:szCs w:val="24"/>
              </w:rPr>
            </w:pPr>
          </w:p>
        </w:tc>
      </w:tr>
      <w:tr w:rsidR="00EE0C8C" w:rsidRPr="00EE0C8C" w:rsidTr="00A76BDB">
        <w:trPr>
          <w:jc w:val="center"/>
        </w:trPr>
        <w:tc>
          <w:tcPr>
            <w:tcW w:w="2802"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 xml:space="preserve">Czerwona                    </w:t>
            </w:r>
          </w:p>
        </w:tc>
        <w:tc>
          <w:tcPr>
            <w:tcW w:w="1275"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 xml:space="preserve">  83</w:t>
            </w:r>
          </w:p>
        </w:tc>
        <w:tc>
          <w:tcPr>
            <w:tcW w:w="1449"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 xml:space="preserve">  84</w:t>
            </w:r>
          </w:p>
        </w:tc>
        <w:tc>
          <w:tcPr>
            <w:tcW w:w="1843"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 xml:space="preserve">  44</w:t>
            </w:r>
          </w:p>
        </w:tc>
        <w:tc>
          <w:tcPr>
            <w:tcW w:w="1843"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16</w:t>
            </w:r>
          </w:p>
        </w:tc>
      </w:tr>
      <w:tr w:rsidR="00EE0C8C" w:rsidRPr="00EE0C8C" w:rsidTr="00A76BDB">
        <w:trPr>
          <w:jc w:val="center"/>
        </w:trPr>
        <w:tc>
          <w:tcPr>
            <w:tcW w:w="2802"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 xml:space="preserve">Korzonek                     </w:t>
            </w:r>
          </w:p>
        </w:tc>
        <w:tc>
          <w:tcPr>
            <w:tcW w:w="1275"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 xml:space="preserve">  60</w:t>
            </w:r>
          </w:p>
        </w:tc>
        <w:tc>
          <w:tcPr>
            <w:tcW w:w="1449"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 xml:space="preserve">  60</w:t>
            </w:r>
          </w:p>
        </w:tc>
        <w:tc>
          <w:tcPr>
            <w:tcW w:w="1843"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 xml:space="preserve">  27</w:t>
            </w:r>
          </w:p>
        </w:tc>
        <w:tc>
          <w:tcPr>
            <w:tcW w:w="1843"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 xml:space="preserve">  7</w:t>
            </w:r>
          </w:p>
        </w:tc>
      </w:tr>
      <w:tr w:rsidR="00EE0C8C" w:rsidRPr="00EE0C8C" w:rsidTr="00A76BDB">
        <w:trPr>
          <w:jc w:val="center"/>
        </w:trPr>
        <w:tc>
          <w:tcPr>
            <w:tcW w:w="2802"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 xml:space="preserve">Ogrody                        </w:t>
            </w:r>
          </w:p>
        </w:tc>
        <w:tc>
          <w:tcPr>
            <w:tcW w:w="1275"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 xml:space="preserve">  75</w:t>
            </w:r>
          </w:p>
        </w:tc>
        <w:tc>
          <w:tcPr>
            <w:tcW w:w="1449"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 xml:space="preserve">  75</w:t>
            </w:r>
          </w:p>
        </w:tc>
        <w:tc>
          <w:tcPr>
            <w:tcW w:w="1843"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 xml:space="preserve">  31</w:t>
            </w:r>
          </w:p>
        </w:tc>
        <w:tc>
          <w:tcPr>
            <w:tcW w:w="1843"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 xml:space="preserve">  7</w:t>
            </w:r>
          </w:p>
        </w:tc>
      </w:tr>
      <w:tr w:rsidR="00EE0C8C" w:rsidRPr="00EE0C8C" w:rsidTr="00A76BDB">
        <w:trPr>
          <w:trHeight w:val="450"/>
          <w:jc w:val="center"/>
        </w:trPr>
        <w:tc>
          <w:tcPr>
            <w:tcW w:w="2802" w:type="dxa"/>
            <w:tcBorders>
              <w:bottom w:val="single" w:sz="4" w:space="0" w:color="auto"/>
            </w:tcBorders>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Podborki</w:t>
            </w:r>
          </w:p>
          <w:p w:rsidR="00EE0C8C" w:rsidRPr="00EE0C8C" w:rsidRDefault="00EE0C8C" w:rsidP="00EE0C8C">
            <w:pPr>
              <w:tabs>
                <w:tab w:val="center" w:pos="4536"/>
                <w:tab w:val="right" w:pos="9072"/>
              </w:tabs>
              <w:jc w:val="both"/>
              <w:rPr>
                <w:rFonts w:ascii="Calibri" w:eastAsiaTheme="minorHAnsi" w:hAnsi="Calibri"/>
                <w:sz w:val="24"/>
                <w:szCs w:val="24"/>
              </w:rPr>
            </w:pPr>
          </w:p>
        </w:tc>
        <w:tc>
          <w:tcPr>
            <w:tcW w:w="1275" w:type="dxa"/>
            <w:tcBorders>
              <w:bottom w:val="single" w:sz="4" w:space="0" w:color="auto"/>
            </w:tcBorders>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179</w:t>
            </w:r>
          </w:p>
        </w:tc>
        <w:tc>
          <w:tcPr>
            <w:tcW w:w="1449" w:type="dxa"/>
            <w:tcBorders>
              <w:bottom w:val="single" w:sz="4" w:space="0" w:color="auto"/>
            </w:tcBorders>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181</w:t>
            </w:r>
          </w:p>
        </w:tc>
        <w:tc>
          <w:tcPr>
            <w:tcW w:w="1843" w:type="dxa"/>
            <w:tcBorders>
              <w:bottom w:val="single" w:sz="4" w:space="0" w:color="auto"/>
            </w:tcBorders>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 xml:space="preserve">  90</w:t>
            </w:r>
          </w:p>
        </w:tc>
        <w:tc>
          <w:tcPr>
            <w:tcW w:w="1843" w:type="dxa"/>
            <w:tcBorders>
              <w:bottom w:val="single" w:sz="4" w:space="0" w:color="auto"/>
            </w:tcBorders>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20</w:t>
            </w:r>
          </w:p>
        </w:tc>
      </w:tr>
      <w:tr w:rsidR="00EE0C8C" w:rsidRPr="00EE0C8C" w:rsidTr="00A76BDB">
        <w:trPr>
          <w:trHeight w:val="420"/>
          <w:jc w:val="center"/>
        </w:trPr>
        <w:tc>
          <w:tcPr>
            <w:tcW w:w="2802" w:type="dxa"/>
            <w:tcBorders>
              <w:top w:val="single" w:sz="4" w:space="0" w:color="auto"/>
            </w:tcBorders>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Poduchowne</w:t>
            </w:r>
          </w:p>
        </w:tc>
        <w:tc>
          <w:tcPr>
            <w:tcW w:w="1275" w:type="dxa"/>
            <w:tcBorders>
              <w:top w:val="single" w:sz="4" w:space="0" w:color="auto"/>
            </w:tcBorders>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108</w:t>
            </w:r>
          </w:p>
        </w:tc>
        <w:tc>
          <w:tcPr>
            <w:tcW w:w="1449" w:type="dxa"/>
            <w:tcBorders>
              <w:top w:val="single" w:sz="4" w:space="0" w:color="auto"/>
            </w:tcBorders>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110</w:t>
            </w:r>
          </w:p>
        </w:tc>
        <w:tc>
          <w:tcPr>
            <w:tcW w:w="1843" w:type="dxa"/>
            <w:tcBorders>
              <w:top w:val="single" w:sz="4" w:space="0" w:color="auto"/>
            </w:tcBorders>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 xml:space="preserve">  55</w:t>
            </w:r>
          </w:p>
        </w:tc>
        <w:tc>
          <w:tcPr>
            <w:tcW w:w="1843" w:type="dxa"/>
            <w:tcBorders>
              <w:top w:val="single" w:sz="4" w:space="0" w:color="auto"/>
            </w:tcBorders>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13</w:t>
            </w:r>
          </w:p>
        </w:tc>
      </w:tr>
      <w:tr w:rsidR="00EE0C8C" w:rsidRPr="00EE0C8C" w:rsidTr="00A76BDB">
        <w:trPr>
          <w:jc w:val="center"/>
        </w:trPr>
        <w:tc>
          <w:tcPr>
            <w:tcW w:w="2802"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Podkowalów</w:t>
            </w:r>
          </w:p>
        </w:tc>
        <w:tc>
          <w:tcPr>
            <w:tcW w:w="1275"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 xml:space="preserve">  86</w:t>
            </w:r>
          </w:p>
        </w:tc>
        <w:tc>
          <w:tcPr>
            <w:tcW w:w="1449"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 xml:space="preserve">  86</w:t>
            </w:r>
          </w:p>
        </w:tc>
        <w:tc>
          <w:tcPr>
            <w:tcW w:w="1843"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 xml:space="preserve">  39</w:t>
            </w:r>
          </w:p>
        </w:tc>
        <w:tc>
          <w:tcPr>
            <w:tcW w:w="1843"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 xml:space="preserve">  6</w:t>
            </w:r>
          </w:p>
        </w:tc>
      </w:tr>
      <w:tr w:rsidR="00EE0C8C" w:rsidRPr="00EE0C8C" w:rsidTr="00A76BDB">
        <w:trPr>
          <w:jc w:val="center"/>
        </w:trPr>
        <w:tc>
          <w:tcPr>
            <w:tcW w:w="2802"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Mirzec Stary</w:t>
            </w:r>
          </w:p>
        </w:tc>
        <w:tc>
          <w:tcPr>
            <w:tcW w:w="1275"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104</w:t>
            </w:r>
          </w:p>
        </w:tc>
        <w:tc>
          <w:tcPr>
            <w:tcW w:w="1449"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108</w:t>
            </w:r>
          </w:p>
        </w:tc>
        <w:tc>
          <w:tcPr>
            <w:tcW w:w="1843"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 xml:space="preserve">  50</w:t>
            </w:r>
          </w:p>
        </w:tc>
        <w:tc>
          <w:tcPr>
            <w:tcW w:w="1843"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12</w:t>
            </w:r>
          </w:p>
        </w:tc>
      </w:tr>
      <w:tr w:rsidR="00EE0C8C" w:rsidRPr="00EE0C8C" w:rsidTr="00A76BDB">
        <w:trPr>
          <w:jc w:val="center"/>
        </w:trPr>
        <w:tc>
          <w:tcPr>
            <w:tcW w:w="2802"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ul. Langiewicza</w:t>
            </w:r>
          </w:p>
        </w:tc>
        <w:tc>
          <w:tcPr>
            <w:tcW w:w="1275"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106</w:t>
            </w:r>
          </w:p>
        </w:tc>
        <w:tc>
          <w:tcPr>
            <w:tcW w:w="1449"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150</w:t>
            </w:r>
          </w:p>
        </w:tc>
        <w:tc>
          <w:tcPr>
            <w:tcW w:w="1843"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 xml:space="preserve"> 125</w:t>
            </w:r>
          </w:p>
        </w:tc>
        <w:tc>
          <w:tcPr>
            <w:tcW w:w="1843"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38</w:t>
            </w:r>
          </w:p>
        </w:tc>
      </w:tr>
      <w:tr w:rsidR="00EE0C8C" w:rsidRPr="00EE0C8C" w:rsidTr="00A76BDB">
        <w:trPr>
          <w:jc w:val="center"/>
        </w:trPr>
        <w:tc>
          <w:tcPr>
            <w:tcW w:w="2802"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ul. Modrzewiowa</w:t>
            </w:r>
          </w:p>
        </w:tc>
        <w:tc>
          <w:tcPr>
            <w:tcW w:w="1275"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 xml:space="preserve">  13</w:t>
            </w:r>
          </w:p>
        </w:tc>
        <w:tc>
          <w:tcPr>
            <w:tcW w:w="1449"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 xml:space="preserve">  12</w:t>
            </w:r>
          </w:p>
        </w:tc>
        <w:tc>
          <w:tcPr>
            <w:tcW w:w="1843"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 xml:space="preserve">    3</w:t>
            </w:r>
          </w:p>
        </w:tc>
        <w:tc>
          <w:tcPr>
            <w:tcW w:w="1843"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 xml:space="preserve">  4</w:t>
            </w:r>
          </w:p>
        </w:tc>
      </w:tr>
      <w:tr w:rsidR="00EE0C8C" w:rsidRPr="00EE0C8C" w:rsidTr="00A76BDB">
        <w:trPr>
          <w:jc w:val="center"/>
        </w:trPr>
        <w:tc>
          <w:tcPr>
            <w:tcW w:w="2802"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lastRenderedPageBreak/>
              <w:t>ul. Prendowskiej</w:t>
            </w:r>
          </w:p>
        </w:tc>
        <w:tc>
          <w:tcPr>
            <w:tcW w:w="1275"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 xml:space="preserve">    6</w:t>
            </w:r>
          </w:p>
        </w:tc>
        <w:tc>
          <w:tcPr>
            <w:tcW w:w="1449"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 xml:space="preserve">    6</w:t>
            </w:r>
          </w:p>
        </w:tc>
        <w:tc>
          <w:tcPr>
            <w:tcW w:w="1843"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 xml:space="preserve">    3</w:t>
            </w:r>
          </w:p>
        </w:tc>
        <w:tc>
          <w:tcPr>
            <w:tcW w:w="1843"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 xml:space="preserve">  2</w:t>
            </w:r>
          </w:p>
        </w:tc>
      </w:tr>
      <w:tr w:rsidR="00EE0C8C" w:rsidRPr="00EE0C8C" w:rsidTr="00A76BDB">
        <w:trPr>
          <w:jc w:val="center"/>
        </w:trPr>
        <w:tc>
          <w:tcPr>
            <w:tcW w:w="2802"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Razem</w:t>
            </w:r>
          </w:p>
        </w:tc>
        <w:tc>
          <w:tcPr>
            <w:tcW w:w="1275"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820</w:t>
            </w:r>
          </w:p>
        </w:tc>
        <w:tc>
          <w:tcPr>
            <w:tcW w:w="1449"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872</w:t>
            </w:r>
          </w:p>
        </w:tc>
        <w:tc>
          <w:tcPr>
            <w:tcW w:w="1843"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467</w:t>
            </w:r>
          </w:p>
        </w:tc>
        <w:tc>
          <w:tcPr>
            <w:tcW w:w="1843"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125</w:t>
            </w:r>
          </w:p>
        </w:tc>
      </w:tr>
      <w:tr w:rsidR="00EE0C8C" w:rsidRPr="00EE0C8C" w:rsidTr="00A76BDB">
        <w:trPr>
          <w:trHeight w:val="480"/>
          <w:jc w:val="center"/>
        </w:trPr>
        <w:tc>
          <w:tcPr>
            <w:tcW w:w="2802"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Gadka</w:t>
            </w:r>
          </w:p>
        </w:tc>
        <w:tc>
          <w:tcPr>
            <w:tcW w:w="1275"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875</w:t>
            </w:r>
          </w:p>
        </w:tc>
        <w:tc>
          <w:tcPr>
            <w:tcW w:w="1449"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878</w:t>
            </w:r>
          </w:p>
        </w:tc>
        <w:tc>
          <w:tcPr>
            <w:tcW w:w="1843"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411</w:t>
            </w:r>
          </w:p>
        </w:tc>
        <w:tc>
          <w:tcPr>
            <w:tcW w:w="1843"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118</w:t>
            </w:r>
          </w:p>
        </w:tc>
      </w:tr>
      <w:tr w:rsidR="00EE0C8C" w:rsidRPr="00EE0C8C" w:rsidTr="00A76BDB">
        <w:trPr>
          <w:jc w:val="center"/>
        </w:trPr>
        <w:tc>
          <w:tcPr>
            <w:tcW w:w="2802"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Jagodne</w:t>
            </w:r>
          </w:p>
        </w:tc>
        <w:tc>
          <w:tcPr>
            <w:tcW w:w="1275"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439</w:t>
            </w:r>
          </w:p>
        </w:tc>
        <w:tc>
          <w:tcPr>
            <w:tcW w:w="1449"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444</w:t>
            </w:r>
          </w:p>
        </w:tc>
        <w:tc>
          <w:tcPr>
            <w:tcW w:w="1843"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171</w:t>
            </w:r>
          </w:p>
        </w:tc>
        <w:tc>
          <w:tcPr>
            <w:tcW w:w="1843"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 xml:space="preserve">  22</w:t>
            </w:r>
          </w:p>
        </w:tc>
      </w:tr>
      <w:tr w:rsidR="00EE0C8C" w:rsidRPr="00EE0C8C" w:rsidTr="00A76BDB">
        <w:trPr>
          <w:jc w:val="center"/>
        </w:trPr>
        <w:tc>
          <w:tcPr>
            <w:tcW w:w="2802"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Krzewa</w:t>
            </w:r>
          </w:p>
        </w:tc>
        <w:tc>
          <w:tcPr>
            <w:tcW w:w="1275"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 xml:space="preserve">  24</w:t>
            </w:r>
          </w:p>
        </w:tc>
        <w:tc>
          <w:tcPr>
            <w:tcW w:w="1449"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 xml:space="preserve">  24</w:t>
            </w:r>
          </w:p>
        </w:tc>
        <w:tc>
          <w:tcPr>
            <w:tcW w:w="1843"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 xml:space="preserve">  14</w:t>
            </w:r>
          </w:p>
        </w:tc>
        <w:tc>
          <w:tcPr>
            <w:tcW w:w="1843"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 xml:space="preserve">    3</w:t>
            </w:r>
          </w:p>
        </w:tc>
      </w:tr>
      <w:tr w:rsidR="00EE0C8C" w:rsidRPr="00EE0C8C" w:rsidTr="00A76BDB">
        <w:trPr>
          <w:jc w:val="center"/>
        </w:trPr>
        <w:tc>
          <w:tcPr>
            <w:tcW w:w="2802"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Małyszyn</w:t>
            </w:r>
          </w:p>
        </w:tc>
        <w:tc>
          <w:tcPr>
            <w:tcW w:w="1275"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367</w:t>
            </w:r>
          </w:p>
        </w:tc>
        <w:tc>
          <w:tcPr>
            <w:tcW w:w="1449"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369</w:t>
            </w:r>
          </w:p>
        </w:tc>
        <w:tc>
          <w:tcPr>
            <w:tcW w:w="1843"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150</w:t>
            </w:r>
          </w:p>
        </w:tc>
        <w:tc>
          <w:tcPr>
            <w:tcW w:w="1843"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 xml:space="preserve">  77</w:t>
            </w:r>
          </w:p>
        </w:tc>
      </w:tr>
      <w:tr w:rsidR="00EE0C8C" w:rsidRPr="00EE0C8C" w:rsidTr="00A76BDB">
        <w:trPr>
          <w:jc w:val="center"/>
        </w:trPr>
        <w:tc>
          <w:tcPr>
            <w:tcW w:w="2802"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Osiny</w:t>
            </w:r>
          </w:p>
        </w:tc>
        <w:tc>
          <w:tcPr>
            <w:tcW w:w="1275"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678</w:t>
            </w:r>
          </w:p>
        </w:tc>
        <w:tc>
          <w:tcPr>
            <w:tcW w:w="1449"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679</w:t>
            </w:r>
          </w:p>
        </w:tc>
        <w:tc>
          <w:tcPr>
            <w:tcW w:w="1843"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347</w:t>
            </w:r>
          </w:p>
        </w:tc>
        <w:tc>
          <w:tcPr>
            <w:tcW w:w="1843"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116</w:t>
            </w:r>
          </w:p>
        </w:tc>
      </w:tr>
      <w:tr w:rsidR="00EE0C8C" w:rsidRPr="00EE0C8C" w:rsidTr="00A76BDB">
        <w:trPr>
          <w:jc w:val="center"/>
        </w:trPr>
        <w:tc>
          <w:tcPr>
            <w:tcW w:w="2802"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Ostrożanka</w:t>
            </w:r>
          </w:p>
        </w:tc>
        <w:tc>
          <w:tcPr>
            <w:tcW w:w="1275"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169</w:t>
            </w:r>
          </w:p>
        </w:tc>
        <w:tc>
          <w:tcPr>
            <w:tcW w:w="1449"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172</w:t>
            </w:r>
          </w:p>
        </w:tc>
        <w:tc>
          <w:tcPr>
            <w:tcW w:w="1843"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 xml:space="preserve">  81</w:t>
            </w:r>
          </w:p>
        </w:tc>
        <w:tc>
          <w:tcPr>
            <w:tcW w:w="1843"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 xml:space="preserve">  49</w:t>
            </w:r>
          </w:p>
        </w:tc>
      </w:tr>
      <w:tr w:rsidR="00EE0C8C" w:rsidRPr="00EE0C8C" w:rsidTr="00A76BDB">
        <w:trPr>
          <w:jc w:val="center"/>
        </w:trPr>
        <w:tc>
          <w:tcPr>
            <w:tcW w:w="2802"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Trębowiec</w:t>
            </w:r>
          </w:p>
        </w:tc>
        <w:tc>
          <w:tcPr>
            <w:tcW w:w="1275"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 xml:space="preserve">  473</w:t>
            </w:r>
          </w:p>
        </w:tc>
        <w:tc>
          <w:tcPr>
            <w:tcW w:w="1449"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478</w:t>
            </w:r>
          </w:p>
        </w:tc>
        <w:tc>
          <w:tcPr>
            <w:tcW w:w="1843"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226</w:t>
            </w:r>
          </w:p>
        </w:tc>
        <w:tc>
          <w:tcPr>
            <w:tcW w:w="1843"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 xml:space="preserve">  65</w:t>
            </w:r>
          </w:p>
        </w:tc>
      </w:tr>
      <w:tr w:rsidR="00EE0C8C" w:rsidRPr="00EE0C8C" w:rsidTr="00A76BDB">
        <w:trPr>
          <w:jc w:val="center"/>
        </w:trPr>
        <w:tc>
          <w:tcPr>
            <w:tcW w:w="2802"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Tychów Nowy</w:t>
            </w:r>
          </w:p>
        </w:tc>
        <w:tc>
          <w:tcPr>
            <w:tcW w:w="1275"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 xml:space="preserve">  481</w:t>
            </w:r>
          </w:p>
        </w:tc>
        <w:tc>
          <w:tcPr>
            <w:tcW w:w="1449"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485</w:t>
            </w:r>
          </w:p>
        </w:tc>
        <w:tc>
          <w:tcPr>
            <w:tcW w:w="1843"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262</w:t>
            </w:r>
          </w:p>
        </w:tc>
        <w:tc>
          <w:tcPr>
            <w:tcW w:w="1843"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 xml:space="preserve">  95</w:t>
            </w:r>
          </w:p>
        </w:tc>
      </w:tr>
      <w:tr w:rsidR="00EE0C8C" w:rsidRPr="00EE0C8C" w:rsidTr="00A76BDB">
        <w:trPr>
          <w:jc w:val="center"/>
        </w:trPr>
        <w:tc>
          <w:tcPr>
            <w:tcW w:w="2802"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Tychów Stary</w:t>
            </w:r>
          </w:p>
        </w:tc>
        <w:tc>
          <w:tcPr>
            <w:tcW w:w="1275"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 xml:space="preserve">  475</w:t>
            </w:r>
          </w:p>
        </w:tc>
        <w:tc>
          <w:tcPr>
            <w:tcW w:w="1449"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475</w:t>
            </w:r>
          </w:p>
        </w:tc>
        <w:tc>
          <w:tcPr>
            <w:tcW w:w="1843"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274</w:t>
            </w:r>
          </w:p>
        </w:tc>
        <w:tc>
          <w:tcPr>
            <w:tcW w:w="1843"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 xml:space="preserve">  91</w:t>
            </w:r>
          </w:p>
        </w:tc>
      </w:tr>
      <w:tr w:rsidR="00EE0C8C" w:rsidRPr="00EE0C8C" w:rsidTr="00A76BDB">
        <w:trPr>
          <w:jc w:val="center"/>
        </w:trPr>
        <w:tc>
          <w:tcPr>
            <w:tcW w:w="2802"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Razem</w:t>
            </w:r>
          </w:p>
        </w:tc>
        <w:tc>
          <w:tcPr>
            <w:tcW w:w="1275"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3.981</w:t>
            </w:r>
          </w:p>
        </w:tc>
        <w:tc>
          <w:tcPr>
            <w:tcW w:w="1449"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4.004</w:t>
            </w:r>
          </w:p>
        </w:tc>
        <w:tc>
          <w:tcPr>
            <w:tcW w:w="1843"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1.936</w:t>
            </w:r>
          </w:p>
        </w:tc>
        <w:tc>
          <w:tcPr>
            <w:tcW w:w="1843"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636</w:t>
            </w:r>
          </w:p>
        </w:tc>
      </w:tr>
      <w:tr w:rsidR="00EE0C8C" w:rsidRPr="00EE0C8C" w:rsidTr="00A76BDB">
        <w:trPr>
          <w:jc w:val="center"/>
        </w:trPr>
        <w:tc>
          <w:tcPr>
            <w:tcW w:w="2802"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Pozostałe miejscowości</w:t>
            </w:r>
          </w:p>
        </w:tc>
        <w:tc>
          <w:tcPr>
            <w:tcW w:w="1275"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 xml:space="preserve">   389</w:t>
            </w:r>
          </w:p>
        </w:tc>
        <w:tc>
          <w:tcPr>
            <w:tcW w:w="1449"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 xml:space="preserve">   395</w:t>
            </w:r>
          </w:p>
        </w:tc>
        <w:tc>
          <w:tcPr>
            <w:tcW w:w="1843"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 xml:space="preserve">      13</w:t>
            </w:r>
          </w:p>
        </w:tc>
        <w:tc>
          <w:tcPr>
            <w:tcW w:w="1843"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 xml:space="preserve">  10</w:t>
            </w:r>
          </w:p>
        </w:tc>
      </w:tr>
      <w:tr w:rsidR="00EE0C8C" w:rsidRPr="00EE0C8C" w:rsidTr="00A76BDB">
        <w:trPr>
          <w:jc w:val="center"/>
        </w:trPr>
        <w:tc>
          <w:tcPr>
            <w:tcW w:w="2802"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Ogółem</w:t>
            </w:r>
          </w:p>
        </w:tc>
        <w:tc>
          <w:tcPr>
            <w:tcW w:w="1275"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6.134</w:t>
            </w:r>
          </w:p>
        </w:tc>
        <w:tc>
          <w:tcPr>
            <w:tcW w:w="1449"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6.172</w:t>
            </w:r>
          </w:p>
        </w:tc>
        <w:tc>
          <w:tcPr>
            <w:tcW w:w="1843"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2.921</w:t>
            </w:r>
          </w:p>
        </w:tc>
        <w:tc>
          <w:tcPr>
            <w:tcW w:w="1843"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889</w:t>
            </w:r>
          </w:p>
        </w:tc>
      </w:tr>
    </w:tbl>
    <w:p w:rsidR="00EE0C8C" w:rsidRPr="004140DA" w:rsidRDefault="00EE0C8C" w:rsidP="00EE0C8C">
      <w:pPr>
        <w:jc w:val="both"/>
        <w:rPr>
          <w:rFonts w:ascii="Calibri" w:eastAsia="Times New Roman" w:hAnsi="Calibri" w:cs="Times New Roman"/>
          <w:sz w:val="24"/>
          <w:szCs w:val="24"/>
          <w:lang w:eastAsia="pl-PL"/>
        </w:rPr>
      </w:pPr>
      <w:r w:rsidRPr="00EE0C8C">
        <w:rPr>
          <w:rFonts w:eastAsia="Times New Roman" w:cs="Times New Roman"/>
          <w:b/>
          <w:i/>
          <w:lang w:eastAsia="pl-PL"/>
        </w:rPr>
        <w:t xml:space="preserve">Koncepcja  programowa  </w:t>
      </w:r>
      <w:r w:rsidRPr="00EE0C8C">
        <w:rPr>
          <w:rFonts w:eastAsia="SimSun" w:cs="Times New Roman"/>
          <w:b/>
          <w:i/>
          <w:kern w:val="3"/>
          <w:lang w:eastAsia="zh-CN" w:bidi="hi-IN"/>
        </w:rPr>
        <w:t xml:space="preserve"> gimnastyki korekcyjnej i zapobiegania wadom postawy ciała wśród uczniów z terenu gminy Mirzec na lata 2017 -2022</w:t>
      </w:r>
    </w:p>
    <w:p w:rsidR="00EE0C8C" w:rsidRPr="00EE0C8C" w:rsidRDefault="00EE0C8C" w:rsidP="00EE0C8C">
      <w:pPr>
        <w:jc w:val="both"/>
        <w:rPr>
          <w:rFonts w:eastAsia="Times New Roman" w:cs="Times New Roman"/>
          <w:lang w:eastAsia="pl-PL"/>
        </w:rPr>
      </w:pPr>
      <w:r w:rsidRPr="00EE0C8C">
        <w:rPr>
          <w:rFonts w:eastAsia="Times New Roman" w:cs="Times New Roman"/>
          <w:lang w:eastAsia="pl-PL"/>
        </w:rPr>
        <w:t xml:space="preserve">      Gmina Mirzec planuje opracować  program gimnastyki korekcyjnej i zapobiegania wadom postawy ciała wśród uczniów z terenu gminy Mirzec na lata 2017 -2022. Jest to uzasadnione złymi  wynikami  testów przesiewowych w szkołach podstawowych i w gimnazjum w Mircu w latach szkolnych od 2011r  do 2016r. Zwracają szczególną uwagę  najaktualniejsze wyniki z l.2015-2016 , które  są  wręcz alarmujące.</w:t>
      </w:r>
    </w:p>
    <w:p w:rsidR="00EE0C8C" w:rsidRPr="00EE0C8C" w:rsidRDefault="00EE0C8C" w:rsidP="00EE0C8C">
      <w:pPr>
        <w:jc w:val="both"/>
        <w:rPr>
          <w:rFonts w:eastAsia="Times New Roman" w:cs="Times New Roman"/>
          <w:lang w:eastAsia="pl-PL"/>
        </w:rPr>
      </w:pPr>
      <w:r w:rsidRPr="00EE0C8C">
        <w:rPr>
          <w:rFonts w:eastAsia="Times New Roman" w:cs="Times New Roman"/>
          <w:lang w:eastAsia="pl-PL"/>
        </w:rPr>
        <w:t xml:space="preserve">Gmina Mirzec, aby zapobiec wadom postawy ciała wśród uczniów z terenu gminy Mirzec zgodnie </w:t>
      </w:r>
      <w:r w:rsidRPr="00EE0C8C">
        <w:rPr>
          <w:rFonts w:eastAsia="Times New Roman" w:cs="Times New Roman"/>
          <w:lang w:eastAsia="pl-PL"/>
        </w:rPr>
        <w:br/>
        <w:t xml:space="preserve">z Programem gimnastyki korekcyjnej i zapobiegania wadom postawy ciała wśród uczniów z terenu gminy Mirzec na lata 2017 -2022 zamierza podjąć, takie działania jak : </w:t>
      </w:r>
    </w:p>
    <w:p w:rsidR="00EE0C8C" w:rsidRPr="00EE0C8C" w:rsidRDefault="00EE0C8C" w:rsidP="00EE0C8C">
      <w:pPr>
        <w:spacing w:after="0" w:line="240" w:lineRule="auto"/>
        <w:jc w:val="both"/>
        <w:rPr>
          <w:rFonts w:eastAsia="SimSun" w:cs="Times New Roman"/>
          <w:i/>
          <w:kern w:val="3"/>
          <w:lang w:eastAsia="zh-CN" w:bidi="hi-IN"/>
        </w:rPr>
      </w:pPr>
      <w:r w:rsidRPr="00EE0C8C">
        <w:rPr>
          <w:rFonts w:eastAsia="SimSun" w:cs="Times New Roman"/>
          <w:i/>
          <w:kern w:val="3"/>
          <w:lang w:eastAsia="zh-CN" w:bidi="hi-IN"/>
        </w:rPr>
        <w:t>-powstanie na potrzeby gimnastyki korekcyjnej w plenerze tzw. „zielonej siłowni” w ramach rewitalizacji przestrzeni publicznej( planowana lokalizacja za kompleksem ORLIK w centrum Mirca),</w:t>
      </w:r>
    </w:p>
    <w:p w:rsidR="00EE0C8C" w:rsidRPr="00EE0C8C" w:rsidRDefault="00EE0C8C" w:rsidP="00EE0C8C">
      <w:pPr>
        <w:spacing w:after="0" w:line="240" w:lineRule="auto"/>
        <w:jc w:val="both"/>
        <w:rPr>
          <w:rFonts w:eastAsia="SimSun" w:cs="Times New Roman"/>
          <w:kern w:val="3"/>
          <w:lang w:eastAsia="zh-CN" w:bidi="hi-IN"/>
        </w:rPr>
      </w:pPr>
      <w:r w:rsidRPr="00EE0C8C">
        <w:rPr>
          <w:rFonts w:eastAsia="SimSun" w:cs="Times New Roman"/>
          <w:i/>
          <w:kern w:val="3"/>
          <w:lang w:eastAsia="zh-CN" w:bidi="hi-IN"/>
        </w:rPr>
        <w:t>- zapobieganie wadom postawy z wykorzystaniem elementów kompensacji,</w:t>
      </w:r>
    </w:p>
    <w:p w:rsidR="00EE0C8C" w:rsidRPr="00EE0C8C" w:rsidRDefault="00EE0C8C" w:rsidP="00EE0C8C">
      <w:pPr>
        <w:spacing w:after="0" w:line="240" w:lineRule="auto"/>
        <w:jc w:val="both"/>
        <w:rPr>
          <w:rFonts w:eastAsia="SimSun" w:cs="Times New Roman"/>
          <w:kern w:val="3"/>
          <w:lang w:eastAsia="zh-CN" w:bidi="hi-IN"/>
        </w:rPr>
      </w:pPr>
      <w:r w:rsidRPr="00EE0C8C">
        <w:rPr>
          <w:rFonts w:eastAsia="SimSun" w:cs="Times New Roman"/>
          <w:i/>
          <w:kern w:val="3"/>
          <w:lang w:eastAsia="zh-CN" w:bidi="hi-IN"/>
        </w:rPr>
        <w:t>- stały cykl zajęć profilaktycznych z dziećmi pod kierunkiem fizjoterapeuty,</w:t>
      </w:r>
    </w:p>
    <w:p w:rsidR="00EE0C8C" w:rsidRPr="00EE0C8C" w:rsidRDefault="00EE0C8C" w:rsidP="00EE0C8C">
      <w:pPr>
        <w:spacing w:after="0" w:line="240" w:lineRule="auto"/>
        <w:jc w:val="both"/>
        <w:rPr>
          <w:rFonts w:eastAsia="SimSun" w:cs="Times New Roman"/>
          <w:i/>
          <w:color w:val="000000"/>
          <w:spacing w:val="4"/>
          <w:kern w:val="3"/>
          <w:lang w:eastAsia="zh-CN" w:bidi="hi-IN"/>
        </w:rPr>
      </w:pPr>
      <w:r w:rsidRPr="00EE0C8C">
        <w:rPr>
          <w:rFonts w:eastAsia="SimSun" w:cs="Times New Roman"/>
          <w:i/>
          <w:color w:val="000000"/>
          <w:spacing w:val="4"/>
          <w:kern w:val="3"/>
          <w:lang w:eastAsia="zh-CN" w:bidi="hi-IN"/>
        </w:rPr>
        <w:t>- promocja zdrowia i zdrowego stylu życia z udziałem personelu SPZOZ w Mircu,</w:t>
      </w:r>
    </w:p>
    <w:p w:rsidR="00EE0C8C" w:rsidRPr="00EE0C8C" w:rsidRDefault="00EE0C8C" w:rsidP="00EE0C8C">
      <w:pPr>
        <w:spacing w:after="0" w:line="240" w:lineRule="auto"/>
        <w:jc w:val="both"/>
        <w:rPr>
          <w:rFonts w:eastAsia="Times New Roman" w:cs="Times New Roman"/>
          <w:i/>
          <w:lang w:eastAsia="pl-PL"/>
        </w:rPr>
      </w:pPr>
      <w:r w:rsidRPr="00EE0C8C">
        <w:rPr>
          <w:rFonts w:eastAsia="SimSun" w:cs="Times New Roman"/>
          <w:color w:val="000000"/>
          <w:spacing w:val="4"/>
          <w:kern w:val="3"/>
          <w:lang w:eastAsia="zh-CN" w:bidi="hi-IN"/>
        </w:rPr>
        <w:t xml:space="preserve">- </w:t>
      </w:r>
      <w:r w:rsidRPr="00EE0C8C">
        <w:rPr>
          <w:rFonts w:eastAsia="SimSun" w:cs="Times New Roman"/>
          <w:i/>
          <w:color w:val="000000"/>
          <w:spacing w:val="4"/>
          <w:kern w:val="3"/>
          <w:lang w:eastAsia="zh-CN" w:bidi="hi-IN"/>
        </w:rPr>
        <w:t xml:space="preserve">kompleksowe podejście do rozwiązania  problemu </w:t>
      </w:r>
      <w:r w:rsidRPr="00EE0C8C">
        <w:rPr>
          <w:rFonts w:eastAsia="Times New Roman" w:cs="Times New Roman"/>
          <w:i/>
          <w:lang w:eastAsia="pl-PL"/>
        </w:rPr>
        <w:t>wyników  testów przesiewowych w szkołach podstawowych i w gimnazjum w Mircu w latach szkolnych od 2011r  do 2016r.</w:t>
      </w:r>
    </w:p>
    <w:p w:rsidR="00EE0C8C" w:rsidRPr="00EE0C8C" w:rsidRDefault="00EE0C8C" w:rsidP="00EE0C8C">
      <w:pPr>
        <w:jc w:val="both"/>
        <w:rPr>
          <w:rFonts w:eastAsia="Times New Roman" w:cs="Times New Roman"/>
          <w:lang w:eastAsia="pl-PL"/>
        </w:rPr>
      </w:pPr>
    </w:p>
    <w:p w:rsidR="00EE0C8C" w:rsidRPr="00EE0C8C" w:rsidRDefault="00EE0C8C" w:rsidP="00EE0C8C">
      <w:pPr>
        <w:jc w:val="both"/>
        <w:rPr>
          <w:rFonts w:eastAsia="Times New Roman" w:cs="Times New Roman"/>
          <w:lang w:eastAsia="pl-PL"/>
        </w:rPr>
      </w:pPr>
      <w:r w:rsidRPr="00EE0C8C">
        <w:rPr>
          <w:rFonts w:eastAsia="Times New Roman" w:cs="Times New Roman"/>
          <w:lang w:eastAsia="pl-PL"/>
        </w:rPr>
        <w:t>W programie planowana jest realizacja  ,takich  zadań jak:</w:t>
      </w:r>
    </w:p>
    <w:p w:rsidR="00EE0C8C" w:rsidRPr="00EE0C8C" w:rsidRDefault="00EE0C8C" w:rsidP="00EE0C8C">
      <w:pPr>
        <w:spacing w:after="0" w:line="240" w:lineRule="auto"/>
        <w:jc w:val="both"/>
        <w:rPr>
          <w:rFonts w:eastAsia="Times New Roman" w:cs="Times New Roman"/>
          <w:lang w:eastAsia="pl-PL"/>
        </w:rPr>
      </w:pPr>
      <w:r w:rsidRPr="00EE0C8C">
        <w:rPr>
          <w:rFonts w:eastAsia="Times New Roman" w:cs="Times New Roman"/>
          <w:lang w:eastAsia="pl-PL"/>
        </w:rPr>
        <w:t>-Prowadzanie rejestracji dzieci do lekarza specjalisty;</w:t>
      </w:r>
    </w:p>
    <w:p w:rsidR="00EE0C8C" w:rsidRPr="00EE0C8C" w:rsidRDefault="00EE0C8C" w:rsidP="00EE0C8C">
      <w:pPr>
        <w:spacing w:after="0" w:line="240" w:lineRule="auto"/>
        <w:jc w:val="both"/>
        <w:rPr>
          <w:rFonts w:eastAsia="Times New Roman" w:cs="Times New Roman"/>
          <w:lang w:eastAsia="pl-PL"/>
        </w:rPr>
      </w:pPr>
      <w:r w:rsidRPr="00EE0C8C">
        <w:rPr>
          <w:rFonts w:eastAsia="Times New Roman" w:cs="Times New Roman"/>
          <w:lang w:eastAsia="pl-PL"/>
        </w:rPr>
        <w:t>-Wykonywanie badań kwalifikujących do programu;</w:t>
      </w:r>
    </w:p>
    <w:p w:rsidR="00EE0C8C" w:rsidRPr="00EE0C8C" w:rsidRDefault="00EE0C8C" w:rsidP="00EE0C8C">
      <w:pPr>
        <w:spacing w:after="0" w:line="240" w:lineRule="auto"/>
        <w:jc w:val="both"/>
        <w:rPr>
          <w:rFonts w:eastAsia="Times New Roman" w:cs="Times New Roman"/>
          <w:lang w:eastAsia="pl-PL"/>
        </w:rPr>
      </w:pPr>
      <w:r w:rsidRPr="00EE0C8C">
        <w:rPr>
          <w:rFonts w:eastAsia="Times New Roman" w:cs="Times New Roman"/>
          <w:lang w:eastAsia="pl-PL"/>
        </w:rPr>
        <w:t xml:space="preserve">-Gimnastyka korekcyjna w plenerze na tzw. zielonej siłowni z   udziałem fizjoterapeuty </w:t>
      </w:r>
      <w:r w:rsidRPr="00EE0C8C">
        <w:rPr>
          <w:rFonts w:eastAsia="Times New Roman" w:cs="Times New Roman"/>
          <w:lang w:eastAsia="pl-PL"/>
        </w:rPr>
        <w:br/>
        <w:t>z elementami kompensacji i kinezyterapii ;</w:t>
      </w:r>
    </w:p>
    <w:p w:rsidR="00EE0C8C" w:rsidRPr="00EE0C8C" w:rsidRDefault="00EE0C8C" w:rsidP="00EE0C8C">
      <w:pPr>
        <w:spacing w:after="0" w:line="240" w:lineRule="auto"/>
        <w:jc w:val="both"/>
        <w:rPr>
          <w:rFonts w:eastAsia="Times New Roman" w:cs="Times New Roman"/>
          <w:lang w:eastAsia="pl-PL"/>
        </w:rPr>
      </w:pPr>
      <w:r w:rsidRPr="00EE0C8C">
        <w:rPr>
          <w:rFonts w:eastAsia="Times New Roman" w:cs="Times New Roman"/>
          <w:lang w:eastAsia="pl-PL"/>
        </w:rPr>
        <w:t>-Udzielanie indywidualnych instruktaży ćwiczeń korekcyjnych do wykonywania w domu .</w:t>
      </w:r>
    </w:p>
    <w:p w:rsidR="00EE0C8C" w:rsidRPr="00EE0C8C" w:rsidRDefault="00EE0C8C" w:rsidP="00EE0C8C">
      <w:pPr>
        <w:jc w:val="both"/>
        <w:rPr>
          <w:rFonts w:eastAsia="Times New Roman" w:cs="Times New Roman"/>
          <w:lang w:eastAsia="pl-PL"/>
        </w:rPr>
      </w:pPr>
    </w:p>
    <w:p w:rsidR="00EE0C8C" w:rsidRPr="00EE0C8C" w:rsidRDefault="00EE0C8C" w:rsidP="00EE0C8C">
      <w:pPr>
        <w:jc w:val="both"/>
        <w:rPr>
          <w:rFonts w:eastAsia="Times New Roman" w:cs="Times New Roman"/>
          <w:lang w:eastAsia="pl-PL"/>
        </w:rPr>
      </w:pPr>
      <w:r w:rsidRPr="00EE0C8C">
        <w:rPr>
          <w:rFonts w:eastAsia="Times New Roman" w:cs="Times New Roman"/>
          <w:lang w:eastAsia="pl-PL"/>
        </w:rPr>
        <w:t xml:space="preserve">Tabela nr 1 .  Wyniki testów przesiewowych ze szkół podstawowych w gminie Mirzec </w:t>
      </w:r>
    </w:p>
    <w:tbl>
      <w:tblPr>
        <w:tblStyle w:val="Tabela-Siatka5"/>
        <w:tblW w:w="0" w:type="auto"/>
        <w:jc w:val="center"/>
        <w:tblLook w:val="04A0" w:firstRow="1" w:lastRow="0" w:firstColumn="1" w:lastColumn="0" w:noHBand="0" w:noVBand="1"/>
      </w:tblPr>
      <w:tblGrid>
        <w:gridCol w:w="1630"/>
        <w:gridCol w:w="1782"/>
        <w:gridCol w:w="1749"/>
        <w:gridCol w:w="1792"/>
        <w:gridCol w:w="2335"/>
      </w:tblGrid>
      <w:tr w:rsidR="00EE0C8C" w:rsidRPr="00EE0C8C" w:rsidTr="00A76BDB">
        <w:trPr>
          <w:jc w:val="center"/>
        </w:trPr>
        <w:tc>
          <w:tcPr>
            <w:tcW w:w="1845" w:type="dxa"/>
            <w:vAlign w:val="center"/>
          </w:tcPr>
          <w:p w:rsidR="00EE0C8C" w:rsidRPr="00EE0C8C" w:rsidRDefault="00EE0C8C" w:rsidP="00EE0C8C">
            <w:pPr>
              <w:tabs>
                <w:tab w:val="center" w:pos="4536"/>
                <w:tab w:val="right" w:pos="9072"/>
              </w:tabs>
              <w:jc w:val="center"/>
              <w:rPr>
                <w:rFonts w:ascii="Calibri" w:eastAsiaTheme="minorHAnsi" w:hAnsi="Calibri"/>
                <w:sz w:val="24"/>
                <w:szCs w:val="24"/>
              </w:rPr>
            </w:pPr>
            <w:r w:rsidRPr="00EE0C8C">
              <w:rPr>
                <w:rFonts w:ascii="Calibri" w:eastAsiaTheme="minorHAnsi" w:hAnsi="Calibri"/>
                <w:sz w:val="24"/>
                <w:szCs w:val="24"/>
              </w:rPr>
              <w:t>Rok szkolny</w:t>
            </w:r>
          </w:p>
        </w:tc>
        <w:tc>
          <w:tcPr>
            <w:tcW w:w="1845" w:type="dxa"/>
            <w:vAlign w:val="center"/>
          </w:tcPr>
          <w:p w:rsidR="00EE0C8C" w:rsidRPr="00EE0C8C" w:rsidRDefault="00EE0C8C" w:rsidP="00EE0C8C">
            <w:pPr>
              <w:tabs>
                <w:tab w:val="center" w:pos="4536"/>
                <w:tab w:val="right" w:pos="9072"/>
              </w:tabs>
              <w:jc w:val="center"/>
              <w:rPr>
                <w:rFonts w:ascii="Calibri" w:eastAsiaTheme="minorHAnsi" w:hAnsi="Calibri"/>
                <w:sz w:val="24"/>
                <w:szCs w:val="24"/>
              </w:rPr>
            </w:pPr>
            <w:r w:rsidRPr="00EE0C8C">
              <w:rPr>
                <w:rFonts w:ascii="Calibri" w:eastAsiaTheme="minorHAnsi" w:hAnsi="Calibri"/>
                <w:sz w:val="24"/>
                <w:szCs w:val="24"/>
              </w:rPr>
              <w:t xml:space="preserve">Liczba szkół </w:t>
            </w:r>
            <w:r w:rsidRPr="00EE0C8C">
              <w:rPr>
                <w:rFonts w:ascii="Calibri" w:eastAsiaTheme="minorHAnsi" w:hAnsi="Calibri"/>
                <w:sz w:val="24"/>
                <w:szCs w:val="24"/>
              </w:rPr>
              <w:lastRenderedPageBreak/>
              <w:t>podstawowych</w:t>
            </w:r>
          </w:p>
        </w:tc>
        <w:tc>
          <w:tcPr>
            <w:tcW w:w="1845" w:type="dxa"/>
            <w:vAlign w:val="center"/>
          </w:tcPr>
          <w:p w:rsidR="00EE0C8C" w:rsidRPr="00EE0C8C" w:rsidRDefault="00EE0C8C" w:rsidP="00EE0C8C">
            <w:pPr>
              <w:tabs>
                <w:tab w:val="center" w:pos="4536"/>
                <w:tab w:val="right" w:pos="9072"/>
              </w:tabs>
              <w:jc w:val="center"/>
              <w:rPr>
                <w:rFonts w:ascii="Calibri" w:eastAsiaTheme="minorHAnsi" w:hAnsi="Calibri"/>
                <w:sz w:val="24"/>
                <w:szCs w:val="24"/>
              </w:rPr>
            </w:pPr>
            <w:r w:rsidRPr="00EE0C8C">
              <w:rPr>
                <w:rFonts w:ascii="Calibri" w:eastAsiaTheme="minorHAnsi" w:hAnsi="Calibri"/>
                <w:sz w:val="24"/>
                <w:szCs w:val="24"/>
              </w:rPr>
              <w:lastRenderedPageBreak/>
              <w:t xml:space="preserve">Liczba uczniów </w:t>
            </w:r>
            <w:r w:rsidRPr="00EE0C8C">
              <w:rPr>
                <w:rFonts w:ascii="Calibri" w:eastAsiaTheme="minorHAnsi" w:hAnsi="Calibri"/>
                <w:sz w:val="24"/>
                <w:szCs w:val="24"/>
              </w:rPr>
              <w:lastRenderedPageBreak/>
              <w:t>podlegających badaniu</w:t>
            </w:r>
          </w:p>
        </w:tc>
        <w:tc>
          <w:tcPr>
            <w:tcW w:w="1843" w:type="dxa"/>
            <w:vAlign w:val="center"/>
          </w:tcPr>
          <w:p w:rsidR="00EE0C8C" w:rsidRPr="00EE0C8C" w:rsidRDefault="00EE0C8C" w:rsidP="00EE0C8C">
            <w:pPr>
              <w:tabs>
                <w:tab w:val="center" w:pos="4536"/>
                <w:tab w:val="right" w:pos="9072"/>
              </w:tabs>
              <w:jc w:val="center"/>
              <w:rPr>
                <w:rFonts w:ascii="Calibri" w:eastAsiaTheme="minorHAnsi" w:hAnsi="Calibri"/>
                <w:sz w:val="24"/>
                <w:szCs w:val="24"/>
              </w:rPr>
            </w:pPr>
            <w:r w:rsidRPr="00EE0C8C">
              <w:rPr>
                <w:rFonts w:ascii="Calibri" w:eastAsiaTheme="minorHAnsi" w:hAnsi="Calibri"/>
                <w:sz w:val="24"/>
                <w:szCs w:val="24"/>
              </w:rPr>
              <w:lastRenderedPageBreak/>
              <w:t xml:space="preserve">Liczba uczniów </w:t>
            </w:r>
            <w:r w:rsidRPr="00EE0C8C">
              <w:rPr>
                <w:rFonts w:ascii="Calibri" w:eastAsiaTheme="minorHAnsi" w:hAnsi="Calibri"/>
                <w:sz w:val="24"/>
                <w:szCs w:val="24"/>
              </w:rPr>
              <w:lastRenderedPageBreak/>
              <w:t>z dodatnimi wynikami testów przesiewowych</w:t>
            </w:r>
          </w:p>
        </w:tc>
        <w:tc>
          <w:tcPr>
            <w:tcW w:w="1843" w:type="dxa"/>
            <w:vAlign w:val="center"/>
          </w:tcPr>
          <w:p w:rsidR="00EE0C8C" w:rsidRPr="00EE0C8C" w:rsidRDefault="00EE0C8C" w:rsidP="00EE0C8C">
            <w:pPr>
              <w:tabs>
                <w:tab w:val="center" w:pos="4536"/>
                <w:tab w:val="right" w:pos="9072"/>
              </w:tabs>
              <w:jc w:val="center"/>
              <w:rPr>
                <w:rFonts w:ascii="Calibri" w:eastAsiaTheme="minorHAnsi" w:hAnsi="Calibri"/>
                <w:sz w:val="24"/>
                <w:szCs w:val="24"/>
              </w:rPr>
            </w:pPr>
            <w:r w:rsidRPr="00EE0C8C">
              <w:rPr>
                <w:rFonts w:ascii="Calibri" w:eastAsiaTheme="minorHAnsi" w:hAnsi="Calibri"/>
                <w:sz w:val="24"/>
                <w:szCs w:val="24"/>
              </w:rPr>
              <w:lastRenderedPageBreak/>
              <w:t xml:space="preserve">Odsetek  % uczniów </w:t>
            </w:r>
            <w:r w:rsidRPr="00EE0C8C">
              <w:rPr>
                <w:rFonts w:ascii="Calibri" w:eastAsiaTheme="minorHAnsi" w:hAnsi="Calibri"/>
                <w:sz w:val="24"/>
                <w:szCs w:val="24"/>
              </w:rPr>
              <w:lastRenderedPageBreak/>
              <w:t>dodatnimi wynikami testów przesiewowych</w:t>
            </w:r>
          </w:p>
        </w:tc>
      </w:tr>
      <w:tr w:rsidR="00EE0C8C" w:rsidRPr="00EE0C8C" w:rsidTr="00A76BDB">
        <w:trPr>
          <w:trHeight w:val="414"/>
          <w:jc w:val="center"/>
        </w:trPr>
        <w:tc>
          <w:tcPr>
            <w:tcW w:w="1845" w:type="dxa"/>
          </w:tcPr>
          <w:p w:rsidR="00EE0C8C" w:rsidRPr="00EE0C8C" w:rsidRDefault="00EE0C8C" w:rsidP="00EE0C8C">
            <w:pPr>
              <w:tabs>
                <w:tab w:val="center" w:pos="4536"/>
                <w:tab w:val="right" w:pos="9072"/>
              </w:tabs>
              <w:rPr>
                <w:rFonts w:ascii="Calibri" w:eastAsiaTheme="minorHAnsi" w:hAnsi="Calibri"/>
                <w:sz w:val="24"/>
                <w:szCs w:val="24"/>
              </w:rPr>
            </w:pPr>
            <w:r w:rsidRPr="00EE0C8C">
              <w:rPr>
                <w:rFonts w:ascii="Calibri" w:eastAsiaTheme="minorHAnsi" w:hAnsi="Calibri"/>
                <w:sz w:val="24"/>
                <w:szCs w:val="24"/>
              </w:rPr>
              <w:lastRenderedPageBreak/>
              <w:t>2011/2012</w:t>
            </w:r>
          </w:p>
        </w:tc>
        <w:tc>
          <w:tcPr>
            <w:tcW w:w="1845" w:type="dxa"/>
          </w:tcPr>
          <w:p w:rsidR="00EE0C8C" w:rsidRPr="00EE0C8C" w:rsidRDefault="00EE0C8C" w:rsidP="00EE0C8C">
            <w:pPr>
              <w:tabs>
                <w:tab w:val="center" w:pos="4536"/>
                <w:tab w:val="right" w:pos="9072"/>
              </w:tabs>
              <w:rPr>
                <w:rFonts w:ascii="Calibri" w:eastAsiaTheme="minorHAnsi" w:hAnsi="Calibri"/>
                <w:sz w:val="24"/>
                <w:szCs w:val="24"/>
              </w:rPr>
            </w:pPr>
            <w:r w:rsidRPr="00EE0C8C">
              <w:rPr>
                <w:rFonts w:ascii="Calibri" w:eastAsiaTheme="minorHAnsi" w:hAnsi="Calibri"/>
                <w:sz w:val="24"/>
                <w:szCs w:val="24"/>
              </w:rPr>
              <w:t>8</w:t>
            </w:r>
          </w:p>
        </w:tc>
        <w:tc>
          <w:tcPr>
            <w:tcW w:w="1845" w:type="dxa"/>
          </w:tcPr>
          <w:p w:rsidR="00EE0C8C" w:rsidRPr="00EE0C8C" w:rsidRDefault="00EE0C8C" w:rsidP="00EE0C8C">
            <w:pPr>
              <w:tabs>
                <w:tab w:val="center" w:pos="4536"/>
                <w:tab w:val="right" w:pos="9072"/>
              </w:tabs>
              <w:rPr>
                <w:rFonts w:ascii="Calibri" w:eastAsiaTheme="minorHAnsi" w:hAnsi="Calibri"/>
                <w:sz w:val="24"/>
                <w:szCs w:val="24"/>
              </w:rPr>
            </w:pPr>
            <w:r w:rsidRPr="00EE0C8C">
              <w:rPr>
                <w:rFonts w:ascii="Calibri" w:eastAsiaTheme="minorHAnsi" w:hAnsi="Calibri"/>
                <w:sz w:val="24"/>
                <w:szCs w:val="24"/>
              </w:rPr>
              <w:t>310</w:t>
            </w:r>
          </w:p>
        </w:tc>
        <w:tc>
          <w:tcPr>
            <w:tcW w:w="1843" w:type="dxa"/>
          </w:tcPr>
          <w:p w:rsidR="00EE0C8C" w:rsidRPr="00EE0C8C" w:rsidRDefault="00EE0C8C" w:rsidP="00EE0C8C">
            <w:pPr>
              <w:tabs>
                <w:tab w:val="center" w:pos="4536"/>
                <w:tab w:val="right" w:pos="9072"/>
              </w:tabs>
              <w:rPr>
                <w:rFonts w:ascii="Calibri" w:eastAsiaTheme="minorHAnsi" w:hAnsi="Calibri"/>
                <w:sz w:val="24"/>
                <w:szCs w:val="24"/>
              </w:rPr>
            </w:pPr>
            <w:r w:rsidRPr="00EE0C8C">
              <w:rPr>
                <w:rFonts w:ascii="Calibri" w:eastAsiaTheme="minorHAnsi" w:hAnsi="Calibri"/>
                <w:sz w:val="24"/>
                <w:szCs w:val="24"/>
              </w:rPr>
              <w:t xml:space="preserve">  99</w:t>
            </w:r>
          </w:p>
        </w:tc>
        <w:tc>
          <w:tcPr>
            <w:tcW w:w="1843" w:type="dxa"/>
          </w:tcPr>
          <w:p w:rsidR="00EE0C8C" w:rsidRPr="00EE0C8C" w:rsidRDefault="00EE0C8C" w:rsidP="00EE0C8C">
            <w:pPr>
              <w:tabs>
                <w:tab w:val="center" w:pos="4536"/>
                <w:tab w:val="right" w:pos="9072"/>
              </w:tabs>
              <w:rPr>
                <w:rFonts w:ascii="Calibri" w:eastAsiaTheme="minorHAnsi" w:hAnsi="Calibri"/>
                <w:sz w:val="24"/>
                <w:szCs w:val="24"/>
              </w:rPr>
            </w:pPr>
            <w:r w:rsidRPr="00EE0C8C">
              <w:rPr>
                <w:rFonts w:ascii="Calibri" w:eastAsiaTheme="minorHAnsi" w:hAnsi="Calibri"/>
                <w:sz w:val="24"/>
                <w:szCs w:val="24"/>
              </w:rPr>
              <w:t>32,0 %</w:t>
            </w:r>
          </w:p>
        </w:tc>
      </w:tr>
      <w:tr w:rsidR="00EE0C8C" w:rsidRPr="00EE0C8C" w:rsidTr="00A76BDB">
        <w:trPr>
          <w:trHeight w:val="419"/>
          <w:jc w:val="center"/>
        </w:trPr>
        <w:tc>
          <w:tcPr>
            <w:tcW w:w="1845" w:type="dxa"/>
          </w:tcPr>
          <w:p w:rsidR="00EE0C8C" w:rsidRPr="00EE0C8C" w:rsidRDefault="00EE0C8C" w:rsidP="00EE0C8C">
            <w:pPr>
              <w:tabs>
                <w:tab w:val="center" w:pos="4536"/>
                <w:tab w:val="right" w:pos="9072"/>
              </w:tabs>
              <w:rPr>
                <w:rFonts w:ascii="Calibri" w:eastAsiaTheme="minorHAnsi" w:hAnsi="Calibri"/>
                <w:sz w:val="24"/>
                <w:szCs w:val="24"/>
              </w:rPr>
            </w:pPr>
            <w:r w:rsidRPr="00EE0C8C">
              <w:rPr>
                <w:rFonts w:ascii="Calibri" w:eastAsiaTheme="minorHAnsi" w:hAnsi="Calibri"/>
                <w:sz w:val="24"/>
                <w:szCs w:val="24"/>
              </w:rPr>
              <w:t>2012/2013</w:t>
            </w:r>
          </w:p>
        </w:tc>
        <w:tc>
          <w:tcPr>
            <w:tcW w:w="1845" w:type="dxa"/>
          </w:tcPr>
          <w:p w:rsidR="00EE0C8C" w:rsidRPr="00EE0C8C" w:rsidRDefault="00EE0C8C" w:rsidP="00EE0C8C">
            <w:pPr>
              <w:tabs>
                <w:tab w:val="center" w:pos="4536"/>
                <w:tab w:val="right" w:pos="9072"/>
              </w:tabs>
              <w:rPr>
                <w:rFonts w:ascii="Calibri" w:eastAsiaTheme="minorHAnsi" w:hAnsi="Calibri"/>
                <w:sz w:val="24"/>
                <w:szCs w:val="24"/>
              </w:rPr>
            </w:pPr>
            <w:r w:rsidRPr="00EE0C8C">
              <w:rPr>
                <w:rFonts w:ascii="Calibri" w:eastAsiaTheme="minorHAnsi" w:hAnsi="Calibri"/>
                <w:sz w:val="24"/>
                <w:szCs w:val="24"/>
              </w:rPr>
              <w:t>8</w:t>
            </w:r>
          </w:p>
        </w:tc>
        <w:tc>
          <w:tcPr>
            <w:tcW w:w="1845" w:type="dxa"/>
          </w:tcPr>
          <w:p w:rsidR="00EE0C8C" w:rsidRPr="00EE0C8C" w:rsidRDefault="00EE0C8C" w:rsidP="00EE0C8C">
            <w:pPr>
              <w:tabs>
                <w:tab w:val="center" w:pos="4536"/>
                <w:tab w:val="right" w:pos="9072"/>
              </w:tabs>
              <w:rPr>
                <w:rFonts w:ascii="Calibri" w:eastAsiaTheme="minorHAnsi" w:hAnsi="Calibri"/>
                <w:sz w:val="24"/>
                <w:szCs w:val="24"/>
              </w:rPr>
            </w:pPr>
            <w:r w:rsidRPr="00EE0C8C">
              <w:rPr>
                <w:rFonts w:ascii="Calibri" w:eastAsiaTheme="minorHAnsi" w:hAnsi="Calibri"/>
                <w:sz w:val="24"/>
                <w:szCs w:val="24"/>
              </w:rPr>
              <w:t>284</w:t>
            </w:r>
          </w:p>
        </w:tc>
        <w:tc>
          <w:tcPr>
            <w:tcW w:w="1843" w:type="dxa"/>
          </w:tcPr>
          <w:p w:rsidR="00EE0C8C" w:rsidRPr="00EE0C8C" w:rsidRDefault="00EE0C8C" w:rsidP="00EE0C8C">
            <w:pPr>
              <w:tabs>
                <w:tab w:val="center" w:pos="4536"/>
                <w:tab w:val="right" w:pos="9072"/>
              </w:tabs>
              <w:rPr>
                <w:rFonts w:ascii="Calibri" w:eastAsiaTheme="minorHAnsi" w:hAnsi="Calibri"/>
                <w:sz w:val="24"/>
                <w:szCs w:val="24"/>
              </w:rPr>
            </w:pPr>
            <w:r w:rsidRPr="00EE0C8C">
              <w:rPr>
                <w:rFonts w:ascii="Calibri" w:eastAsiaTheme="minorHAnsi" w:hAnsi="Calibri"/>
                <w:sz w:val="24"/>
                <w:szCs w:val="24"/>
              </w:rPr>
              <w:t>118</w:t>
            </w:r>
          </w:p>
        </w:tc>
        <w:tc>
          <w:tcPr>
            <w:tcW w:w="1843" w:type="dxa"/>
          </w:tcPr>
          <w:p w:rsidR="00EE0C8C" w:rsidRPr="00EE0C8C" w:rsidRDefault="00EE0C8C" w:rsidP="00EE0C8C">
            <w:pPr>
              <w:tabs>
                <w:tab w:val="center" w:pos="4536"/>
                <w:tab w:val="right" w:pos="9072"/>
              </w:tabs>
              <w:rPr>
                <w:rFonts w:ascii="Calibri" w:eastAsiaTheme="minorHAnsi" w:hAnsi="Calibri"/>
                <w:sz w:val="24"/>
                <w:szCs w:val="24"/>
              </w:rPr>
            </w:pPr>
            <w:r w:rsidRPr="00EE0C8C">
              <w:rPr>
                <w:rFonts w:ascii="Calibri" w:eastAsiaTheme="minorHAnsi" w:hAnsi="Calibri"/>
                <w:sz w:val="24"/>
                <w:szCs w:val="24"/>
              </w:rPr>
              <w:t>41,5%</w:t>
            </w:r>
          </w:p>
        </w:tc>
      </w:tr>
      <w:tr w:rsidR="00EE0C8C" w:rsidRPr="00EE0C8C" w:rsidTr="00A76BDB">
        <w:trPr>
          <w:trHeight w:val="412"/>
          <w:jc w:val="center"/>
        </w:trPr>
        <w:tc>
          <w:tcPr>
            <w:tcW w:w="1845" w:type="dxa"/>
          </w:tcPr>
          <w:p w:rsidR="00EE0C8C" w:rsidRPr="00EE0C8C" w:rsidRDefault="00EE0C8C" w:rsidP="00EE0C8C">
            <w:pPr>
              <w:tabs>
                <w:tab w:val="center" w:pos="4536"/>
                <w:tab w:val="right" w:pos="9072"/>
              </w:tabs>
              <w:rPr>
                <w:rFonts w:ascii="Calibri" w:eastAsiaTheme="minorHAnsi" w:hAnsi="Calibri"/>
                <w:sz w:val="24"/>
                <w:szCs w:val="24"/>
              </w:rPr>
            </w:pPr>
            <w:r w:rsidRPr="00EE0C8C">
              <w:rPr>
                <w:rFonts w:ascii="Calibri" w:eastAsiaTheme="minorHAnsi" w:hAnsi="Calibri"/>
                <w:sz w:val="24"/>
                <w:szCs w:val="24"/>
              </w:rPr>
              <w:t>2013/2014</w:t>
            </w:r>
          </w:p>
        </w:tc>
        <w:tc>
          <w:tcPr>
            <w:tcW w:w="1845" w:type="dxa"/>
          </w:tcPr>
          <w:p w:rsidR="00EE0C8C" w:rsidRPr="00EE0C8C" w:rsidRDefault="00EE0C8C" w:rsidP="00EE0C8C">
            <w:pPr>
              <w:tabs>
                <w:tab w:val="center" w:pos="4536"/>
                <w:tab w:val="right" w:pos="9072"/>
              </w:tabs>
              <w:rPr>
                <w:rFonts w:ascii="Calibri" w:eastAsiaTheme="minorHAnsi" w:hAnsi="Calibri"/>
                <w:sz w:val="24"/>
                <w:szCs w:val="24"/>
              </w:rPr>
            </w:pPr>
            <w:r w:rsidRPr="00EE0C8C">
              <w:rPr>
                <w:rFonts w:ascii="Calibri" w:eastAsiaTheme="minorHAnsi" w:hAnsi="Calibri"/>
                <w:sz w:val="24"/>
                <w:szCs w:val="24"/>
              </w:rPr>
              <w:t>8</w:t>
            </w:r>
          </w:p>
        </w:tc>
        <w:tc>
          <w:tcPr>
            <w:tcW w:w="1845" w:type="dxa"/>
          </w:tcPr>
          <w:p w:rsidR="00EE0C8C" w:rsidRPr="00EE0C8C" w:rsidRDefault="00EE0C8C" w:rsidP="00EE0C8C">
            <w:pPr>
              <w:tabs>
                <w:tab w:val="center" w:pos="4536"/>
                <w:tab w:val="right" w:pos="9072"/>
              </w:tabs>
              <w:rPr>
                <w:rFonts w:ascii="Calibri" w:eastAsiaTheme="minorHAnsi" w:hAnsi="Calibri"/>
                <w:sz w:val="24"/>
                <w:szCs w:val="24"/>
              </w:rPr>
            </w:pPr>
            <w:r w:rsidRPr="00EE0C8C">
              <w:rPr>
                <w:rFonts w:ascii="Calibri" w:eastAsiaTheme="minorHAnsi" w:hAnsi="Calibri"/>
                <w:sz w:val="24"/>
                <w:szCs w:val="24"/>
              </w:rPr>
              <w:t>297</w:t>
            </w:r>
          </w:p>
        </w:tc>
        <w:tc>
          <w:tcPr>
            <w:tcW w:w="1843" w:type="dxa"/>
          </w:tcPr>
          <w:p w:rsidR="00EE0C8C" w:rsidRPr="00EE0C8C" w:rsidRDefault="00EE0C8C" w:rsidP="00EE0C8C">
            <w:pPr>
              <w:tabs>
                <w:tab w:val="center" w:pos="4536"/>
                <w:tab w:val="right" w:pos="9072"/>
              </w:tabs>
              <w:rPr>
                <w:rFonts w:ascii="Calibri" w:eastAsiaTheme="minorHAnsi" w:hAnsi="Calibri"/>
                <w:sz w:val="24"/>
                <w:szCs w:val="24"/>
              </w:rPr>
            </w:pPr>
            <w:r w:rsidRPr="00EE0C8C">
              <w:rPr>
                <w:rFonts w:ascii="Calibri" w:eastAsiaTheme="minorHAnsi" w:hAnsi="Calibri"/>
                <w:sz w:val="24"/>
                <w:szCs w:val="24"/>
              </w:rPr>
              <w:t>126</w:t>
            </w:r>
          </w:p>
        </w:tc>
        <w:tc>
          <w:tcPr>
            <w:tcW w:w="1843" w:type="dxa"/>
          </w:tcPr>
          <w:p w:rsidR="00EE0C8C" w:rsidRPr="00EE0C8C" w:rsidRDefault="00EE0C8C" w:rsidP="00EE0C8C">
            <w:pPr>
              <w:tabs>
                <w:tab w:val="center" w:pos="4536"/>
                <w:tab w:val="right" w:pos="9072"/>
              </w:tabs>
              <w:rPr>
                <w:rFonts w:ascii="Calibri" w:eastAsiaTheme="minorHAnsi" w:hAnsi="Calibri"/>
                <w:sz w:val="24"/>
                <w:szCs w:val="24"/>
              </w:rPr>
            </w:pPr>
            <w:r w:rsidRPr="00EE0C8C">
              <w:rPr>
                <w:rFonts w:ascii="Calibri" w:eastAsiaTheme="minorHAnsi" w:hAnsi="Calibri"/>
                <w:sz w:val="24"/>
                <w:szCs w:val="24"/>
              </w:rPr>
              <w:t>42,4%</w:t>
            </w:r>
          </w:p>
        </w:tc>
      </w:tr>
      <w:tr w:rsidR="00EE0C8C" w:rsidRPr="00EE0C8C" w:rsidTr="00A76BDB">
        <w:trPr>
          <w:trHeight w:val="418"/>
          <w:jc w:val="center"/>
        </w:trPr>
        <w:tc>
          <w:tcPr>
            <w:tcW w:w="1845" w:type="dxa"/>
            <w:tcBorders>
              <w:right w:val="single" w:sz="4" w:space="0" w:color="auto"/>
            </w:tcBorders>
          </w:tcPr>
          <w:p w:rsidR="00EE0C8C" w:rsidRPr="00EE0C8C" w:rsidRDefault="00EE0C8C" w:rsidP="00EE0C8C">
            <w:pPr>
              <w:tabs>
                <w:tab w:val="center" w:pos="4536"/>
                <w:tab w:val="right" w:pos="9072"/>
              </w:tabs>
              <w:rPr>
                <w:rFonts w:ascii="Calibri" w:eastAsiaTheme="minorHAnsi" w:hAnsi="Calibri"/>
                <w:sz w:val="24"/>
                <w:szCs w:val="24"/>
              </w:rPr>
            </w:pPr>
            <w:r w:rsidRPr="00EE0C8C">
              <w:rPr>
                <w:rFonts w:ascii="Calibri" w:eastAsiaTheme="minorHAnsi" w:hAnsi="Calibri"/>
                <w:sz w:val="24"/>
                <w:szCs w:val="24"/>
              </w:rPr>
              <w:t>2014/2015</w:t>
            </w:r>
          </w:p>
        </w:tc>
        <w:tc>
          <w:tcPr>
            <w:tcW w:w="1845" w:type="dxa"/>
            <w:tcBorders>
              <w:left w:val="single" w:sz="4" w:space="0" w:color="auto"/>
              <w:right w:val="single" w:sz="4" w:space="0" w:color="auto"/>
            </w:tcBorders>
          </w:tcPr>
          <w:p w:rsidR="00EE0C8C" w:rsidRPr="00EE0C8C" w:rsidRDefault="00EE0C8C" w:rsidP="00EE0C8C">
            <w:pPr>
              <w:tabs>
                <w:tab w:val="center" w:pos="4536"/>
                <w:tab w:val="right" w:pos="9072"/>
              </w:tabs>
              <w:rPr>
                <w:rFonts w:ascii="Calibri" w:eastAsiaTheme="minorHAnsi" w:hAnsi="Calibri"/>
                <w:sz w:val="24"/>
                <w:szCs w:val="24"/>
              </w:rPr>
            </w:pPr>
            <w:r w:rsidRPr="00EE0C8C">
              <w:rPr>
                <w:rFonts w:ascii="Calibri" w:eastAsiaTheme="minorHAnsi" w:hAnsi="Calibri"/>
                <w:sz w:val="24"/>
                <w:szCs w:val="24"/>
              </w:rPr>
              <w:t>8</w:t>
            </w:r>
          </w:p>
        </w:tc>
        <w:tc>
          <w:tcPr>
            <w:tcW w:w="1845" w:type="dxa"/>
            <w:tcBorders>
              <w:left w:val="single" w:sz="4" w:space="0" w:color="auto"/>
              <w:right w:val="single" w:sz="4" w:space="0" w:color="auto"/>
            </w:tcBorders>
          </w:tcPr>
          <w:p w:rsidR="00EE0C8C" w:rsidRPr="00EE0C8C" w:rsidRDefault="00EE0C8C" w:rsidP="00EE0C8C">
            <w:pPr>
              <w:tabs>
                <w:tab w:val="center" w:pos="4536"/>
                <w:tab w:val="right" w:pos="9072"/>
              </w:tabs>
              <w:rPr>
                <w:rFonts w:ascii="Calibri" w:eastAsiaTheme="minorHAnsi" w:hAnsi="Calibri"/>
                <w:sz w:val="24"/>
                <w:szCs w:val="24"/>
              </w:rPr>
            </w:pPr>
            <w:r w:rsidRPr="00EE0C8C">
              <w:rPr>
                <w:rFonts w:ascii="Calibri" w:eastAsiaTheme="minorHAnsi" w:hAnsi="Calibri"/>
                <w:sz w:val="24"/>
                <w:szCs w:val="24"/>
              </w:rPr>
              <w:t>312</w:t>
            </w:r>
          </w:p>
        </w:tc>
        <w:tc>
          <w:tcPr>
            <w:tcW w:w="1843" w:type="dxa"/>
            <w:tcBorders>
              <w:left w:val="single" w:sz="4" w:space="0" w:color="auto"/>
            </w:tcBorders>
          </w:tcPr>
          <w:p w:rsidR="00EE0C8C" w:rsidRPr="00EE0C8C" w:rsidRDefault="00EE0C8C" w:rsidP="00EE0C8C">
            <w:pPr>
              <w:tabs>
                <w:tab w:val="center" w:pos="4536"/>
                <w:tab w:val="right" w:pos="9072"/>
              </w:tabs>
              <w:rPr>
                <w:rFonts w:ascii="Calibri" w:eastAsiaTheme="minorHAnsi" w:hAnsi="Calibri"/>
                <w:sz w:val="24"/>
                <w:szCs w:val="24"/>
              </w:rPr>
            </w:pPr>
            <w:r w:rsidRPr="00EE0C8C">
              <w:rPr>
                <w:rFonts w:ascii="Calibri" w:eastAsiaTheme="minorHAnsi" w:hAnsi="Calibri"/>
                <w:sz w:val="24"/>
                <w:szCs w:val="24"/>
              </w:rPr>
              <w:t>142</w:t>
            </w:r>
          </w:p>
        </w:tc>
        <w:tc>
          <w:tcPr>
            <w:tcW w:w="1843" w:type="dxa"/>
          </w:tcPr>
          <w:p w:rsidR="00EE0C8C" w:rsidRPr="00EE0C8C" w:rsidRDefault="00EE0C8C" w:rsidP="00EE0C8C">
            <w:pPr>
              <w:tabs>
                <w:tab w:val="center" w:pos="4536"/>
                <w:tab w:val="right" w:pos="9072"/>
              </w:tabs>
              <w:rPr>
                <w:rFonts w:ascii="Calibri" w:eastAsiaTheme="minorHAnsi" w:hAnsi="Calibri"/>
                <w:sz w:val="24"/>
                <w:szCs w:val="24"/>
              </w:rPr>
            </w:pPr>
            <w:r w:rsidRPr="00EE0C8C">
              <w:rPr>
                <w:rFonts w:ascii="Calibri" w:eastAsiaTheme="minorHAnsi" w:hAnsi="Calibri"/>
                <w:sz w:val="24"/>
                <w:szCs w:val="24"/>
              </w:rPr>
              <w:t>35,5%</w:t>
            </w:r>
          </w:p>
        </w:tc>
      </w:tr>
      <w:tr w:rsidR="00EE0C8C" w:rsidRPr="00EE0C8C" w:rsidTr="00A76BDB">
        <w:tblPrEx>
          <w:tblCellMar>
            <w:left w:w="70" w:type="dxa"/>
            <w:right w:w="70" w:type="dxa"/>
          </w:tblCellMar>
          <w:tblLook w:val="0000" w:firstRow="0" w:lastRow="0" w:firstColumn="0" w:lastColumn="0" w:noHBand="0" w:noVBand="0"/>
        </w:tblPrEx>
        <w:trPr>
          <w:trHeight w:val="495"/>
          <w:jc w:val="center"/>
        </w:trPr>
        <w:tc>
          <w:tcPr>
            <w:tcW w:w="1845" w:type="dxa"/>
          </w:tcPr>
          <w:p w:rsidR="00EE0C8C" w:rsidRPr="00EE0C8C" w:rsidRDefault="00EE0C8C" w:rsidP="00EE0C8C">
            <w:pPr>
              <w:tabs>
                <w:tab w:val="center" w:pos="4536"/>
                <w:tab w:val="right" w:pos="9072"/>
              </w:tabs>
              <w:ind w:left="108"/>
              <w:rPr>
                <w:rFonts w:ascii="Calibri" w:eastAsiaTheme="minorHAnsi" w:hAnsi="Calibri"/>
                <w:sz w:val="24"/>
                <w:szCs w:val="24"/>
              </w:rPr>
            </w:pPr>
            <w:r w:rsidRPr="00EE0C8C">
              <w:rPr>
                <w:rFonts w:ascii="Calibri" w:eastAsiaTheme="minorHAnsi" w:hAnsi="Calibri"/>
                <w:sz w:val="24"/>
                <w:szCs w:val="24"/>
              </w:rPr>
              <w:t>2015/2016</w:t>
            </w:r>
          </w:p>
        </w:tc>
        <w:tc>
          <w:tcPr>
            <w:tcW w:w="1845" w:type="dxa"/>
          </w:tcPr>
          <w:p w:rsidR="00EE0C8C" w:rsidRPr="00EE0C8C" w:rsidRDefault="00EE0C8C" w:rsidP="00EE0C8C">
            <w:pPr>
              <w:tabs>
                <w:tab w:val="center" w:pos="4536"/>
                <w:tab w:val="right" w:pos="9072"/>
              </w:tabs>
              <w:ind w:left="188"/>
              <w:rPr>
                <w:rFonts w:ascii="Calibri" w:eastAsia="Calibri" w:hAnsi="Calibri"/>
                <w:sz w:val="24"/>
                <w:szCs w:val="24"/>
              </w:rPr>
            </w:pPr>
            <w:r w:rsidRPr="00EE0C8C">
              <w:rPr>
                <w:rFonts w:ascii="Calibri" w:eastAsiaTheme="minorHAnsi" w:hAnsi="Calibri"/>
                <w:sz w:val="24"/>
                <w:szCs w:val="24"/>
              </w:rPr>
              <w:t>8</w:t>
            </w:r>
          </w:p>
        </w:tc>
        <w:tc>
          <w:tcPr>
            <w:tcW w:w="1845" w:type="dxa"/>
          </w:tcPr>
          <w:p w:rsidR="00EE0C8C" w:rsidRPr="00EE0C8C" w:rsidRDefault="00EE0C8C" w:rsidP="00EE0C8C">
            <w:pPr>
              <w:tabs>
                <w:tab w:val="center" w:pos="4536"/>
                <w:tab w:val="right" w:pos="9072"/>
              </w:tabs>
              <w:ind w:left="388"/>
              <w:rPr>
                <w:rFonts w:ascii="Calibri" w:eastAsia="Calibri" w:hAnsi="Calibri"/>
                <w:sz w:val="24"/>
                <w:szCs w:val="24"/>
              </w:rPr>
            </w:pPr>
            <w:r w:rsidRPr="00EE0C8C">
              <w:rPr>
                <w:rFonts w:ascii="Calibri" w:eastAsiaTheme="minorHAnsi" w:hAnsi="Calibri"/>
                <w:sz w:val="24"/>
                <w:szCs w:val="24"/>
              </w:rPr>
              <w:t>315</w:t>
            </w:r>
          </w:p>
        </w:tc>
        <w:tc>
          <w:tcPr>
            <w:tcW w:w="1845" w:type="dxa"/>
          </w:tcPr>
          <w:p w:rsidR="00EE0C8C" w:rsidRPr="00EE0C8C" w:rsidRDefault="00EE0C8C" w:rsidP="00EE0C8C">
            <w:pPr>
              <w:tabs>
                <w:tab w:val="center" w:pos="4536"/>
                <w:tab w:val="right" w:pos="9072"/>
              </w:tabs>
              <w:ind w:left="813"/>
              <w:rPr>
                <w:rFonts w:ascii="Calibri" w:eastAsia="Calibri" w:hAnsi="Calibri"/>
                <w:sz w:val="24"/>
                <w:szCs w:val="24"/>
              </w:rPr>
            </w:pPr>
            <w:r w:rsidRPr="00EE0C8C">
              <w:rPr>
                <w:rFonts w:ascii="Calibri" w:eastAsiaTheme="minorHAnsi" w:hAnsi="Calibri"/>
                <w:sz w:val="24"/>
                <w:szCs w:val="24"/>
              </w:rPr>
              <w:t>136</w:t>
            </w:r>
          </w:p>
        </w:tc>
        <w:tc>
          <w:tcPr>
            <w:tcW w:w="1841" w:type="dxa"/>
          </w:tcPr>
          <w:p w:rsidR="00EE0C8C" w:rsidRPr="00EE0C8C" w:rsidRDefault="00EE0C8C" w:rsidP="00EE0C8C">
            <w:pPr>
              <w:tabs>
                <w:tab w:val="center" w:pos="4536"/>
                <w:tab w:val="right" w:pos="9072"/>
              </w:tabs>
              <w:ind w:left="1598"/>
              <w:rPr>
                <w:rFonts w:ascii="Calibri" w:eastAsia="Calibri" w:hAnsi="Calibri"/>
                <w:sz w:val="24"/>
                <w:szCs w:val="24"/>
              </w:rPr>
            </w:pPr>
            <w:r w:rsidRPr="00EE0C8C">
              <w:rPr>
                <w:rFonts w:ascii="Calibri" w:eastAsiaTheme="minorHAnsi" w:hAnsi="Calibri"/>
                <w:sz w:val="24"/>
                <w:szCs w:val="24"/>
              </w:rPr>
              <w:t xml:space="preserve">43,1%                   </w:t>
            </w:r>
          </w:p>
        </w:tc>
      </w:tr>
    </w:tbl>
    <w:p w:rsidR="00EE0C8C" w:rsidRPr="00EE0C8C" w:rsidRDefault="00EE0C8C" w:rsidP="00EE0C8C">
      <w:pPr>
        <w:rPr>
          <w:rFonts w:ascii="Calibri" w:eastAsia="Times New Roman" w:hAnsi="Calibri" w:cs="Times New Roman"/>
          <w:sz w:val="24"/>
          <w:szCs w:val="24"/>
          <w:lang w:eastAsia="pl-PL"/>
        </w:rPr>
      </w:pPr>
      <w:r w:rsidRPr="00EE0C8C">
        <w:rPr>
          <w:rFonts w:ascii="Calibri" w:eastAsia="Times New Roman" w:hAnsi="Calibri" w:cs="Times New Roman"/>
          <w:sz w:val="24"/>
          <w:szCs w:val="24"/>
          <w:lang w:eastAsia="pl-PL"/>
        </w:rPr>
        <w:t xml:space="preserve"> </w:t>
      </w:r>
    </w:p>
    <w:p w:rsidR="00EE0C8C" w:rsidRPr="00EE0C8C" w:rsidRDefault="00EE0C8C" w:rsidP="00EE0C8C">
      <w:pPr>
        <w:rPr>
          <w:rFonts w:ascii="Calibri" w:eastAsia="Times New Roman" w:hAnsi="Calibri" w:cs="Times New Roman"/>
          <w:sz w:val="24"/>
          <w:szCs w:val="24"/>
          <w:lang w:eastAsia="pl-PL"/>
        </w:rPr>
      </w:pPr>
    </w:p>
    <w:p w:rsidR="00EE0C8C" w:rsidRPr="00EE0C8C" w:rsidRDefault="00EE0C8C" w:rsidP="00EE0C8C">
      <w:pPr>
        <w:rPr>
          <w:rFonts w:ascii="Calibri" w:eastAsia="Times New Roman" w:hAnsi="Calibri" w:cs="Times New Roman"/>
          <w:sz w:val="24"/>
          <w:szCs w:val="24"/>
          <w:lang w:eastAsia="pl-PL"/>
        </w:rPr>
      </w:pPr>
      <w:r w:rsidRPr="00EE0C8C">
        <w:rPr>
          <w:rFonts w:ascii="Calibri" w:eastAsia="Times New Roman" w:hAnsi="Calibri" w:cs="Times New Roman"/>
          <w:sz w:val="24"/>
          <w:szCs w:val="24"/>
          <w:lang w:eastAsia="pl-PL"/>
        </w:rPr>
        <w:t>Tabela nr 2 .  Wyniki testów przesiewowych z Gimnazjum Publicznego w Mircu</w:t>
      </w:r>
    </w:p>
    <w:tbl>
      <w:tblPr>
        <w:tblStyle w:val="Tabela-Siatka5"/>
        <w:tblW w:w="0" w:type="auto"/>
        <w:jc w:val="center"/>
        <w:tblLook w:val="04A0" w:firstRow="1" w:lastRow="0" w:firstColumn="1" w:lastColumn="0" w:noHBand="0" w:noVBand="1"/>
      </w:tblPr>
      <w:tblGrid>
        <w:gridCol w:w="1845"/>
        <w:gridCol w:w="1842"/>
        <w:gridCol w:w="18"/>
        <w:gridCol w:w="1824"/>
        <w:gridCol w:w="6"/>
        <w:gridCol w:w="1830"/>
        <w:gridCol w:w="7"/>
        <w:gridCol w:w="1843"/>
      </w:tblGrid>
      <w:tr w:rsidR="00EE0C8C" w:rsidRPr="00EE0C8C" w:rsidTr="00A76BDB">
        <w:trPr>
          <w:jc w:val="center"/>
        </w:trPr>
        <w:tc>
          <w:tcPr>
            <w:tcW w:w="1845" w:type="dxa"/>
            <w:vAlign w:val="center"/>
          </w:tcPr>
          <w:p w:rsidR="00EE0C8C" w:rsidRPr="00EE0C8C" w:rsidRDefault="00EE0C8C" w:rsidP="00EE0C8C">
            <w:pPr>
              <w:tabs>
                <w:tab w:val="center" w:pos="4536"/>
                <w:tab w:val="right" w:pos="9072"/>
              </w:tabs>
              <w:jc w:val="center"/>
              <w:rPr>
                <w:rFonts w:ascii="Calibri" w:eastAsiaTheme="minorHAnsi" w:hAnsi="Calibri"/>
                <w:sz w:val="24"/>
                <w:szCs w:val="24"/>
              </w:rPr>
            </w:pPr>
            <w:r w:rsidRPr="00EE0C8C">
              <w:rPr>
                <w:rFonts w:ascii="Calibri" w:eastAsiaTheme="minorHAnsi" w:hAnsi="Calibri"/>
                <w:sz w:val="24"/>
                <w:szCs w:val="24"/>
              </w:rPr>
              <w:t>Rok szkolny</w:t>
            </w:r>
          </w:p>
        </w:tc>
        <w:tc>
          <w:tcPr>
            <w:tcW w:w="1842" w:type="dxa"/>
            <w:vAlign w:val="center"/>
          </w:tcPr>
          <w:p w:rsidR="00EE0C8C" w:rsidRPr="00EE0C8C" w:rsidRDefault="00EE0C8C" w:rsidP="00EE0C8C">
            <w:pPr>
              <w:tabs>
                <w:tab w:val="center" w:pos="4536"/>
                <w:tab w:val="right" w:pos="9072"/>
              </w:tabs>
              <w:jc w:val="center"/>
              <w:rPr>
                <w:rFonts w:ascii="Calibri" w:eastAsiaTheme="minorHAnsi" w:hAnsi="Calibri"/>
                <w:sz w:val="24"/>
                <w:szCs w:val="24"/>
              </w:rPr>
            </w:pPr>
            <w:r w:rsidRPr="00EE0C8C">
              <w:rPr>
                <w:rFonts w:ascii="Calibri" w:eastAsiaTheme="minorHAnsi" w:hAnsi="Calibri"/>
                <w:sz w:val="24"/>
                <w:szCs w:val="24"/>
              </w:rPr>
              <w:t>Liczba Gimnazjów</w:t>
            </w:r>
          </w:p>
        </w:tc>
        <w:tc>
          <w:tcPr>
            <w:tcW w:w="1842" w:type="dxa"/>
            <w:gridSpan w:val="2"/>
            <w:vAlign w:val="center"/>
          </w:tcPr>
          <w:p w:rsidR="00EE0C8C" w:rsidRPr="00EE0C8C" w:rsidRDefault="00EE0C8C" w:rsidP="00EE0C8C">
            <w:pPr>
              <w:tabs>
                <w:tab w:val="center" w:pos="4536"/>
                <w:tab w:val="right" w:pos="9072"/>
              </w:tabs>
              <w:jc w:val="center"/>
              <w:rPr>
                <w:rFonts w:ascii="Calibri" w:eastAsiaTheme="minorHAnsi" w:hAnsi="Calibri"/>
                <w:sz w:val="24"/>
                <w:szCs w:val="24"/>
              </w:rPr>
            </w:pPr>
            <w:r w:rsidRPr="00EE0C8C">
              <w:rPr>
                <w:rFonts w:ascii="Calibri" w:eastAsiaTheme="minorHAnsi" w:hAnsi="Calibri"/>
                <w:sz w:val="24"/>
                <w:szCs w:val="24"/>
              </w:rPr>
              <w:t>Liczba uczniów podlegających badaniu</w:t>
            </w:r>
          </w:p>
        </w:tc>
        <w:tc>
          <w:tcPr>
            <w:tcW w:w="1843" w:type="dxa"/>
            <w:gridSpan w:val="3"/>
            <w:vAlign w:val="center"/>
          </w:tcPr>
          <w:p w:rsidR="00EE0C8C" w:rsidRPr="00EE0C8C" w:rsidRDefault="00EE0C8C" w:rsidP="00EE0C8C">
            <w:pPr>
              <w:tabs>
                <w:tab w:val="center" w:pos="4536"/>
                <w:tab w:val="right" w:pos="9072"/>
              </w:tabs>
              <w:jc w:val="center"/>
              <w:rPr>
                <w:rFonts w:ascii="Calibri" w:eastAsiaTheme="minorHAnsi" w:hAnsi="Calibri"/>
                <w:sz w:val="24"/>
                <w:szCs w:val="24"/>
              </w:rPr>
            </w:pPr>
            <w:r w:rsidRPr="00EE0C8C">
              <w:rPr>
                <w:rFonts w:ascii="Calibri" w:eastAsiaTheme="minorHAnsi" w:hAnsi="Calibri"/>
                <w:sz w:val="24"/>
                <w:szCs w:val="24"/>
              </w:rPr>
              <w:t>Liczba uczniów z dodatnimi wynikami testów przesiewowych</w:t>
            </w:r>
          </w:p>
        </w:tc>
        <w:tc>
          <w:tcPr>
            <w:tcW w:w="1843" w:type="dxa"/>
            <w:vAlign w:val="center"/>
          </w:tcPr>
          <w:p w:rsidR="00EE0C8C" w:rsidRPr="00EE0C8C" w:rsidRDefault="00EE0C8C" w:rsidP="00EE0C8C">
            <w:pPr>
              <w:tabs>
                <w:tab w:val="center" w:pos="4536"/>
                <w:tab w:val="right" w:pos="9072"/>
              </w:tabs>
              <w:jc w:val="center"/>
              <w:rPr>
                <w:rFonts w:ascii="Calibri" w:eastAsiaTheme="minorHAnsi" w:hAnsi="Calibri"/>
                <w:sz w:val="24"/>
                <w:szCs w:val="24"/>
              </w:rPr>
            </w:pPr>
            <w:r w:rsidRPr="00EE0C8C">
              <w:rPr>
                <w:rFonts w:ascii="Calibri" w:eastAsiaTheme="minorHAnsi" w:hAnsi="Calibri"/>
                <w:sz w:val="24"/>
                <w:szCs w:val="24"/>
              </w:rPr>
              <w:t>Odsetek procent uczniów dodatnimi wynikami testów przesiewowych</w:t>
            </w:r>
          </w:p>
        </w:tc>
      </w:tr>
      <w:tr w:rsidR="00EE0C8C" w:rsidRPr="00EE0C8C" w:rsidTr="00A76BDB">
        <w:trPr>
          <w:trHeight w:val="414"/>
          <w:jc w:val="center"/>
        </w:trPr>
        <w:tc>
          <w:tcPr>
            <w:tcW w:w="1845" w:type="dxa"/>
          </w:tcPr>
          <w:p w:rsidR="00EE0C8C" w:rsidRPr="00EE0C8C" w:rsidRDefault="00EE0C8C" w:rsidP="00EE0C8C">
            <w:pPr>
              <w:tabs>
                <w:tab w:val="center" w:pos="4536"/>
                <w:tab w:val="right" w:pos="9072"/>
              </w:tabs>
              <w:rPr>
                <w:rFonts w:ascii="Calibri" w:eastAsiaTheme="minorHAnsi" w:hAnsi="Calibri"/>
                <w:sz w:val="24"/>
                <w:szCs w:val="24"/>
              </w:rPr>
            </w:pPr>
            <w:r w:rsidRPr="00EE0C8C">
              <w:rPr>
                <w:rFonts w:ascii="Calibri" w:eastAsiaTheme="minorHAnsi" w:hAnsi="Calibri"/>
                <w:sz w:val="24"/>
                <w:szCs w:val="24"/>
              </w:rPr>
              <w:t>2011/2012</w:t>
            </w:r>
          </w:p>
        </w:tc>
        <w:tc>
          <w:tcPr>
            <w:tcW w:w="1842" w:type="dxa"/>
          </w:tcPr>
          <w:p w:rsidR="00EE0C8C" w:rsidRPr="00EE0C8C" w:rsidRDefault="00EE0C8C" w:rsidP="00EE0C8C">
            <w:pPr>
              <w:tabs>
                <w:tab w:val="center" w:pos="4536"/>
                <w:tab w:val="right" w:pos="9072"/>
              </w:tabs>
              <w:rPr>
                <w:rFonts w:ascii="Calibri" w:eastAsiaTheme="minorHAnsi" w:hAnsi="Calibri"/>
                <w:sz w:val="24"/>
                <w:szCs w:val="24"/>
              </w:rPr>
            </w:pPr>
            <w:r w:rsidRPr="00EE0C8C">
              <w:rPr>
                <w:rFonts w:ascii="Calibri" w:eastAsiaTheme="minorHAnsi" w:hAnsi="Calibri"/>
                <w:sz w:val="24"/>
                <w:szCs w:val="24"/>
              </w:rPr>
              <w:t>1</w:t>
            </w:r>
          </w:p>
        </w:tc>
        <w:tc>
          <w:tcPr>
            <w:tcW w:w="1842" w:type="dxa"/>
            <w:gridSpan w:val="2"/>
          </w:tcPr>
          <w:p w:rsidR="00EE0C8C" w:rsidRPr="00EE0C8C" w:rsidRDefault="00EE0C8C" w:rsidP="00EE0C8C">
            <w:pPr>
              <w:tabs>
                <w:tab w:val="center" w:pos="4536"/>
                <w:tab w:val="right" w:pos="9072"/>
              </w:tabs>
              <w:rPr>
                <w:rFonts w:ascii="Calibri" w:eastAsiaTheme="minorHAnsi" w:hAnsi="Calibri"/>
                <w:sz w:val="24"/>
                <w:szCs w:val="24"/>
              </w:rPr>
            </w:pPr>
            <w:r w:rsidRPr="00EE0C8C">
              <w:rPr>
                <w:rFonts w:ascii="Calibri" w:eastAsiaTheme="minorHAnsi" w:hAnsi="Calibri"/>
                <w:sz w:val="24"/>
                <w:szCs w:val="24"/>
              </w:rPr>
              <w:t>87</w:t>
            </w:r>
          </w:p>
        </w:tc>
        <w:tc>
          <w:tcPr>
            <w:tcW w:w="1843" w:type="dxa"/>
            <w:gridSpan w:val="3"/>
          </w:tcPr>
          <w:p w:rsidR="00EE0C8C" w:rsidRPr="00EE0C8C" w:rsidRDefault="00EE0C8C" w:rsidP="00EE0C8C">
            <w:pPr>
              <w:tabs>
                <w:tab w:val="center" w:pos="4536"/>
                <w:tab w:val="right" w:pos="9072"/>
              </w:tabs>
              <w:rPr>
                <w:rFonts w:ascii="Calibri" w:eastAsiaTheme="minorHAnsi" w:hAnsi="Calibri"/>
                <w:sz w:val="24"/>
                <w:szCs w:val="24"/>
              </w:rPr>
            </w:pPr>
            <w:r w:rsidRPr="00EE0C8C">
              <w:rPr>
                <w:rFonts w:ascii="Calibri" w:eastAsiaTheme="minorHAnsi" w:hAnsi="Calibri"/>
                <w:sz w:val="24"/>
                <w:szCs w:val="24"/>
              </w:rPr>
              <w:t>32</w:t>
            </w:r>
          </w:p>
        </w:tc>
        <w:tc>
          <w:tcPr>
            <w:tcW w:w="1843" w:type="dxa"/>
          </w:tcPr>
          <w:p w:rsidR="00EE0C8C" w:rsidRPr="00EE0C8C" w:rsidRDefault="00EE0C8C" w:rsidP="00EE0C8C">
            <w:pPr>
              <w:tabs>
                <w:tab w:val="center" w:pos="4536"/>
                <w:tab w:val="right" w:pos="9072"/>
              </w:tabs>
              <w:rPr>
                <w:rFonts w:ascii="Calibri" w:eastAsiaTheme="minorHAnsi" w:hAnsi="Calibri"/>
                <w:sz w:val="24"/>
                <w:szCs w:val="24"/>
              </w:rPr>
            </w:pPr>
            <w:r w:rsidRPr="00EE0C8C">
              <w:rPr>
                <w:rFonts w:ascii="Calibri" w:eastAsiaTheme="minorHAnsi" w:hAnsi="Calibri"/>
                <w:sz w:val="24"/>
                <w:szCs w:val="24"/>
              </w:rPr>
              <w:t>36,0%</w:t>
            </w:r>
          </w:p>
        </w:tc>
      </w:tr>
      <w:tr w:rsidR="00EE0C8C" w:rsidRPr="00EE0C8C" w:rsidTr="00A76BDB">
        <w:trPr>
          <w:trHeight w:val="419"/>
          <w:jc w:val="center"/>
        </w:trPr>
        <w:tc>
          <w:tcPr>
            <w:tcW w:w="1845" w:type="dxa"/>
          </w:tcPr>
          <w:p w:rsidR="00EE0C8C" w:rsidRPr="00EE0C8C" w:rsidRDefault="00EE0C8C" w:rsidP="00EE0C8C">
            <w:pPr>
              <w:tabs>
                <w:tab w:val="center" w:pos="4536"/>
                <w:tab w:val="right" w:pos="9072"/>
              </w:tabs>
              <w:rPr>
                <w:rFonts w:ascii="Calibri" w:eastAsiaTheme="minorHAnsi" w:hAnsi="Calibri"/>
                <w:sz w:val="24"/>
                <w:szCs w:val="24"/>
              </w:rPr>
            </w:pPr>
            <w:r w:rsidRPr="00EE0C8C">
              <w:rPr>
                <w:rFonts w:ascii="Calibri" w:eastAsiaTheme="minorHAnsi" w:hAnsi="Calibri"/>
                <w:sz w:val="24"/>
                <w:szCs w:val="24"/>
              </w:rPr>
              <w:t>2012/2013</w:t>
            </w:r>
          </w:p>
        </w:tc>
        <w:tc>
          <w:tcPr>
            <w:tcW w:w="1842" w:type="dxa"/>
          </w:tcPr>
          <w:p w:rsidR="00EE0C8C" w:rsidRPr="00EE0C8C" w:rsidRDefault="00EE0C8C" w:rsidP="00EE0C8C">
            <w:pPr>
              <w:tabs>
                <w:tab w:val="center" w:pos="4536"/>
                <w:tab w:val="right" w:pos="9072"/>
              </w:tabs>
              <w:rPr>
                <w:rFonts w:ascii="Calibri" w:eastAsiaTheme="minorHAnsi" w:hAnsi="Calibri"/>
                <w:sz w:val="24"/>
                <w:szCs w:val="24"/>
              </w:rPr>
            </w:pPr>
            <w:r w:rsidRPr="00EE0C8C">
              <w:rPr>
                <w:rFonts w:ascii="Calibri" w:eastAsiaTheme="minorHAnsi" w:hAnsi="Calibri"/>
                <w:sz w:val="24"/>
                <w:szCs w:val="24"/>
              </w:rPr>
              <w:t>1</w:t>
            </w:r>
          </w:p>
        </w:tc>
        <w:tc>
          <w:tcPr>
            <w:tcW w:w="1842" w:type="dxa"/>
            <w:gridSpan w:val="2"/>
          </w:tcPr>
          <w:p w:rsidR="00EE0C8C" w:rsidRPr="00EE0C8C" w:rsidRDefault="00EE0C8C" w:rsidP="00EE0C8C">
            <w:pPr>
              <w:tabs>
                <w:tab w:val="center" w:pos="4536"/>
                <w:tab w:val="right" w:pos="9072"/>
              </w:tabs>
              <w:rPr>
                <w:rFonts w:ascii="Calibri" w:eastAsiaTheme="minorHAnsi" w:hAnsi="Calibri"/>
                <w:sz w:val="24"/>
                <w:szCs w:val="24"/>
              </w:rPr>
            </w:pPr>
            <w:r w:rsidRPr="00EE0C8C">
              <w:rPr>
                <w:rFonts w:ascii="Calibri" w:eastAsiaTheme="minorHAnsi" w:hAnsi="Calibri"/>
                <w:sz w:val="24"/>
                <w:szCs w:val="24"/>
              </w:rPr>
              <w:t>62</w:t>
            </w:r>
          </w:p>
        </w:tc>
        <w:tc>
          <w:tcPr>
            <w:tcW w:w="1843" w:type="dxa"/>
            <w:gridSpan w:val="3"/>
          </w:tcPr>
          <w:p w:rsidR="00EE0C8C" w:rsidRPr="00EE0C8C" w:rsidRDefault="00EE0C8C" w:rsidP="00EE0C8C">
            <w:pPr>
              <w:tabs>
                <w:tab w:val="center" w:pos="4536"/>
                <w:tab w:val="right" w:pos="9072"/>
              </w:tabs>
              <w:rPr>
                <w:rFonts w:ascii="Calibri" w:eastAsiaTheme="minorHAnsi" w:hAnsi="Calibri"/>
                <w:sz w:val="24"/>
                <w:szCs w:val="24"/>
              </w:rPr>
            </w:pPr>
            <w:r w:rsidRPr="00EE0C8C">
              <w:rPr>
                <w:rFonts w:ascii="Calibri" w:eastAsiaTheme="minorHAnsi" w:hAnsi="Calibri"/>
                <w:sz w:val="24"/>
                <w:szCs w:val="24"/>
              </w:rPr>
              <w:t>39</w:t>
            </w:r>
          </w:p>
        </w:tc>
        <w:tc>
          <w:tcPr>
            <w:tcW w:w="1843" w:type="dxa"/>
          </w:tcPr>
          <w:p w:rsidR="00EE0C8C" w:rsidRPr="00EE0C8C" w:rsidRDefault="00EE0C8C" w:rsidP="00EE0C8C">
            <w:pPr>
              <w:tabs>
                <w:tab w:val="center" w:pos="4536"/>
                <w:tab w:val="right" w:pos="9072"/>
              </w:tabs>
              <w:rPr>
                <w:rFonts w:ascii="Calibri" w:eastAsiaTheme="minorHAnsi" w:hAnsi="Calibri"/>
                <w:sz w:val="24"/>
                <w:szCs w:val="24"/>
              </w:rPr>
            </w:pPr>
            <w:r w:rsidRPr="00EE0C8C">
              <w:rPr>
                <w:rFonts w:ascii="Calibri" w:eastAsiaTheme="minorHAnsi" w:hAnsi="Calibri"/>
                <w:sz w:val="24"/>
                <w:szCs w:val="24"/>
              </w:rPr>
              <w:t>62,0%</w:t>
            </w:r>
          </w:p>
        </w:tc>
      </w:tr>
      <w:tr w:rsidR="00EE0C8C" w:rsidRPr="00EE0C8C" w:rsidTr="00A76BDB">
        <w:trPr>
          <w:trHeight w:val="412"/>
          <w:jc w:val="center"/>
        </w:trPr>
        <w:tc>
          <w:tcPr>
            <w:tcW w:w="1845" w:type="dxa"/>
          </w:tcPr>
          <w:p w:rsidR="00EE0C8C" w:rsidRPr="00EE0C8C" w:rsidRDefault="00EE0C8C" w:rsidP="00EE0C8C">
            <w:pPr>
              <w:tabs>
                <w:tab w:val="center" w:pos="4536"/>
                <w:tab w:val="right" w:pos="9072"/>
              </w:tabs>
              <w:rPr>
                <w:rFonts w:ascii="Calibri" w:eastAsiaTheme="minorHAnsi" w:hAnsi="Calibri"/>
                <w:sz w:val="24"/>
                <w:szCs w:val="24"/>
              </w:rPr>
            </w:pPr>
            <w:r w:rsidRPr="00EE0C8C">
              <w:rPr>
                <w:rFonts w:ascii="Calibri" w:eastAsiaTheme="minorHAnsi" w:hAnsi="Calibri"/>
                <w:sz w:val="24"/>
                <w:szCs w:val="24"/>
              </w:rPr>
              <w:t>2013/2014</w:t>
            </w:r>
          </w:p>
        </w:tc>
        <w:tc>
          <w:tcPr>
            <w:tcW w:w="1842" w:type="dxa"/>
          </w:tcPr>
          <w:p w:rsidR="00EE0C8C" w:rsidRPr="00EE0C8C" w:rsidRDefault="00EE0C8C" w:rsidP="00EE0C8C">
            <w:pPr>
              <w:tabs>
                <w:tab w:val="center" w:pos="4536"/>
                <w:tab w:val="right" w:pos="9072"/>
              </w:tabs>
              <w:rPr>
                <w:rFonts w:ascii="Calibri" w:eastAsiaTheme="minorHAnsi" w:hAnsi="Calibri"/>
                <w:sz w:val="24"/>
                <w:szCs w:val="24"/>
              </w:rPr>
            </w:pPr>
            <w:r w:rsidRPr="00EE0C8C">
              <w:rPr>
                <w:rFonts w:ascii="Calibri" w:eastAsiaTheme="minorHAnsi" w:hAnsi="Calibri"/>
                <w:sz w:val="24"/>
                <w:szCs w:val="24"/>
              </w:rPr>
              <w:t>1</w:t>
            </w:r>
          </w:p>
        </w:tc>
        <w:tc>
          <w:tcPr>
            <w:tcW w:w="1842" w:type="dxa"/>
            <w:gridSpan w:val="2"/>
          </w:tcPr>
          <w:p w:rsidR="00EE0C8C" w:rsidRPr="00EE0C8C" w:rsidRDefault="00EE0C8C" w:rsidP="00EE0C8C">
            <w:pPr>
              <w:tabs>
                <w:tab w:val="center" w:pos="4536"/>
                <w:tab w:val="right" w:pos="9072"/>
              </w:tabs>
              <w:rPr>
                <w:rFonts w:ascii="Calibri" w:eastAsiaTheme="minorHAnsi" w:hAnsi="Calibri"/>
                <w:sz w:val="24"/>
                <w:szCs w:val="24"/>
              </w:rPr>
            </w:pPr>
            <w:r w:rsidRPr="00EE0C8C">
              <w:rPr>
                <w:rFonts w:ascii="Calibri" w:eastAsiaTheme="minorHAnsi" w:hAnsi="Calibri"/>
                <w:sz w:val="24"/>
                <w:szCs w:val="24"/>
              </w:rPr>
              <w:t>90</w:t>
            </w:r>
          </w:p>
        </w:tc>
        <w:tc>
          <w:tcPr>
            <w:tcW w:w="1843" w:type="dxa"/>
            <w:gridSpan w:val="3"/>
          </w:tcPr>
          <w:p w:rsidR="00EE0C8C" w:rsidRPr="00EE0C8C" w:rsidRDefault="00EE0C8C" w:rsidP="00EE0C8C">
            <w:pPr>
              <w:tabs>
                <w:tab w:val="center" w:pos="4536"/>
                <w:tab w:val="right" w:pos="9072"/>
              </w:tabs>
              <w:rPr>
                <w:rFonts w:ascii="Calibri" w:eastAsiaTheme="minorHAnsi" w:hAnsi="Calibri"/>
                <w:sz w:val="24"/>
                <w:szCs w:val="24"/>
              </w:rPr>
            </w:pPr>
            <w:r w:rsidRPr="00EE0C8C">
              <w:rPr>
                <w:rFonts w:ascii="Calibri" w:eastAsiaTheme="minorHAnsi" w:hAnsi="Calibri"/>
                <w:sz w:val="24"/>
                <w:szCs w:val="24"/>
              </w:rPr>
              <w:t>49</w:t>
            </w:r>
          </w:p>
        </w:tc>
        <w:tc>
          <w:tcPr>
            <w:tcW w:w="1843" w:type="dxa"/>
          </w:tcPr>
          <w:p w:rsidR="00EE0C8C" w:rsidRPr="00EE0C8C" w:rsidRDefault="00EE0C8C" w:rsidP="00EE0C8C">
            <w:pPr>
              <w:tabs>
                <w:tab w:val="center" w:pos="4536"/>
                <w:tab w:val="right" w:pos="9072"/>
              </w:tabs>
              <w:rPr>
                <w:rFonts w:ascii="Calibri" w:eastAsiaTheme="minorHAnsi" w:hAnsi="Calibri"/>
                <w:sz w:val="24"/>
                <w:szCs w:val="24"/>
              </w:rPr>
            </w:pPr>
            <w:r w:rsidRPr="00EE0C8C">
              <w:rPr>
                <w:rFonts w:ascii="Calibri" w:eastAsiaTheme="minorHAnsi" w:hAnsi="Calibri"/>
                <w:sz w:val="24"/>
                <w:szCs w:val="24"/>
              </w:rPr>
              <w:t>54,0%</w:t>
            </w:r>
          </w:p>
        </w:tc>
      </w:tr>
      <w:tr w:rsidR="00EE0C8C" w:rsidRPr="00EE0C8C" w:rsidTr="00A76BDB">
        <w:trPr>
          <w:trHeight w:val="418"/>
          <w:jc w:val="center"/>
        </w:trPr>
        <w:tc>
          <w:tcPr>
            <w:tcW w:w="1845" w:type="dxa"/>
            <w:tcBorders>
              <w:right w:val="single" w:sz="4" w:space="0" w:color="auto"/>
            </w:tcBorders>
          </w:tcPr>
          <w:p w:rsidR="00EE0C8C" w:rsidRPr="00EE0C8C" w:rsidRDefault="00EE0C8C" w:rsidP="00EE0C8C">
            <w:pPr>
              <w:tabs>
                <w:tab w:val="center" w:pos="4536"/>
                <w:tab w:val="right" w:pos="9072"/>
              </w:tabs>
              <w:rPr>
                <w:rFonts w:ascii="Calibri" w:eastAsiaTheme="minorHAnsi" w:hAnsi="Calibri"/>
                <w:sz w:val="24"/>
                <w:szCs w:val="24"/>
              </w:rPr>
            </w:pPr>
            <w:r w:rsidRPr="00EE0C8C">
              <w:rPr>
                <w:rFonts w:ascii="Calibri" w:eastAsiaTheme="minorHAnsi" w:hAnsi="Calibri"/>
                <w:sz w:val="24"/>
                <w:szCs w:val="24"/>
              </w:rPr>
              <w:t>2014/2015</w:t>
            </w:r>
          </w:p>
        </w:tc>
        <w:tc>
          <w:tcPr>
            <w:tcW w:w="1842" w:type="dxa"/>
            <w:tcBorders>
              <w:left w:val="single" w:sz="4" w:space="0" w:color="auto"/>
            </w:tcBorders>
          </w:tcPr>
          <w:p w:rsidR="00EE0C8C" w:rsidRPr="00EE0C8C" w:rsidRDefault="00EE0C8C" w:rsidP="00EE0C8C">
            <w:pPr>
              <w:tabs>
                <w:tab w:val="center" w:pos="4536"/>
                <w:tab w:val="right" w:pos="9072"/>
              </w:tabs>
              <w:rPr>
                <w:rFonts w:ascii="Calibri" w:eastAsiaTheme="minorHAnsi" w:hAnsi="Calibri"/>
                <w:sz w:val="24"/>
                <w:szCs w:val="24"/>
              </w:rPr>
            </w:pPr>
            <w:r w:rsidRPr="00EE0C8C">
              <w:rPr>
                <w:rFonts w:ascii="Calibri" w:eastAsiaTheme="minorHAnsi" w:hAnsi="Calibri"/>
                <w:sz w:val="24"/>
                <w:szCs w:val="24"/>
              </w:rPr>
              <w:t>1</w:t>
            </w:r>
          </w:p>
        </w:tc>
        <w:tc>
          <w:tcPr>
            <w:tcW w:w="1842" w:type="dxa"/>
            <w:gridSpan w:val="2"/>
            <w:tcBorders>
              <w:right w:val="single" w:sz="4" w:space="0" w:color="auto"/>
            </w:tcBorders>
          </w:tcPr>
          <w:p w:rsidR="00EE0C8C" w:rsidRPr="00EE0C8C" w:rsidRDefault="00EE0C8C" w:rsidP="00EE0C8C">
            <w:pPr>
              <w:tabs>
                <w:tab w:val="center" w:pos="4536"/>
                <w:tab w:val="right" w:pos="9072"/>
              </w:tabs>
              <w:rPr>
                <w:rFonts w:ascii="Calibri" w:eastAsiaTheme="minorHAnsi" w:hAnsi="Calibri"/>
                <w:sz w:val="24"/>
                <w:szCs w:val="24"/>
              </w:rPr>
            </w:pPr>
            <w:r w:rsidRPr="00EE0C8C">
              <w:rPr>
                <w:rFonts w:ascii="Calibri" w:eastAsiaTheme="minorHAnsi" w:hAnsi="Calibri"/>
                <w:sz w:val="24"/>
                <w:szCs w:val="24"/>
              </w:rPr>
              <w:t>69</w:t>
            </w:r>
          </w:p>
        </w:tc>
        <w:tc>
          <w:tcPr>
            <w:tcW w:w="1843" w:type="dxa"/>
            <w:gridSpan w:val="3"/>
            <w:tcBorders>
              <w:left w:val="single" w:sz="4" w:space="0" w:color="auto"/>
              <w:right w:val="single" w:sz="4" w:space="0" w:color="auto"/>
            </w:tcBorders>
          </w:tcPr>
          <w:p w:rsidR="00EE0C8C" w:rsidRPr="00EE0C8C" w:rsidRDefault="00EE0C8C" w:rsidP="00EE0C8C">
            <w:pPr>
              <w:tabs>
                <w:tab w:val="center" w:pos="4536"/>
                <w:tab w:val="right" w:pos="9072"/>
              </w:tabs>
              <w:rPr>
                <w:rFonts w:ascii="Calibri" w:eastAsiaTheme="minorHAnsi" w:hAnsi="Calibri"/>
                <w:sz w:val="24"/>
                <w:szCs w:val="24"/>
              </w:rPr>
            </w:pPr>
            <w:r w:rsidRPr="00EE0C8C">
              <w:rPr>
                <w:rFonts w:ascii="Calibri" w:eastAsiaTheme="minorHAnsi" w:hAnsi="Calibri"/>
                <w:sz w:val="24"/>
                <w:szCs w:val="24"/>
              </w:rPr>
              <w:t>40</w:t>
            </w:r>
          </w:p>
        </w:tc>
        <w:tc>
          <w:tcPr>
            <w:tcW w:w="1843" w:type="dxa"/>
            <w:tcBorders>
              <w:left w:val="single" w:sz="4" w:space="0" w:color="auto"/>
            </w:tcBorders>
          </w:tcPr>
          <w:p w:rsidR="00EE0C8C" w:rsidRPr="00EE0C8C" w:rsidRDefault="00EE0C8C" w:rsidP="00EE0C8C">
            <w:pPr>
              <w:tabs>
                <w:tab w:val="center" w:pos="4536"/>
                <w:tab w:val="right" w:pos="9072"/>
              </w:tabs>
              <w:rPr>
                <w:rFonts w:ascii="Calibri" w:eastAsiaTheme="minorHAnsi" w:hAnsi="Calibri"/>
                <w:sz w:val="24"/>
                <w:szCs w:val="24"/>
              </w:rPr>
            </w:pPr>
            <w:r w:rsidRPr="00EE0C8C">
              <w:rPr>
                <w:rFonts w:ascii="Calibri" w:eastAsiaTheme="minorHAnsi" w:hAnsi="Calibri"/>
                <w:sz w:val="24"/>
                <w:szCs w:val="24"/>
              </w:rPr>
              <w:t>57.0%</w:t>
            </w:r>
          </w:p>
        </w:tc>
      </w:tr>
      <w:tr w:rsidR="00EE0C8C" w:rsidRPr="00EE0C8C" w:rsidTr="00A76BDB">
        <w:tblPrEx>
          <w:tblCellMar>
            <w:left w:w="70" w:type="dxa"/>
            <w:right w:w="70" w:type="dxa"/>
          </w:tblCellMar>
          <w:tblLook w:val="0000" w:firstRow="0" w:lastRow="0" w:firstColumn="0" w:lastColumn="0" w:noHBand="0" w:noVBand="0"/>
        </w:tblPrEx>
        <w:trPr>
          <w:trHeight w:val="420"/>
          <w:jc w:val="center"/>
        </w:trPr>
        <w:tc>
          <w:tcPr>
            <w:tcW w:w="1845" w:type="dxa"/>
          </w:tcPr>
          <w:p w:rsidR="00EE0C8C" w:rsidRPr="00EE0C8C" w:rsidRDefault="00EE0C8C" w:rsidP="00EE0C8C">
            <w:pPr>
              <w:tabs>
                <w:tab w:val="center" w:pos="4536"/>
                <w:tab w:val="right" w:pos="9072"/>
              </w:tabs>
              <w:ind w:left="108"/>
              <w:rPr>
                <w:rFonts w:ascii="Calibri" w:eastAsiaTheme="minorHAnsi" w:hAnsi="Calibri"/>
                <w:sz w:val="24"/>
                <w:szCs w:val="24"/>
              </w:rPr>
            </w:pPr>
            <w:r w:rsidRPr="00EE0C8C">
              <w:rPr>
                <w:rFonts w:ascii="Calibri" w:eastAsiaTheme="minorHAnsi" w:hAnsi="Calibri"/>
                <w:sz w:val="24"/>
                <w:szCs w:val="24"/>
              </w:rPr>
              <w:t>2015/2016</w:t>
            </w:r>
          </w:p>
        </w:tc>
        <w:tc>
          <w:tcPr>
            <w:tcW w:w="1860" w:type="dxa"/>
            <w:gridSpan w:val="2"/>
          </w:tcPr>
          <w:p w:rsidR="00EE0C8C" w:rsidRPr="00EE0C8C" w:rsidRDefault="00EE0C8C" w:rsidP="00EE0C8C">
            <w:pPr>
              <w:tabs>
                <w:tab w:val="center" w:pos="4536"/>
                <w:tab w:val="right" w:pos="9072"/>
              </w:tabs>
              <w:rPr>
                <w:rFonts w:ascii="Calibri" w:eastAsia="Calibri" w:hAnsi="Calibri"/>
                <w:sz w:val="24"/>
                <w:szCs w:val="24"/>
              </w:rPr>
            </w:pPr>
            <w:r w:rsidRPr="00EE0C8C">
              <w:rPr>
                <w:rFonts w:ascii="Calibri" w:eastAsiaTheme="minorHAnsi" w:hAnsi="Calibri"/>
                <w:sz w:val="24"/>
                <w:szCs w:val="24"/>
              </w:rPr>
              <w:t>1</w:t>
            </w:r>
          </w:p>
        </w:tc>
        <w:tc>
          <w:tcPr>
            <w:tcW w:w="1830" w:type="dxa"/>
            <w:gridSpan w:val="2"/>
          </w:tcPr>
          <w:p w:rsidR="00EE0C8C" w:rsidRPr="00EE0C8C" w:rsidRDefault="00EE0C8C" w:rsidP="00EE0C8C">
            <w:pPr>
              <w:tabs>
                <w:tab w:val="center" w:pos="4536"/>
                <w:tab w:val="right" w:pos="9072"/>
              </w:tabs>
              <w:rPr>
                <w:rFonts w:ascii="Calibri" w:eastAsia="Calibri" w:hAnsi="Calibri"/>
                <w:sz w:val="24"/>
                <w:szCs w:val="24"/>
              </w:rPr>
            </w:pPr>
            <w:r w:rsidRPr="00EE0C8C">
              <w:rPr>
                <w:rFonts w:ascii="Calibri" w:eastAsiaTheme="minorHAnsi" w:hAnsi="Calibri"/>
                <w:sz w:val="24"/>
                <w:szCs w:val="24"/>
              </w:rPr>
              <w:t>77</w:t>
            </w:r>
          </w:p>
        </w:tc>
        <w:tc>
          <w:tcPr>
            <w:tcW w:w="1830" w:type="dxa"/>
          </w:tcPr>
          <w:p w:rsidR="00EE0C8C" w:rsidRPr="00EE0C8C" w:rsidRDefault="00EE0C8C" w:rsidP="00EE0C8C">
            <w:pPr>
              <w:tabs>
                <w:tab w:val="center" w:pos="4536"/>
                <w:tab w:val="right" w:pos="9072"/>
              </w:tabs>
              <w:rPr>
                <w:rFonts w:ascii="Calibri" w:eastAsia="Calibri" w:hAnsi="Calibri"/>
                <w:sz w:val="24"/>
                <w:szCs w:val="24"/>
              </w:rPr>
            </w:pPr>
            <w:r w:rsidRPr="00EE0C8C">
              <w:rPr>
                <w:rFonts w:ascii="Calibri" w:eastAsiaTheme="minorHAnsi" w:hAnsi="Calibri"/>
                <w:sz w:val="24"/>
                <w:szCs w:val="24"/>
              </w:rPr>
              <w:t>55</w:t>
            </w:r>
          </w:p>
        </w:tc>
        <w:tc>
          <w:tcPr>
            <w:tcW w:w="1850" w:type="dxa"/>
            <w:gridSpan w:val="2"/>
          </w:tcPr>
          <w:p w:rsidR="00EE0C8C" w:rsidRPr="00EE0C8C" w:rsidRDefault="00EE0C8C" w:rsidP="00EE0C8C">
            <w:pPr>
              <w:tabs>
                <w:tab w:val="center" w:pos="4536"/>
                <w:tab w:val="right" w:pos="9072"/>
              </w:tabs>
              <w:rPr>
                <w:rFonts w:ascii="Calibri" w:eastAsia="Calibri" w:hAnsi="Calibri"/>
                <w:sz w:val="24"/>
                <w:szCs w:val="24"/>
              </w:rPr>
            </w:pPr>
            <w:r w:rsidRPr="00EE0C8C">
              <w:rPr>
                <w:rFonts w:ascii="Calibri" w:eastAsiaTheme="minorHAnsi" w:hAnsi="Calibri"/>
                <w:sz w:val="24"/>
                <w:szCs w:val="24"/>
              </w:rPr>
              <w:t>71,0%</w:t>
            </w:r>
          </w:p>
        </w:tc>
      </w:tr>
    </w:tbl>
    <w:p w:rsidR="00EE0C8C" w:rsidRPr="00EE0C8C" w:rsidRDefault="00EE0C8C" w:rsidP="00EE0C8C">
      <w:pPr>
        <w:rPr>
          <w:rFonts w:ascii="Calibri" w:eastAsia="Times New Roman" w:hAnsi="Calibri" w:cs="Times New Roman"/>
          <w:sz w:val="24"/>
          <w:szCs w:val="24"/>
          <w:lang w:eastAsia="pl-PL"/>
        </w:rPr>
      </w:pPr>
      <w:r w:rsidRPr="00EE0C8C">
        <w:rPr>
          <w:rFonts w:ascii="Calibri" w:eastAsia="Times New Roman" w:hAnsi="Calibri" w:cs="Times New Roman"/>
          <w:sz w:val="24"/>
          <w:szCs w:val="24"/>
          <w:lang w:eastAsia="pl-PL"/>
        </w:rPr>
        <w:t xml:space="preserve">     W tabelach poniżej przedstawiono wyniki zaburzeń nadmiernej wagi ciała uczniów szkół podstawowych   w latach szkolnych od 2011r do 2016r</w:t>
      </w:r>
    </w:p>
    <w:p w:rsidR="00EE0C8C" w:rsidRPr="00EE0C8C" w:rsidRDefault="00EE0C8C" w:rsidP="00EE0C8C">
      <w:pPr>
        <w:rPr>
          <w:rFonts w:ascii="Calibri" w:eastAsia="Times New Roman" w:hAnsi="Calibri" w:cs="Times New Roman"/>
          <w:sz w:val="24"/>
          <w:szCs w:val="24"/>
          <w:lang w:eastAsia="pl-PL"/>
        </w:rPr>
      </w:pPr>
    </w:p>
    <w:p w:rsidR="00EE0C8C" w:rsidRPr="00EE0C8C" w:rsidRDefault="00EE0C8C" w:rsidP="00EE0C8C">
      <w:pPr>
        <w:rPr>
          <w:rFonts w:ascii="Calibri" w:eastAsia="Times New Roman" w:hAnsi="Calibri" w:cs="Times New Roman"/>
          <w:sz w:val="24"/>
          <w:szCs w:val="24"/>
          <w:lang w:eastAsia="pl-PL"/>
        </w:rPr>
      </w:pPr>
      <w:r w:rsidRPr="00EE0C8C">
        <w:rPr>
          <w:rFonts w:ascii="Calibri" w:eastAsia="Times New Roman" w:hAnsi="Calibri" w:cs="Times New Roman"/>
          <w:sz w:val="24"/>
          <w:szCs w:val="24"/>
          <w:lang w:eastAsia="pl-PL"/>
        </w:rPr>
        <w:t>Tabela nr 3  . Wyniki zaburzeń nadmiernej wagi ciała uczniów w szkołach podstawowych z terenu gminy Mirzec .</w:t>
      </w:r>
    </w:p>
    <w:tbl>
      <w:tblPr>
        <w:tblStyle w:val="Tabela-Siatka5"/>
        <w:tblW w:w="0" w:type="auto"/>
        <w:jc w:val="center"/>
        <w:tblLook w:val="04A0" w:firstRow="1" w:lastRow="0" w:firstColumn="1" w:lastColumn="0" w:noHBand="0" w:noVBand="1"/>
      </w:tblPr>
      <w:tblGrid>
        <w:gridCol w:w="1663"/>
        <w:gridCol w:w="1695"/>
        <w:gridCol w:w="6"/>
        <w:gridCol w:w="1988"/>
        <w:gridCol w:w="1409"/>
        <w:gridCol w:w="1341"/>
        <w:gridCol w:w="9"/>
        <w:gridCol w:w="1177"/>
      </w:tblGrid>
      <w:tr w:rsidR="00EE0C8C" w:rsidRPr="00EE0C8C" w:rsidTr="00A76BDB">
        <w:trPr>
          <w:jc w:val="center"/>
        </w:trPr>
        <w:tc>
          <w:tcPr>
            <w:tcW w:w="1663" w:type="dxa"/>
            <w:vAlign w:val="center"/>
          </w:tcPr>
          <w:p w:rsidR="00EE0C8C" w:rsidRPr="00EE0C8C" w:rsidRDefault="00EE0C8C" w:rsidP="00EE0C8C">
            <w:pPr>
              <w:tabs>
                <w:tab w:val="center" w:pos="4536"/>
                <w:tab w:val="right" w:pos="9072"/>
              </w:tabs>
              <w:jc w:val="center"/>
              <w:rPr>
                <w:rFonts w:ascii="Calibri" w:eastAsiaTheme="minorHAnsi" w:hAnsi="Calibri"/>
                <w:sz w:val="24"/>
                <w:szCs w:val="24"/>
              </w:rPr>
            </w:pPr>
            <w:r w:rsidRPr="00EE0C8C">
              <w:rPr>
                <w:rFonts w:ascii="Calibri" w:eastAsiaTheme="minorHAnsi" w:hAnsi="Calibri"/>
                <w:sz w:val="24"/>
                <w:szCs w:val="24"/>
              </w:rPr>
              <w:t>Rok szkolny</w:t>
            </w:r>
          </w:p>
        </w:tc>
        <w:tc>
          <w:tcPr>
            <w:tcW w:w="1701" w:type="dxa"/>
            <w:gridSpan w:val="2"/>
            <w:vAlign w:val="center"/>
          </w:tcPr>
          <w:p w:rsidR="00EE0C8C" w:rsidRPr="00EE0C8C" w:rsidRDefault="00EE0C8C" w:rsidP="00EE0C8C">
            <w:pPr>
              <w:tabs>
                <w:tab w:val="center" w:pos="4536"/>
                <w:tab w:val="right" w:pos="9072"/>
              </w:tabs>
              <w:jc w:val="center"/>
              <w:rPr>
                <w:rFonts w:ascii="Calibri" w:eastAsiaTheme="minorHAnsi" w:hAnsi="Calibri"/>
                <w:sz w:val="24"/>
                <w:szCs w:val="24"/>
              </w:rPr>
            </w:pPr>
            <w:r w:rsidRPr="00EE0C8C">
              <w:rPr>
                <w:rFonts w:ascii="Calibri" w:eastAsiaTheme="minorHAnsi" w:hAnsi="Calibri"/>
                <w:sz w:val="24"/>
                <w:szCs w:val="24"/>
              </w:rPr>
              <w:t>Liczba szkół podstawowych</w:t>
            </w:r>
          </w:p>
        </w:tc>
        <w:tc>
          <w:tcPr>
            <w:tcW w:w="1989" w:type="dxa"/>
            <w:vAlign w:val="center"/>
          </w:tcPr>
          <w:p w:rsidR="00EE0C8C" w:rsidRPr="00EE0C8C" w:rsidRDefault="00EE0C8C" w:rsidP="00EE0C8C">
            <w:pPr>
              <w:tabs>
                <w:tab w:val="center" w:pos="4536"/>
                <w:tab w:val="right" w:pos="9072"/>
              </w:tabs>
              <w:jc w:val="center"/>
              <w:rPr>
                <w:rFonts w:ascii="Calibri" w:eastAsiaTheme="minorHAnsi" w:hAnsi="Calibri"/>
                <w:sz w:val="24"/>
                <w:szCs w:val="24"/>
              </w:rPr>
            </w:pPr>
            <w:r w:rsidRPr="00EE0C8C">
              <w:rPr>
                <w:rFonts w:ascii="Calibri" w:eastAsiaTheme="minorHAnsi" w:hAnsi="Calibri"/>
                <w:sz w:val="24"/>
                <w:szCs w:val="24"/>
              </w:rPr>
              <w:t>Liczba uczniów podlegających badaniu</w:t>
            </w:r>
          </w:p>
        </w:tc>
        <w:tc>
          <w:tcPr>
            <w:tcW w:w="1408" w:type="dxa"/>
            <w:vAlign w:val="center"/>
          </w:tcPr>
          <w:p w:rsidR="00EE0C8C" w:rsidRPr="00EE0C8C" w:rsidRDefault="00EE0C8C" w:rsidP="00EE0C8C">
            <w:pPr>
              <w:tabs>
                <w:tab w:val="center" w:pos="4536"/>
                <w:tab w:val="right" w:pos="9072"/>
              </w:tabs>
              <w:rPr>
                <w:rFonts w:ascii="Calibri" w:eastAsiaTheme="minorHAnsi" w:hAnsi="Calibri"/>
                <w:sz w:val="24"/>
                <w:szCs w:val="24"/>
              </w:rPr>
            </w:pPr>
            <w:r w:rsidRPr="00EE0C8C">
              <w:rPr>
                <w:rFonts w:ascii="Calibri" w:eastAsiaTheme="minorHAnsi" w:hAnsi="Calibri"/>
                <w:sz w:val="24"/>
                <w:szCs w:val="24"/>
              </w:rPr>
              <w:t xml:space="preserve">Nadwaga </w:t>
            </w:r>
          </w:p>
          <w:p w:rsidR="00EE0C8C" w:rsidRPr="00EE0C8C" w:rsidRDefault="00EE0C8C" w:rsidP="00EE0C8C">
            <w:pPr>
              <w:tabs>
                <w:tab w:val="center" w:pos="4536"/>
                <w:tab w:val="right" w:pos="9072"/>
              </w:tabs>
              <w:rPr>
                <w:rFonts w:ascii="Calibri" w:eastAsiaTheme="minorHAnsi" w:hAnsi="Calibri"/>
                <w:sz w:val="24"/>
                <w:szCs w:val="24"/>
              </w:rPr>
            </w:pPr>
            <w:r w:rsidRPr="00EE0C8C">
              <w:rPr>
                <w:rFonts w:ascii="Calibri" w:eastAsiaTheme="minorHAnsi" w:hAnsi="Calibri"/>
                <w:sz w:val="24"/>
                <w:szCs w:val="24"/>
              </w:rPr>
              <w:t>Wskaźnik BMI 25-29,9</w:t>
            </w:r>
          </w:p>
        </w:tc>
        <w:tc>
          <w:tcPr>
            <w:tcW w:w="1341" w:type="dxa"/>
            <w:vAlign w:val="center"/>
          </w:tcPr>
          <w:p w:rsidR="00EE0C8C" w:rsidRPr="00EE0C8C" w:rsidRDefault="00EE0C8C" w:rsidP="00EE0C8C">
            <w:pPr>
              <w:tabs>
                <w:tab w:val="center" w:pos="4536"/>
                <w:tab w:val="right" w:pos="9072"/>
              </w:tabs>
              <w:jc w:val="center"/>
              <w:rPr>
                <w:rFonts w:ascii="Calibri" w:eastAsiaTheme="minorHAnsi" w:hAnsi="Calibri"/>
                <w:sz w:val="24"/>
                <w:szCs w:val="24"/>
              </w:rPr>
            </w:pPr>
            <w:r w:rsidRPr="00EE0C8C">
              <w:rPr>
                <w:rFonts w:ascii="Calibri" w:eastAsiaTheme="minorHAnsi" w:hAnsi="Calibri"/>
                <w:sz w:val="24"/>
                <w:szCs w:val="24"/>
              </w:rPr>
              <w:t>Otyłość</w:t>
            </w:r>
          </w:p>
          <w:p w:rsidR="00EE0C8C" w:rsidRPr="00EE0C8C" w:rsidRDefault="00EE0C8C" w:rsidP="00EE0C8C">
            <w:pPr>
              <w:tabs>
                <w:tab w:val="center" w:pos="4536"/>
                <w:tab w:val="right" w:pos="9072"/>
              </w:tabs>
              <w:jc w:val="center"/>
              <w:rPr>
                <w:rFonts w:ascii="Calibri" w:eastAsiaTheme="minorHAnsi" w:hAnsi="Calibri"/>
                <w:sz w:val="24"/>
                <w:szCs w:val="24"/>
              </w:rPr>
            </w:pPr>
            <w:r w:rsidRPr="00EE0C8C">
              <w:rPr>
                <w:rFonts w:ascii="Calibri" w:eastAsiaTheme="minorHAnsi" w:hAnsi="Calibri"/>
                <w:sz w:val="24"/>
                <w:szCs w:val="24"/>
              </w:rPr>
              <w:t xml:space="preserve">Wskażnik BMIpow.30 </w:t>
            </w:r>
          </w:p>
        </w:tc>
        <w:tc>
          <w:tcPr>
            <w:tcW w:w="1186" w:type="dxa"/>
            <w:gridSpan w:val="2"/>
            <w:tcBorders>
              <w:top w:val="single" w:sz="4" w:space="0" w:color="auto"/>
              <w:bottom w:val="single" w:sz="4" w:space="0" w:color="auto"/>
              <w:right w:val="single" w:sz="4" w:space="0" w:color="auto"/>
            </w:tcBorders>
            <w:shd w:val="clear" w:color="auto" w:fill="auto"/>
          </w:tcPr>
          <w:p w:rsidR="00EE0C8C" w:rsidRPr="00EE0C8C" w:rsidRDefault="00EE0C8C" w:rsidP="00EE0C8C">
            <w:pPr>
              <w:tabs>
                <w:tab w:val="center" w:pos="4536"/>
                <w:tab w:val="right" w:pos="9072"/>
              </w:tabs>
              <w:rPr>
                <w:rFonts w:ascii="Calibri" w:eastAsiaTheme="minorHAnsi" w:hAnsi="Calibri"/>
              </w:rPr>
            </w:pPr>
            <w:r w:rsidRPr="00EE0C8C">
              <w:rPr>
                <w:rFonts w:ascii="Calibri" w:eastAsiaTheme="minorHAnsi" w:hAnsi="Calibri"/>
              </w:rPr>
              <w:t xml:space="preserve">%zaburzeń </w:t>
            </w:r>
          </w:p>
          <w:p w:rsidR="00EE0C8C" w:rsidRPr="00EE0C8C" w:rsidRDefault="00EE0C8C" w:rsidP="00EE0C8C">
            <w:pPr>
              <w:tabs>
                <w:tab w:val="center" w:pos="4536"/>
                <w:tab w:val="right" w:pos="9072"/>
              </w:tabs>
              <w:rPr>
                <w:rFonts w:ascii="Calibri" w:eastAsiaTheme="minorHAnsi" w:hAnsi="Calibri"/>
              </w:rPr>
            </w:pPr>
            <w:r w:rsidRPr="00EE0C8C">
              <w:rPr>
                <w:rFonts w:ascii="Calibri" w:eastAsiaTheme="minorHAnsi" w:hAnsi="Calibri"/>
              </w:rPr>
              <w:t>Masy ciała</w:t>
            </w:r>
          </w:p>
          <w:p w:rsidR="00EE0C8C" w:rsidRPr="00EE0C8C" w:rsidRDefault="00EE0C8C" w:rsidP="00EE0C8C">
            <w:pPr>
              <w:tabs>
                <w:tab w:val="center" w:pos="4536"/>
                <w:tab w:val="right" w:pos="9072"/>
              </w:tabs>
              <w:rPr>
                <w:rFonts w:ascii="Calibri" w:eastAsiaTheme="minorHAnsi" w:hAnsi="Calibri"/>
              </w:rPr>
            </w:pPr>
            <w:r w:rsidRPr="00EE0C8C">
              <w:rPr>
                <w:rFonts w:ascii="Calibri" w:eastAsiaTheme="minorHAnsi" w:hAnsi="Calibri"/>
              </w:rPr>
              <w:t>Wady postawy</w:t>
            </w:r>
          </w:p>
        </w:tc>
      </w:tr>
      <w:tr w:rsidR="00EE0C8C" w:rsidRPr="00EE0C8C" w:rsidTr="00A76BDB">
        <w:trPr>
          <w:trHeight w:val="414"/>
          <w:jc w:val="center"/>
        </w:trPr>
        <w:tc>
          <w:tcPr>
            <w:tcW w:w="1663" w:type="dxa"/>
          </w:tcPr>
          <w:p w:rsidR="00EE0C8C" w:rsidRPr="00EE0C8C" w:rsidRDefault="00EE0C8C" w:rsidP="00EE0C8C">
            <w:pPr>
              <w:tabs>
                <w:tab w:val="center" w:pos="4536"/>
                <w:tab w:val="right" w:pos="9072"/>
              </w:tabs>
              <w:rPr>
                <w:rFonts w:ascii="Calibri" w:eastAsiaTheme="minorHAnsi" w:hAnsi="Calibri"/>
                <w:sz w:val="24"/>
                <w:szCs w:val="24"/>
              </w:rPr>
            </w:pPr>
            <w:r w:rsidRPr="00EE0C8C">
              <w:rPr>
                <w:rFonts w:ascii="Calibri" w:eastAsiaTheme="minorHAnsi" w:hAnsi="Calibri"/>
                <w:sz w:val="24"/>
                <w:szCs w:val="24"/>
              </w:rPr>
              <w:t>2011/2012</w:t>
            </w:r>
          </w:p>
        </w:tc>
        <w:tc>
          <w:tcPr>
            <w:tcW w:w="1701" w:type="dxa"/>
            <w:gridSpan w:val="2"/>
          </w:tcPr>
          <w:p w:rsidR="00EE0C8C" w:rsidRPr="00EE0C8C" w:rsidRDefault="00EE0C8C" w:rsidP="00EE0C8C">
            <w:pPr>
              <w:tabs>
                <w:tab w:val="center" w:pos="4536"/>
                <w:tab w:val="right" w:pos="9072"/>
              </w:tabs>
              <w:rPr>
                <w:rFonts w:ascii="Calibri" w:eastAsiaTheme="minorHAnsi" w:hAnsi="Calibri"/>
                <w:sz w:val="24"/>
                <w:szCs w:val="24"/>
              </w:rPr>
            </w:pPr>
            <w:r w:rsidRPr="00EE0C8C">
              <w:rPr>
                <w:rFonts w:ascii="Calibri" w:eastAsiaTheme="minorHAnsi" w:hAnsi="Calibri"/>
                <w:sz w:val="24"/>
                <w:szCs w:val="24"/>
              </w:rPr>
              <w:t>8</w:t>
            </w:r>
          </w:p>
        </w:tc>
        <w:tc>
          <w:tcPr>
            <w:tcW w:w="1989" w:type="dxa"/>
          </w:tcPr>
          <w:p w:rsidR="00EE0C8C" w:rsidRPr="00EE0C8C" w:rsidRDefault="00EE0C8C" w:rsidP="00EE0C8C">
            <w:pPr>
              <w:tabs>
                <w:tab w:val="center" w:pos="4536"/>
                <w:tab w:val="right" w:pos="9072"/>
              </w:tabs>
              <w:rPr>
                <w:rFonts w:ascii="Calibri" w:eastAsiaTheme="minorHAnsi" w:hAnsi="Calibri"/>
                <w:sz w:val="24"/>
                <w:szCs w:val="24"/>
              </w:rPr>
            </w:pPr>
            <w:r w:rsidRPr="00EE0C8C">
              <w:rPr>
                <w:rFonts w:ascii="Calibri" w:eastAsiaTheme="minorHAnsi" w:hAnsi="Calibri"/>
                <w:sz w:val="24"/>
                <w:szCs w:val="24"/>
              </w:rPr>
              <w:t>310</w:t>
            </w:r>
          </w:p>
        </w:tc>
        <w:tc>
          <w:tcPr>
            <w:tcW w:w="1408" w:type="dxa"/>
          </w:tcPr>
          <w:p w:rsidR="00EE0C8C" w:rsidRPr="00EE0C8C" w:rsidRDefault="00EE0C8C" w:rsidP="00EE0C8C">
            <w:pPr>
              <w:tabs>
                <w:tab w:val="center" w:pos="4536"/>
                <w:tab w:val="right" w:pos="9072"/>
              </w:tabs>
              <w:rPr>
                <w:rFonts w:ascii="Calibri" w:eastAsiaTheme="minorHAnsi" w:hAnsi="Calibri"/>
                <w:sz w:val="24"/>
                <w:szCs w:val="24"/>
              </w:rPr>
            </w:pPr>
            <w:r w:rsidRPr="00EE0C8C">
              <w:rPr>
                <w:rFonts w:ascii="Calibri" w:eastAsiaTheme="minorHAnsi" w:hAnsi="Calibri"/>
                <w:sz w:val="24"/>
                <w:szCs w:val="24"/>
              </w:rPr>
              <w:t>30</w:t>
            </w:r>
          </w:p>
        </w:tc>
        <w:tc>
          <w:tcPr>
            <w:tcW w:w="1341" w:type="dxa"/>
          </w:tcPr>
          <w:p w:rsidR="00EE0C8C" w:rsidRPr="00EE0C8C" w:rsidRDefault="00EE0C8C" w:rsidP="00EE0C8C">
            <w:pPr>
              <w:tabs>
                <w:tab w:val="center" w:pos="4536"/>
                <w:tab w:val="right" w:pos="9072"/>
              </w:tabs>
              <w:rPr>
                <w:rFonts w:ascii="Calibri" w:eastAsiaTheme="minorHAnsi" w:hAnsi="Calibri"/>
                <w:sz w:val="24"/>
                <w:szCs w:val="24"/>
              </w:rPr>
            </w:pPr>
            <w:r w:rsidRPr="00EE0C8C">
              <w:rPr>
                <w:rFonts w:ascii="Calibri" w:eastAsiaTheme="minorHAnsi" w:hAnsi="Calibri"/>
                <w:sz w:val="24"/>
                <w:szCs w:val="24"/>
              </w:rPr>
              <w:t>24</w:t>
            </w:r>
          </w:p>
        </w:tc>
        <w:tc>
          <w:tcPr>
            <w:tcW w:w="1186" w:type="dxa"/>
            <w:gridSpan w:val="2"/>
            <w:tcBorders>
              <w:top w:val="single" w:sz="4" w:space="0" w:color="auto"/>
              <w:bottom w:val="single" w:sz="4" w:space="0" w:color="auto"/>
              <w:right w:val="single" w:sz="4" w:space="0" w:color="auto"/>
            </w:tcBorders>
            <w:shd w:val="clear" w:color="auto" w:fill="auto"/>
          </w:tcPr>
          <w:p w:rsidR="00EE0C8C" w:rsidRPr="00EE0C8C" w:rsidRDefault="00EE0C8C" w:rsidP="00EE0C8C">
            <w:pPr>
              <w:tabs>
                <w:tab w:val="center" w:pos="4536"/>
                <w:tab w:val="right" w:pos="9072"/>
              </w:tabs>
              <w:rPr>
                <w:rFonts w:ascii="Calibri" w:eastAsiaTheme="minorHAnsi" w:hAnsi="Calibri"/>
              </w:rPr>
            </w:pPr>
            <w:r w:rsidRPr="00EE0C8C">
              <w:rPr>
                <w:rFonts w:ascii="Calibri" w:eastAsiaTheme="minorHAnsi" w:hAnsi="Calibri"/>
              </w:rPr>
              <w:t>45</w:t>
            </w:r>
          </w:p>
        </w:tc>
      </w:tr>
      <w:tr w:rsidR="00EE0C8C" w:rsidRPr="00EE0C8C" w:rsidTr="00A76BDB">
        <w:trPr>
          <w:trHeight w:val="419"/>
          <w:jc w:val="center"/>
        </w:trPr>
        <w:tc>
          <w:tcPr>
            <w:tcW w:w="1663" w:type="dxa"/>
          </w:tcPr>
          <w:p w:rsidR="00EE0C8C" w:rsidRPr="00EE0C8C" w:rsidRDefault="00EE0C8C" w:rsidP="00EE0C8C">
            <w:pPr>
              <w:tabs>
                <w:tab w:val="center" w:pos="4536"/>
                <w:tab w:val="right" w:pos="9072"/>
              </w:tabs>
              <w:rPr>
                <w:rFonts w:ascii="Calibri" w:eastAsiaTheme="minorHAnsi" w:hAnsi="Calibri"/>
                <w:sz w:val="24"/>
                <w:szCs w:val="24"/>
              </w:rPr>
            </w:pPr>
            <w:r w:rsidRPr="00EE0C8C">
              <w:rPr>
                <w:rFonts w:ascii="Calibri" w:eastAsiaTheme="minorHAnsi" w:hAnsi="Calibri"/>
                <w:sz w:val="24"/>
                <w:szCs w:val="24"/>
              </w:rPr>
              <w:t>2012/2013</w:t>
            </w:r>
          </w:p>
        </w:tc>
        <w:tc>
          <w:tcPr>
            <w:tcW w:w="1701" w:type="dxa"/>
            <w:gridSpan w:val="2"/>
          </w:tcPr>
          <w:p w:rsidR="00EE0C8C" w:rsidRPr="00EE0C8C" w:rsidRDefault="00EE0C8C" w:rsidP="00EE0C8C">
            <w:pPr>
              <w:tabs>
                <w:tab w:val="center" w:pos="4536"/>
                <w:tab w:val="right" w:pos="9072"/>
              </w:tabs>
              <w:rPr>
                <w:rFonts w:ascii="Calibri" w:eastAsiaTheme="minorHAnsi" w:hAnsi="Calibri"/>
                <w:sz w:val="24"/>
                <w:szCs w:val="24"/>
              </w:rPr>
            </w:pPr>
            <w:r w:rsidRPr="00EE0C8C">
              <w:rPr>
                <w:rFonts w:ascii="Calibri" w:eastAsiaTheme="minorHAnsi" w:hAnsi="Calibri"/>
                <w:sz w:val="24"/>
                <w:szCs w:val="24"/>
              </w:rPr>
              <w:t>8</w:t>
            </w:r>
          </w:p>
        </w:tc>
        <w:tc>
          <w:tcPr>
            <w:tcW w:w="1989" w:type="dxa"/>
          </w:tcPr>
          <w:p w:rsidR="00EE0C8C" w:rsidRPr="00EE0C8C" w:rsidRDefault="00EE0C8C" w:rsidP="00EE0C8C">
            <w:pPr>
              <w:tabs>
                <w:tab w:val="center" w:pos="4536"/>
                <w:tab w:val="right" w:pos="9072"/>
              </w:tabs>
              <w:rPr>
                <w:rFonts w:ascii="Calibri" w:eastAsiaTheme="minorHAnsi" w:hAnsi="Calibri"/>
                <w:sz w:val="24"/>
                <w:szCs w:val="24"/>
              </w:rPr>
            </w:pPr>
            <w:r w:rsidRPr="00EE0C8C">
              <w:rPr>
                <w:rFonts w:ascii="Calibri" w:eastAsiaTheme="minorHAnsi" w:hAnsi="Calibri"/>
                <w:sz w:val="24"/>
                <w:szCs w:val="24"/>
              </w:rPr>
              <w:t>284</w:t>
            </w:r>
          </w:p>
        </w:tc>
        <w:tc>
          <w:tcPr>
            <w:tcW w:w="1408" w:type="dxa"/>
          </w:tcPr>
          <w:p w:rsidR="00EE0C8C" w:rsidRPr="00EE0C8C" w:rsidRDefault="00EE0C8C" w:rsidP="00EE0C8C">
            <w:pPr>
              <w:tabs>
                <w:tab w:val="center" w:pos="4536"/>
                <w:tab w:val="right" w:pos="9072"/>
              </w:tabs>
              <w:rPr>
                <w:rFonts w:ascii="Calibri" w:eastAsiaTheme="minorHAnsi" w:hAnsi="Calibri"/>
                <w:sz w:val="24"/>
                <w:szCs w:val="24"/>
              </w:rPr>
            </w:pPr>
            <w:r w:rsidRPr="00EE0C8C">
              <w:rPr>
                <w:rFonts w:ascii="Calibri" w:eastAsiaTheme="minorHAnsi" w:hAnsi="Calibri"/>
                <w:sz w:val="24"/>
                <w:szCs w:val="24"/>
              </w:rPr>
              <w:t>38</w:t>
            </w:r>
          </w:p>
        </w:tc>
        <w:tc>
          <w:tcPr>
            <w:tcW w:w="1341" w:type="dxa"/>
          </w:tcPr>
          <w:p w:rsidR="00EE0C8C" w:rsidRPr="00EE0C8C" w:rsidRDefault="00EE0C8C" w:rsidP="00EE0C8C">
            <w:pPr>
              <w:tabs>
                <w:tab w:val="center" w:pos="4536"/>
                <w:tab w:val="right" w:pos="9072"/>
              </w:tabs>
              <w:rPr>
                <w:rFonts w:ascii="Calibri" w:eastAsiaTheme="minorHAnsi" w:hAnsi="Calibri"/>
                <w:sz w:val="24"/>
                <w:szCs w:val="24"/>
              </w:rPr>
            </w:pPr>
            <w:r w:rsidRPr="00EE0C8C">
              <w:rPr>
                <w:rFonts w:ascii="Calibri" w:eastAsiaTheme="minorHAnsi" w:hAnsi="Calibri"/>
                <w:sz w:val="24"/>
                <w:szCs w:val="24"/>
              </w:rPr>
              <w:t>29</w:t>
            </w:r>
          </w:p>
        </w:tc>
        <w:tc>
          <w:tcPr>
            <w:tcW w:w="1186" w:type="dxa"/>
            <w:gridSpan w:val="2"/>
            <w:tcBorders>
              <w:top w:val="single" w:sz="4" w:space="0" w:color="auto"/>
              <w:bottom w:val="single" w:sz="4" w:space="0" w:color="auto"/>
              <w:right w:val="single" w:sz="4" w:space="0" w:color="auto"/>
            </w:tcBorders>
            <w:shd w:val="clear" w:color="auto" w:fill="auto"/>
          </w:tcPr>
          <w:p w:rsidR="00EE0C8C" w:rsidRPr="00EE0C8C" w:rsidRDefault="00EE0C8C" w:rsidP="00EE0C8C">
            <w:pPr>
              <w:tabs>
                <w:tab w:val="center" w:pos="4536"/>
                <w:tab w:val="right" w:pos="9072"/>
              </w:tabs>
              <w:rPr>
                <w:rFonts w:ascii="Calibri" w:eastAsiaTheme="minorHAnsi" w:hAnsi="Calibri"/>
              </w:rPr>
            </w:pPr>
            <w:r w:rsidRPr="00EE0C8C">
              <w:rPr>
                <w:rFonts w:ascii="Calibri" w:eastAsiaTheme="minorHAnsi" w:hAnsi="Calibri"/>
              </w:rPr>
              <w:t>51</w:t>
            </w:r>
          </w:p>
        </w:tc>
      </w:tr>
      <w:tr w:rsidR="00EE0C8C" w:rsidRPr="00EE0C8C" w:rsidTr="00A76BDB">
        <w:trPr>
          <w:trHeight w:val="412"/>
          <w:jc w:val="center"/>
        </w:trPr>
        <w:tc>
          <w:tcPr>
            <w:tcW w:w="1663" w:type="dxa"/>
          </w:tcPr>
          <w:p w:rsidR="00EE0C8C" w:rsidRPr="00EE0C8C" w:rsidRDefault="00EE0C8C" w:rsidP="00EE0C8C">
            <w:pPr>
              <w:tabs>
                <w:tab w:val="center" w:pos="4536"/>
                <w:tab w:val="right" w:pos="9072"/>
              </w:tabs>
              <w:rPr>
                <w:rFonts w:ascii="Calibri" w:eastAsiaTheme="minorHAnsi" w:hAnsi="Calibri"/>
                <w:sz w:val="24"/>
                <w:szCs w:val="24"/>
              </w:rPr>
            </w:pPr>
            <w:r w:rsidRPr="00EE0C8C">
              <w:rPr>
                <w:rFonts w:ascii="Calibri" w:eastAsiaTheme="minorHAnsi" w:hAnsi="Calibri"/>
                <w:sz w:val="24"/>
                <w:szCs w:val="24"/>
              </w:rPr>
              <w:t>2013/2014</w:t>
            </w:r>
          </w:p>
        </w:tc>
        <w:tc>
          <w:tcPr>
            <w:tcW w:w="1701" w:type="dxa"/>
            <w:gridSpan w:val="2"/>
          </w:tcPr>
          <w:p w:rsidR="00EE0C8C" w:rsidRPr="00EE0C8C" w:rsidRDefault="00EE0C8C" w:rsidP="00EE0C8C">
            <w:pPr>
              <w:tabs>
                <w:tab w:val="center" w:pos="4536"/>
                <w:tab w:val="right" w:pos="9072"/>
              </w:tabs>
              <w:rPr>
                <w:rFonts w:ascii="Calibri" w:eastAsiaTheme="minorHAnsi" w:hAnsi="Calibri"/>
                <w:sz w:val="24"/>
                <w:szCs w:val="24"/>
              </w:rPr>
            </w:pPr>
            <w:r w:rsidRPr="00EE0C8C">
              <w:rPr>
                <w:rFonts w:ascii="Calibri" w:eastAsiaTheme="minorHAnsi" w:hAnsi="Calibri"/>
                <w:sz w:val="24"/>
                <w:szCs w:val="24"/>
              </w:rPr>
              <w:t>8</w:t>
            </w:r>
          </w:p>
        </w:tc>
        <w:tc>
          <w:tcPr>
            <w:tcW w:w="1989" w:type="dxa"/>
          </w:tcPr>
          <w:p w:rsidR="00EE0C8C" w:rsidRPr="00EE0C8C" w:rsidRDefault="00EE0C8C" w:rsidP="00EE0C8C">
            <w:pPr>
              <w:tabs>
                <w:tab w:val="center" w:pos="4536"/>
                <w:tab w:val="right" w:pos="9072"/>
              </w:tabs>
              <w:rPr>
                <w:rFonts w:ascii="Calibri" w:eastAsiaTheme="minorHAnsi" w:hAnsi="Calibri"/>
                <w:sz w:val="24"/>
                <w:szCs w:val="24"/>
              </w:rPr>
            </w:pPr>
            <w:r w:rsidRPr="00EE0C8C">
              <w:rPr>
                <w:rFonts w:ascii="Calibri" w:eastAsiaTheme="minorHAnsi" w:hAnsi="Calibri"/>
                <w:sz w:val="24"/>
                <w:szCs w:val="24"/>
              </w:rPr>
              <w:t>297</w:t>
            </w:r>
          </w:p>
        </w:tc>
        <w:tc>
          <w:tcPr>
            <w:tcW w:w="1408" w:type="dxa"/>
          </w:tcPr>
          <w:p w:rsidR="00EE0C8C" w:rsidRPr="00EE0C8C" w:rsidRDefault="00EE0C8C" w:rsidP="00EE0C8C">
            <w:pPr>
              <w:tabs>
                <w:tab w:val="center" w:pos="4536"/>
                <w:tab w:val="right" w:pos="9072"/>
              </w:tabs>
              <w:rPr>
                <w:rFonts w:ascii="Calibri" w:eastAsiaTheme="minorHAnsi" w:hAnsi="Calibri"/>
                <w:sz w:val="24"/>
                <w:szCs w:val="24"/>
              </w:rPr>
            </w:pPr>
            <w:r w:rsidRPr="00EE0C8C">
              <w:rPr>
                <w:rFonts w:ascii="Calibri" w:eastAsiaTheme="minorHAnsi" w:hAnsi="Calibri"/>
                <w:sz w:val="24"/>
                <w:szCs w:val="24"/>
              </w:rPr>
              <w:t>41</w:t>
            </w:r>
          </w:p>
        </w:tc>
        <w:tc>
          <w:tcPr>
            <w:tcW w:w="1341" w:type="dxa"/>
          </w:tcPr>
          <w:p w:rsidR="00EE0C8C" w:rsidRPr="00EE0C8C" w:rsidRDefault="00EE0C8C" w:rsidP="00EE0C8C">
            <w:pPr>
              <w:tabs>
                <w:tab w:val="center" w:pos="4536"/>
                <w:tab w:val="right" w:pos="9072"/>
              </w:tabs>
              <w:rPr>
                <w:rFonts w:ascii="Calibri" w:eastAsiaTheme="minorHAnsi" w:hAnsi="Calibri"/>
                <w:sz w:val="24"/>
                <w:szCs w:val="24"/>
              </w:rPr>
            </w:pPr>
            <w:r w:rsidRPr="00EE0C8C">
              <w:rPr>
                <w:rFonts w:ascii="Calibri" w:eastAsiaTheme="minorHAnsi" w:hAnsi="Calibri"/>
                <w:sz w:val="24"/>
                <w:szCs w:val="24"/>
              </w:rPr>
              <w:t>32</w:t>
            </w:r>
          </w:p>
        </w:tc>
        <w:tc>
          <w:tcPr>
            <w:tcW w:w="1186" w:type="dxa"/>
            <w:gridSpan w:val="2"/>
            <w:tcBorders>
              <w:top w:val="single" w:sz="4" w:space="0" w:color="auto"/>
              <w:bottom w:val="single" w:sz="4" w:space="0" w:color="auto"/>
              <w:right w:val="single" w:sz="4" w:space="0" w:color="auto"/>
            </w:tcBorders>
            <w:shd w:val="clear" w:color="auto" w:fill="auto"/>
          </w:tcPr>
          <w:p w:rsidR="00EE0C8C" w:rsidRPr="00EE0C8C" w:rsidRDefault="00EE0C8C" w:rsidP="00EE0C8C">
            <w:pPr>
              <w:tabs>
                <w:tab w:val="center" w:pos="4536"/>
                <w:tab w:val="right" w:pos="9072"/>
              </w:tabs>
              <w:rPr>
                <w:rFonts w:ascii="Calibri" w:eastAsiaTheme="minorHAnsi" w:hAnsi="Calibri"/>
              </w:rPr>
            </w:pPr>
            <w:r w:rsidRPr="00EE0C8C">
              <w:rPr>
                <w:rFonts w:ascii="Calibri" w:eastAsiaTheme="minorHAnsi" w:hAnsi="Calibri"/>
              </w:rPr>
              <w:t>53</w:t>
            </w:r>
          </w:p>
        </w:tc>
      </w:tr>
      <w:tr w:rsidR="00EE0C8C" w:rsidRPr="00EE0C8C" w:rsidTr="00A76BDB">
        <w:trPr>
          <w:trHeight w:val="418"/>
          <w:jc w:val="center"/>
        </w:trPr>
        <w:tc>
          <w:tcPr>
            <w:tcW w:w="1663" w:type="dxa"/>
            <w:tcBorders>
              <w:right w:val="single" w:sz="4" w:space="0" w:color="auto"/>
            </w:tcBorders>
          </w:tcPr>
          <w:p w:rsidR="00EE0C8C" w:rsidRPr="00EE0C8C" w:rsidRDefault="00EE0C8C" w:rsidP="00EE0C8C">
            <w:pPr>
              <w:tabs>
                <w:tab w:val="center" w:pos="4536"/>
                <w:tab w:val="right" w:pos="9072"/>
              </w:tabs>
              <w:rPr>
                <w:rFonts w:ascii="Calibri" w:eastAsiaTheme="minorHAnsi" w:hAnsi="Calibri"/>
                <w:sz w:val="24"/>
                <w:szCs w:val="24"/>
              </w:rPr>
            </w:pPr>
            <w:r w:rsidRPr="00EE0C8C">
              <w:rPr>
                <w:rFonts w:ascii="Calibri" w:eastAsiaTheme="minorHAnsi" w:hAnsi="Calibri"/>
                <w:sz w:val="24"/>
                <w:szCs w:val="24"/>
              </w:rPr>
              <w:lastRenderedPageBreak/>
              <w:t>2014/2015</w:t>
            </w:r>
          </w:p>
        </w:tc>
        <w:tc>
          <w:tcPr>
            <w:tcW w:w="1701" w:type="dxa"/>
            <w:gridSpan w:val="2"/>
            <w:tcBorders>
              <w:left w:val="single" w:sz="4" w:space="0" w:color="auto"/>
              <w:right w:val="single" w:sz="4" w:space="0" w:color="auto"/>
            </w:tcBorders>
          </w:tcPr>
          <w:p w:rsidR="00EE0C8C" w:rsidRPr="00EE0C8C" w:rsidRDefault="00EE0C8C" w:rsidP="00EE0C8C">
            <w:pPr>
              <w:tabs>
                <w:tab w:val="center" w:pos="4536"/>
                <w:tab w:val="right" w:pos="9072"/>
              </w:tabs>
              <w:rPr>
                <w:rFonts w:ascii="Calibri" w:eastAsiaTheme="minorHAnsi" w:hAnsi="Calibri"/>
                <w:sz w:val="24"/>
                <w:szCs w:val="24"/>
              </w:rPr>
            </w:pPr>
            <w:r w:rsidRPr="00EE0C8C">
              <w:rPr>
                <w:rFonts w:ascii="Calibri" w:eastAsiaTheme="minorHAnsi" w:hAnsi="Calibri"/>
                <w:sz w:val="24"/>
                <w:szCs w:val="24"/>
              </w:rPr>
              <w:t>8</w:t>
            </w:r>
          </w:p>
        </w:tc>
        <w:tc>
          <w:tcPr>
            <w:tcW w:w="1989" w:type="dxa"/>
            <w:tcBorders>
              <w:left w:val="single" w:sz="4" w:space="0" w:color="auto"/>
            </w:tcBorders>
          </w:tcPr>
          <w:p w:rsidR="00EE0C8C" w:rsidRPr="00EE0C8C" w:rsidRDefault="00EE0C8C" w:rsidP="00EE0C8C">
            <w:pPr>
              <w:tabs>
                <w:tab w:val="center" w:pos="4536"/>
                <w:tab w:val="right" w:pos="9072"/>
              </w:tabs>
              <w:rPr>
                <w:rFonts w:ascii="Calibri" w:eastAsiaTheme="minorHAnsi" w:hAnsi="Calibri"/>
                <w:sz w:val="24"/>
                <w:szCs w:val="24"/>
              </w:rPr>
            </w:pPr>
            <w:r w:rsidRPr="00EE0C8C">
              <w:rPr>
                <w:rFonts w:ascii="Calibri" w:eastAsiaTheme="minorHAnsi" w:hAnsi="Calibri"/>
                <w:sz w:val="24"/>
                <w:szCs w:val="24"/>
              </w:rPr>
              <w:t>312</w:t>
            </w:r>
          </w:p>
        </w:tc>
        <w:tc>
          <w:tcPr>
            <w:tcW w:w="1408" w:type="dxa"/>
          </w:tcPr>
          <w:p w:rsidR="00EE0C8C" w:rsidRPr="00EE0C8C" w:rsidRDefault="00EE0C8C" w:rsidP="00EE0C8C">
            <w:pPr>
              <w:tabs>
                <w:tab w:val="center" w:pos="4536"/>
                <w:tab w:val="right" w:pos="9072"/>
              </w:tabs>
              <w:rPr>
                <w:rFonts w:ascii="Calibri" w:eastAsiaTheme="minorHAnsi" w:hAnsi="Calibri"/>
                <w:sz w:val="24"/>
                <w:szCs w:val="24"/>
              </w:rPr>
            </w:pPr>
            <w:r w:rsidRPr="00EE0C8C">
              <w:rPr>
                <w:rFonts w:ascii="Calibri" w:eastAsiaTheme="minorHAnsi" w:hAnsi="Calibri"/>
                <w:sz w:val="24"/>
                <w:szCs w:val="24"/>
              </w:rPr>
              <w:t>48</w:t>
            </w:r>
          </w:p>
        </w:tc>
        <w:tc>
          <w:tcPr>
            <w:tcW w:w="1341" w:type="dxa"/>
            <w:tcBorders>
              <w:bottom w:val="single" w:sz="4" w:space="0" w:color="auto"/>
            </w:tcBorders>
          </w:tcPr>
          <w:p w:rsidR="00EE0C8C" w:rsidRPr="00EE0C8C" w:rsidRDefault="00EE0C8C" w:rsidP="00EE0C8C">
            <w:pPr>
              <w:tabs>
                <w:tab w:val="center" w:pos="4536"/>
                <w:tab w:val="right" w:pos="9072"/>
              </w:tabs>
              <w:rPr>
                <w:rFonts w:ascii="Calibri" w:eastAsiaTheme="minorHAnsi" w:hAnsi="Calibri"/>
                <w:sz w:val="24"/>
                <w:szCs w:val="24"/>
              </w:rPr>
            </w:pPr>
            <w:r w:rsidRPr="00EE0C8C">
              <w:rPr>
                <w:rFonts w:ascii="Calibri" w:eastAsiaTheme="minorHAnsi" w:hAnsi="Calibri"/>
                <w:sz w:val="24"/>
                <w:szCs w:val="24"/>
              </w:rPr>
              <w:t>36</w:t>
            </w:r>
          </w:p>
        </w:tc>
        <w:tc>
          <w:tcPr>
            <w:tcW w:w="1186" w:type="dxa"/>
            <w:gridSpan w:val="2"/>
            <w:tcBorders>
              <w:top w:val="single" w:sz="4" w:space="0" w:color="auto"/>
              <w:bottom w:val="single" w:sz="4" w:space="0" w:color="auto"/>
              <w:right w:val="single" w:sz="4" w:space="0" w:color="auto"/>
            </w:tcBorders>
            <w:shd w:val="clear" w:color="auto" w:fill="auto"/>
          </w:tcPr>
          <w:p w:rsidR="00EE0C8C" w:rsidRPr="00EE0C8C" w:rsidRDefault="00EE0C8C" w:rsidP="00EE0C8C">
            <w:pPr>
              <w:tabs>
                <w:tab w:val="center" w:pos="4536"/>
                <w:tab w:val="right" w:pos="9072"/>
              </w:tabs>
              <w:rPr>
                <w:rFonts w:ascii="Calibri" w:eastAsiaTheme="minorHAnsi" w:hAnsi="Calibri"/>
              </w:rPr>
            </w:pPr>
            <w:r w:rsidRPr="00EE0C8C">
              <w:rPr>
                <w:rFonts w:ascii="Calibri" w:eastAsiaTheme="minorHAnsi" w:hAnsi="Calibri"/>
              </w:rPr>
              <w:t>58</w:t>
            </w:r>
          </w:p>
        </w:tc>
      </w:tr>
      <w:tr w:rsidR="00EE0C8C" w:rsidRPr="00EE0C8C" w:rsidTr="00A76BDB">
        <w:tblPrEx>
          <w:tblCellMar>
            <w:left w:w="70" w:type="dxa"/>
            <w:right w:w="70" w:type="dxa"/>
          </w:tblCellMar>
          <w:tblLook w:val="0000" w:firstRow="0" w:lastRow="0" w:firstColumn="0" w:lastColumn="0" w:noHBand="0" w:noVBand="0"/>
        </w:tblPrEx>
        <w:trPr>
          <w:trHeight w:val="585"/>
          <w:jc w:val="center"/>
        </w:trPr>
        <w:tc>
          <w:tcPr>
            <w:tcW w:w="1663" w:type="dxa"/>
          </w:tcPr>
          <w:p w:rsidR="00EE0C8C" w:rsidRPr="00EE0C8C" w:rsidRDefault="00EE0C8C" w:rsidP="00EE0C8C">
            <w:pPr>
              <w:tabs>
                <w:tab w:val="center" w:pos="4536"/>
                <w:tab w:val="right" w:pos="9072"/>
              </w:tabs>
              <w:ind w:left="108"/>
              <w:rPr>
                <w:rFonts w:ascii="Calibri" w:eastAsiaTheme="minorHAnsi" w:hAnsi="Calibri"/>
                <w:sz w:val="24"/>
                <w:szCs w:val="24"/>
              </w:rPr>
            </w:pPr>
            <w:r w:rsidRPr="00EE0C8C">
              <w:rPr>
                <w:rFonts w:ascii="Calibri" w:eastAsiaTheme="minorHAnsi" w:hAnsi="Calibri"/>
                <w:sz w:val="24"/>
                <w:szCs w:val="24"/>
              </w:rPr>
              <w:t>2015/2016</w:t>
            </w:r>
          </w:p>
        </w:tc>
        <w:tc>
          <w:tcPr>
            <w:tcW w:w="1695" w:type="dxa"/>
          </w:tcPr>
          <w:p w:rsidR="00EE0C8C" w:rsidRPr="00EE0C8C" w:rsidRDefault="00EE0C8C" w:rsidP="00EE0C8C">
            <w:pPr>
              <w:tabs>
                <w:tab w:val="center" w:pos="4536"/>
                <w:tab w:val="right" w:pos="9072"/>
              </w:tabs>
              <w:jc w:val="both"/>
              <w:rPr>
                <w:rFonts w:ascii="Calibri" w:eastAsia="Calibri" w:hAnsi="Calibri"/>
                <w:sz w:val="24"/>
                <w:szCs w:val="24"/>
              </w:rPr>
            </w:pPr>
            <w:r w:rsidRPr="00EE0C8C">
              <w:rPr>
                <w:rFonts w:ascii="Calibri" w:eastAsiaTheme="minorHAnsi" w:hAnsi="Calibri"/>
                <w:sz w:val="24"/>
                <w:szCs w:val="24"/>
              </w:rPr>
              <w:t>8</w:t>
            </w:r>
          </w:p>
        </w:tc>
        <w:tc>
          <w:tcPr>
            <w:tcW w:w="1995" w:type="dxa"/>
            <w:gridSpan w:val="2"/>
          </w:tcPr>
          <w:p w:rsidR="00EE0C8C" w:rsidRPr="00EE0C8C" w:rsidRDefault="00EE0C8C" w:rsidP="00EE0C8C">
            <w:pPr>
              <w:tabs>
                <w:tab w:val="center" w:pos="4536"/>
                <w:tab w:val="right" w:pos="9072"/>
              </w:tabs>
              <w:jc w:val="both"/>
              <w:rPr>
                <w:rFonts w:ascii="Calibri" w:eastAsia="Calibri" w:hAnsi="Calibri"/>
                <w:sz w:val="24"/>
                <w:szCs w:val="24"/>
              </w:rPr>
            </w:pPr>
            <w:r w:rsidRPr="00EE0C8C">
              <w:rPr>
                <w:rFonts w:ascii="Calibri" w:eastAsiaTheme="minorHAnsi" w:hAnsi="Calibri"/>
                <w:sz w:val="24"/>
                <w:szCs w:val="24"/>
              </w:rPr>
              <w:t>315</w:t>
            </w:r>
          </w:p>
        </w:tc>
        <w:tc>
          <w:tcPr>
            <w:tcW w:w="1410" w:type="dxa"/>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38</w:t>
            </w:r>
          </w:p>
          <w:p w:rsidR="00EE0C8C" w:rsidRPr="00EE0C8C" w:rsidRDefault="00EE0C8C" w:rsidP="00EE0C8C">
            <w:pPr>
              <w:tabs>
                <w:tab w:val="center" w:pos="4536"/>
                <w:tab w:val="right" w:pos="9072"/>
              </w:tabs>
              <w:ind w:left="798"/>
              <w:jc w:val="both"/>
              <w:rPr>
                <w:rFonts w:ascii="Calibri" w:eastAsia="Calibri" w:hAnsi="Calibri"/>
                <w:sz w:val="24"/>
                <w:szCs w:val="24"/>
              </w:rPr>
            </w:pPr>
          </w:p>
        </w:tc>
        <w:tc>
          <w:tcPr>
            <w:tcW w:w="1350" w:type="dxa"/>
            <w:gridSpan w:val="2"/>
          </w:tcPr>
          <w:p w:rsidR="00EE0C8C" w:rsidRPr="00EE0C8C" w:rsidRDefault="00EE0C8C" w:rsidP="00EE0C8C">
            <w:pPr>
              <w:tabs>
                <w:tab w:val="center" w:pos="4536"/>
                <w:tab w:val="right" w:pos="9072"/>
              </w:tabs>
              <w:jc w:val="both"/>
              <w:rPr>
                <w:rFonts w:ascii="Calibri" w:eastAsiaTheme="minorHAnsi" w:hAnsi="Calibri"/>
                <w:sz w:val="24"/>
                <w:szCs w:val="24"/>
              </w:rPr>
            </w:pPr>
            <w:r w:rsidRPr="00EE0C8C">
              <w:rPr>
                <w:rFonts w:ascii="Calibri" w:eastAsiaTheme="minorHAnsi" w:hAnsi="Calibri"/>
                <w:sz w:val="24"/>
                <w:szCs w:val="24"/>
              </w:rPr>
              <w:t>43</w:t>
            </w:r>
          </w:p>
          <w:p w:rsidR="00EE0C8C" w:rsidRPr="00EE0C8C" w:rsidRDefault="00EE0C8C" w:rsidP="00EE0C8C">
            <w:pPr>
              <w:tabs>
                <w:tab w:val="center" w:pos="4536"/>
                <w:tab w:val="right" w:pos="9072"/>
              </w:tabs>
              <w:ind w:left="1013"/>
              <w:jc w:val="both"/>
              <w:rPr>
                <w:rFonts w:ascii="Calibri" w:eastAsia="Calibri" w:hAnsi="Calibri"/>
                <w:sz w:val="24"/>
                <w:szCs w:val="24"/>
              </w:rPr>
            </w:pPr>
          </w:p>
        </w:tc>
        <w:tc>
          <w:tcPr>
            <w:tcW w:w="1175" w:type="dxa"/>
          </w:tcPr>
          <w:p w:rsidR="00EE0C8C" w:rsidRPr="00EE0C8C" w:rsidRDefault="00EE0C8C" w:rsidP="00EE0C8C">
            <w:pPr>
              <w:tabs>
                <w:tab w:val="center" w:pos="4536"/>
                <w:tab w:val="right" w:pos="9072"/>
              </w:tabs>
              <w:jc w:val="both"/>
              <w:rPr>
                <w:rFonts w:ascii="Calibri" w:eastAsia="Calibri" w:hAnsi="Calibri"/>
                <w:sz w:val="24"/>
                <w:szCs w:val="24"/>
              </w:rPr>
            </w:pPr>
            <w:r w:rsidRPr="00EE0C8C">
              <w:rPr>
                <w:rFonts w:ascii="Calibri" w:eastAsiaTheme="minorHAnsi" w:hAnsi="Calibri"/>
                <w:sz w:val="24"/>
                <w:szCs w:val="24"/>
              </w:rPr>
              <w:t>98</w:t>
            </w:r>
          </w:p>
        </w:tc>
      </w:tr>
    </w:tbl>
    <w:p w:rsidR="00EE0C8C" w:rsidRPr="00EE0C8C" w:rsidRDefault="00EE0C8C" w:rsidP="00EE0C8C">
      <w:pPr>
        <w:rPr>
          <w:rFonts w:ascii="Calibri" w:eastAsia="Times New Roman" w:hAnsi="Calibri" w:cs="Times New Roman"/>
          <w:sz w:val="24"/>
          <w:szCs w:val="24"/>
          <w:lang w:eastAsia="pl-PL"/>
        </w:rPr>
      </w:pPr>
    </w:p>
    <w:p w:rsidR="00EE0C8C" w:rsidRPr="00EE0C8C" w:rsidRDefault="00EE0C8C" w:rsidP="00EE0C8C">
      <w:pPr>
        <w:rPr>
          <w:rFonts w:ascii="Calibri" w:eastAsia="Times New Roman" w:hAnsi="Calibri" w:cs="Times New Roman"/>
          <w:sz w:val="24"/>
          <w:szCs w:val="24"/>
          <w:lang w:eastAsia="pl-PL"/>
        </w:rPr>
      </w:pPr>
      <w:r w:rsidRPr="00EE0C8C">
        <w:rPr>
          <w:rFonts w:ascii="Calibri" w:eastAsia="Times New Roman" w:hAnsi="Calibri" w:cs="Times New Roman"/>
          <w:sz w:val="24"/>
          <w:szCs w:val="24"/>
          <w:lang w:eastAsia="pl-PL"/>
        </w:rPr>
        <w:t xml:space="preserve">  W tabeli poniżej przedstawiono wyniki zaburzeń nadmiernej wagi ciała uczniów gimnazjum w latach szkolnych od 2011r do 2016r</w:t>
      </w:r>
    </w:p>
    <w:p w:rsidR="00EE0C8C" w:rsidRPr="00EE0C8C" w:rsidRDefault="00EE0C8C" w:rsidP="00EE0C8C">
      <w:pPr>
        <w:rPr>
          <w:rFonts w:ascii="Calibri" w:eastAsia="Times New Roman" w:hAnsi="Calibri" w:cs="Times New Roman"/>
          <w:sz w:val="24"/>
          <w:szCs w:val="24"/>
          <w:lang w:eastAsia="pl-PL"/>
        </w:rPr>
      </w:pPr>
    </w:p>
    <w:p w:rsidR="00EE0C8C" w:rsidRPr="00EE0C8C" w:rsidRDefault="00EE0C8C" w:rsidP="00EE0C8C">
      <w:pPr>
        <w:rPr>
          <w:rFonts w:ascii="Calibri" w:eastAsia="Times New Roman" w:hAnsi="Calibri" w:cs="Times New Roman"/>
          <w:sz w:val="24"/>
          <w:szCs w:val="24"/>
          <w:lang w:eastAsia="pl-PL"/>
        </w:rPr>
      </w:pPr>
      <w:r w:rsidRPr="00EE0C8C">
        <w:rPr>
          <w:rFonts w:ascii="Calibri" w:eastAsia="Times New Roman" w:hAnsi="Calibri" w:cs="Times New Roman"/>
          <w:sz w:val="24"/>
          <w:szCs w:val="24"/>
          <w:lang w:eastAsia="pl-PL"/>
        </w:rPr>
        <w:t>Tabela nr4  .  Wyniki zaburzeń nadmiernej wagi ciała uczniów Gimnazjum Publicznego w Mircu</w:t>
      </w:r>
    </w:p>
    <w:tbl>
      <w:tblPr>
        <w:tblStyle w:val="Tabela-Siatka5"/>
        <w:tblW w:w="0" w:type="auto"/>
        <w:jc w:val="center"/>
        <w:tblLayout w:type="fixed"/>
        <w:tblLook w:val="04A0" w:firstRow="1" w:lastRow="0" w:firstColumn="1" w:lastColumn="0" w:noHBand="0" w:noVBand="1"/>
      </w:tblPr>
      <w:tblGrid>
        <w:gridCol w:w="1842"/>
        <w:gridCol w:w="1527"/>
        <w:gridCol w:w="1984"/>
        <w:gridCol w:w="1418"/>
        <w:gridCol w:w="1275"/>
        <w:gridCol w:w="1186"/>
      </w:tblGrid>
      <w:tr w:rsidR="00EE0C8C" w:rsidRPr="00EE0C8C" w:rsidTr="00A76BDB">
        <w:trPr>
          <w:jc w:val="center"/>
        </w:trPr>
        <w:tc>
          <w:tcPr>
            <w:tcW w:w="1842" w:type="dxa"/>
            <w:vAlign w:val="center"/>
          </w:tcPr>
          <w:p w:rsidR="00EE0C8C" w:rsidRPr="00EE0C8C" w:rsidRDefault="00EE0C8C" w:rsidP="00EE0C8C">
            <w:pPr>
              <w:tabs>
                <w:tab w:val="center" w:pos="4536"/>
                <w:tab w:val="right" w:pos="9072"/>
              </w:tabs>
              <w:jc w:val="center"/>
              <w:rPr>
                <w:rFonts w:ascii="Calibri" w:eastAsiaTheme="minorHAnsi" w:hAnsi="Calibri"/>
                <w:sz w:val="24"/>
                <w:szCs w:val="24"/>
              </w:rPr>
            </w:pPr>
            <w:r w:rsidRPr="00EE0C8C">
              <w:rPr>
                <w:rFonts w:ascii="Calibri" w:eastAsiaTheme="minorHAnsi" w:hAnsi="Calibri"/>
                <w:sz w:val="24"/>
                <w:szCs w:val="24"/>
              </w:rPr>
              <w:t>Rok szkolny</w:t>
            </w:r>
          </w:p>
        </w:tc>
        <w:tc>
          <w:tcPr>
            <w:tcW w:w="1527" w:type="dxa"/>
            <w:vAlign w:val="center"/>
          </w:tcPr>
          <w:p w:rsidR="00EE0C8C" w:rsidRPr="00EE0C8C" w:rsidRDefault="00EE0C8C" w:rsidP="00EE0C8C">
            <w:pPr>
              <w:tabs>
                <w:tab w:val="center" w:pos="4536"/>
                <w:tab w:val="right" w:pos="9072"/>
              </w:tabs>
              <w:jc w:val="center"/>
              <w:rPr>
                <w:rFonts w:ascii="Calibri" w:eastAsiaTheme="minorHAnsi" w:hAnsi="Calibri"/>
                <w:sz w:val="24"/>
                <w:szCs w:val="24"/>
              </w:rPr>
            </w:pPr>
            <w:r w:rsidRPr="00EE0C8C">
              <w:rPr>
                <w:rFonts w:ascii="Calibri" w:eastAsiaTheme="minorHAnsi" w:hAnsi="Calibri"/>
                <w:sz w:val="24"/>
                <w:szCs w:val="24"/>
              </w:rPr>
              <w:t>Liczba Gimnazjów</w:t>
            </w:r>
          </w:p>
        </w:tc>
        <w:tc>
          <w:tcPr>
            <w:tcW w:w="1984" w:type="dxa"/>
            <w:vAlign w:val="center"/>
          </w:tcPr>
          <w:p w:rsidR="00EE0C8C" w:rsidRPr="00EE0C8C" w:rsidRDefault="00EE0C8C" w:rsidP="00EE0C8C">
            <w:pPr>
              <w:tabs>
                <w:tab w:val="center" w:pos="4536"/>
                <w:tab w:val="right" w:pos="9072"/>
              </w:tabs>
              <w:jc w:val="center"/>
              <w:rPr>
                <w:rFonts w:ascii="Calibri" w:eastAsiaTheme="minorHAnsi" w:hAnsi="Calibri"/>
                <w:sz w:val="24"/>
                <w:szCs w:val="24"/>
              </w:rPr>
            </w:pPr>
            <w:r w:rsidRPr="00EE0C8C">
              <w:rPr>
                <w:rFonts w:ascii="Calibri" w:eastAsiaTheme="minorHAnsi" w:hAnsi="Calibri"/>
                <w:sz w:val="24"/>
                <w:szCs w:val="24"/>
              </w:rPr>
              <w:t>Liczba uczniów podlegających badaniu</w:t>
            </w:r>
          </w:p>
        </w:tc>
        <w:tc>
          <w:tcPr>
            <w:tcW w:w="1418" w:type="dxa"/>
            <w:vAlign w:val="center"/>
          </w:tcPr>
          <w:p w:rsidR="00EE0C8C" w:rsidRPr="00EE0C8C" w:rsidRDefault="00EE0C8C" w:rsidP="00EE0C8C">
            <w:pPr>
              <w:tabs>
                <w:tab w:val="center" w:pos="4536"/>
                <w:tab w:val="right" w:pos="9072"/>
              </w:tabs>
              <w:rPr>
                <w:rFonts w:ascii="Calibri" w:eastAsiaTheme="minorHAnsi" w:hAnsi="Calibri"/>
                <w:sz w:val="24"/>
                <w:szCs w:val="24"/>
              </w:rPr>
            </w:pPr>
            <w:r w:rsidRPr="00EE0C8C">
              <w:rPr>
                <w:rFonts w:ascii="Calibri" w:eastAsiaTheme="minorHAnsi" w:hAnsi="Calibri"/>
                <w:sz w:val="24"/>
                <w:szCs w:val="24"/>
              </w:rPr>
              <w:t xml:space="preserve">Nadwaga </w:t>
            </w:r>
          </w:p>
          <w:p w:rsidR="00EE0C8C" w:rsidRPr="00EE0C8C" w:rsidRDefault="00EE0C8C" w:rsidP="00EE0C8C">
            <w:pPr>
              <w:tabs>
                <w:tab w:val="center" w:pos="4536"/>
                <w:tab w:val="right" w:pos="9072"/>
              </w:tabs>
              <w:rPr>
                <w:rFonts w:ascii="Calibri" w:eastAsiaTheme="minorHAnsi" w:hAnsi="Calibri"/>
                <w:sz w:val="24"/>
                <w:szCs w:val="24"/>
              </w:rPr>
            </w:pPr>
            <w:r w:rsidRPr="00EE0C8C">
              <w:rPr>
                <w:rFonts w:ascii="Calibri" w:eastAsiaTheme="minorHAnsi" w:hAnsi="Calibri"/>
                <w:sz w:val="24"/>
                <w:szCs w:val="24"/>
              </w:rPr>
              <w:t>Wskaźnik BMI 25-29,9</w:t>
            </w:r>
          </w:p>
        </w:tc>
        <w:tc>
          <w:tcPr>
            <w:tcW w:w="1275" w:type="dxa"/>
            <w:vAlign w:val="center"/>
          </w:tcPr>
          <w:p w:rsidR="00EE0C8C" w:rsidRPr="00EE0C8C" w:rsidRDefault="00EE0C8C" w:rsidP="00EE0C8C">
            <w:pPr>
              <w:tabs>
                <w:tab w:val="center" w:pos="4536"/>
                <w:tab w:val="right" w:pos="9072"/>
              </w:tabs>
              <w:jc w:val="center"/>
              <w:rPr>
                <w:rFonts w:ascii="Calibri" w:eastAsiaTheme="minorHAnsi" w:hAnsi="Calibri"/>
                <w:sz w:val="24"/>
                <w:szCs w:val="24"/>
              </w:rPr>
            </w:pPr>
            <w:r w:rsidRPr="00EE0C8C">
              <w:rPr>
                <w:rFonts w:ascii="Calibri" w:eastAsiaTheme="minorHAnsi" w:hAnsi="Calibri"/>
                <w:sz w:val="24"/>
                <w:szCs w:val="24"/>
              </w:rPr>
              <w:t>Otyłość</w:t>
            </w:r>
          </w:p>
          <w:p w:rsidR="00EE0C8C" w:rsidRPr="00EE0C8C" w:rsidRDefault="00EE0C8C" w:rsidP="00EE0C8C">
            <w:pPr>
              <w:tabs>
                <w:tab w:val="center" w:pos="4536"/>
                <w:tab w:val="right" w:pos="9072"/>
              </w:tabs>
              <w:jc w:val="center"/>
              <w:rPr>
                <w:rFonts w:ascii="Calibri" w:eastAsiaTheme="minorHAnsi" w:hAnsi="Calibri"/>
                <w:sz w:val="24"/>
                <w:szCs w:val="24"/>
              </w:rPr>
            </w:pPr>
            <w:r w:rsidRPr="00EE0C8C">
              <w:rPr>
                <w:rFonts w:ascii="Calibri" w:eastAsiaTheme="minorHAnsi" w:hAnsi="Calibri"/>
                <w:sz w:val="24"/>
                <w:szCs w:val="24"/>
              </w:rPr>
              <w:t>Wskażnik BMIpow.</w:t>
            </w:r>
          </w:p>
          <w:p w:rsidR="00EE0C8C" w:rsidRPr="00EE0C8C" w:rsidRDefault="00EE0C8C" w:rsidP="00EE0C8C">
            <w:pPr>
              <w:tabs>
                <w:tab w:val="center" w:pos="4536"/>
                <w:tab w:val="right" w:pos="9072"/>
              </w:tabs>
              <w:jc w:val="center"/>
              <w:rPr>
                <w:rFonts w:ascii="Calibri" w:eastAsiaTheme="minorHAnsi" w:hAnsi="Calibri"/>
                <w:sz w:val="24"/>
                <w:szCs w:val="24"/>
              </w:rPr>
            </w:pPr>
            <w:r w:rsidRPr="00EE0C8C">
              <w:rPr>
                <w:rFonts w:ascii="Calibri" w:eastAsiaTheme="minorHAnsi" w:hAnsi="Calibri"/>
                <w:sz w:val="24"/>
                <w:szCs w:val="24"/>
              </w:rPr>
              <w:t xml:space="preserve">30 </w:t>
            </w:r>
          </w:p>
        </w:tc>
        <w:tc>
          <w:tcPr>
            <w:tcW w:w="1186" w:type="dxa"/>
          </w:tcPr>
          <w:p w:rsidR="00EE0C8C" w:rsidRPr="00EE0C8C" w:rsidRDefault="00EE0C8C" w:rsidP="00EE0C8C">
            <w:pPr>
              <w:tabs>
                <w:tab w:val="center" w:pos="4536"/>
                <w:tab w:val="right" w:pos="9072"/>
              </w:tabs>
              <w:rPr>
                <w:rFonts w:ascii="Calibri" w:eastAsiaTheme="minorHAnsi" w:hAnsi="Calibri"/>
              </w:rPr>
            </w:pPr>
            <w:r w:rsidRPr="00EE0C8C">
              <w:rPr>
                <w:rFonts w:ascii="Calibri" w:eastAsiaTheme="minorHAnsi" w:hAnsi="Calibri"/>
              </w:rPr>
              <w:t xml:space="preserve">%zaburzeń </w:t>
            </w:r>
          </w:p>
          <w:p w:rsidR="00EE0C8C" w:rsidRPr="00EE0C8C" w:rsidRDefault="00EE0C8C" w:rsidP="00EE0C8C">
            <w:pPr>
              <w:tabs>
                <w:tab w:val="center" w:pos="4536"/>
                <w:tab w:val="right" w:pos="9072"/>
              </w:tabs>
              <w:rPr>
                <w:rFonts w:ascii="Calibri" w:eastAsiaTheme="minorHAnsi" w:hAnsi="Calibri"/>
              </w:rPr>
            </w:pPr>
            <w:r w:rsidRPr="00EE0C8C">
              <w:rPr>
                <w:rFonts w:ascii="Calibri" w:eastAsiaTheme="minorHAnsi" w:hAnsi="Calibri"/>
              </w:rPr>
              <w:t>Masy ciała</w:t>
            </w:r>
          </w:p>
          <w:p w:rsidR="00EE0C8C" w:rsidRPr="00EE0C8C" w:rsidRDefault="00EE0C8C" w:rsidP="00EE0C8C">
            <w:pPr>
              <w:tabs>
                <w:tab w:val="center" w:pos="4536"/>
                <w:tab w:val="right" w:pos="9072"/>
              </w:tabs>
              <w:rPr>
                <w:rFonts w:ascii="Calibri" w:eastAsiaTheme="minorHAnsi" w:hAnsi="Calibri"/>
              </w:rPr>
            </w:pPr>
            <w:r w:rsidRPr="00EE0C8C">
              <w:rPr>
                <w:rFonts w:ascii="Calibri" w:eastAsiaTheme="minorHAnsi" w:hAnsi="Calibri"/>
              </w:rPr>
              <w:t>Wady postawy</w:t>
            </w:r>
          </w:p>
        </w:tc>
      </w:tr>
      <w:tr w:rsidR="00EE0C8C" w:rsidRPr="00EE0C8C" w:rsidTr="00A76BDB">
        <w:trPr>
          <w:trHeight w:val="414"/>
          <w:jc w:val="center"/>
        </w:trPr>
        <w:tc>
          <w:tcPr>
            <w:tcW w:w="1842" w:type="dxa"/>
          </w:tcPr>
          <w:p w:rsidR="00EE0C8C" w:rsidRPr="00EE0C8C" w:rsidRDefault="00EE0C8C" w:rsidP="00EE0C8C">
            <w:pPr>
              <w:tabs>
                <w:tab w:val="center" w:pos="4536"/>
                <w:tab w:val="right" w:pos="9072"/>
              </w:tabs>
              <w:rPr>
                <w:rFonts w:ascii="Calibri" w:eastAsiaTheme="minorHAnsi" w:hAnsi="Calibri"/>
                <w:sz w:val="24"/>
                <w:szCs w:val="24"/>
              </w:rPr>
            </w:pPr>
            <w:r w:rsidRPr="00EE0C8C">
              <w:rPr>
                <w:rFonts w:ascii="Calibri" w:eastAsiaTheme="minorHAnsi" w:hAnsi="Calibri"/>
                <w:sz w:val="24"/>
                <w:szCs w:val="24"/>
              </w:rPr>
              <w:t>2011/2012</w:t>
            </w:r>
          </w:p>
        </w:tc>
        <w:tc>
          <w:tcPr>
            <w:tcW w:w="1527" w:type="dxa"/>
          </w:tcPr>
          <w:p w:rsidR="00EE0C8C" w:rsidRPr="00EE0C8C" w:rsidRDefault="00EE0C8C" w:rsidP="00EE0C8C">
            <w:pPr>
              <w:tabs>
                <w:tab w:val="center" w:pos="4536"/>
                <w:tab w:val="right" w:pos="9072"/>
              </w:tabs>
              <w:rPr>
                <w:rFonts w:ascii="Calibri" w:eastAsiaTheme="minorHAnsi" w:hAnsi="Calibri"/>
                <w:sz w:val="24"/>
                <w:szCs w:val="24"/>
              </w:rPr>
            </w:pPr>
            <w:r w:rsidRPr="00EE0C8C">
              <w:rPr>
                <w:rFonts w:ascii="Calibri" w:eastAsiaTheme="minorHAnsi" w:hAnsi="Calibri"/>
                <w:sz w:val="24"/>
                <w:szCs w:val="24"/>
              </w:rPr>
              <w:t>1</w:t>
            </w:r>
          </w:p>
        </w:tc>
        <w:tc>
          <w:tcPr>
            <w:tcW w:w="1984" w:type="dxa"/>
          </w:tcPr>
          <w:p w:rsidR="00EE0C8C" w:rsidRPr="00EE0C8C" w:rsidRDefault="00EE0C8C" w:rsidP="00EE0C8C">
            <w:pPr>
              <w:tabs>
                <w:tab w:val="center" w:pos="4536"/>
                <w:tab w:val="right" w:pos="9072"/>
              </w:tabs>
              <w:rPr>
                <w:rFonts w:ascii="Calibri" w:eastAsiaTheme="minorHAnsi" w:hAnsi="Calibri"/>
                <w:sz w:val="24"/>
                <w:szCs w:val="24"/>
              </w:rPr>
            </w:pPr>
            <w:r w:rsidRPr="00EE0C8C">
              <w:rPr>
                <w:rFonts w:ascii="Calibri" w:eastAsiaTheme="minorHAnsi" w:hAnsi="Calibri"/>
                <w:sz w:val="24"/>
                <w:szCs w:val="24"/>
              </w:rPr>
              <w:t>87</w:t>
            </w:r>
          </w:p>
        </w:tc>
        <w:tc>
          <w:tcPr>
            <w:tcW w:w="1418" w:type="dxa"/>
          </w:tcPr>
          <w:p w:rsidR="00EE0C8C" w:rsidRPr="00EE0C8C" w:rsidRDefault="00EE0C8C" w:rsidP="00EE0C8C">
            <w:pPr>
              <w:tabs>
                <w:tab w:val="center" w:pos="4536"/>
                <w:tab w:val="right" w:pos="9072"/>
              </w:tabs>
              <w:rPr>
                <w:rFonts w:ascii="Calibri" w:eastAsiaTheme="minorHAnsi" w:hAnsi="Calibri"/>
                <w:sz w:val="24"/>
                <w:szCs w:val="24"/>
              </w:rPr>
            </w:pPr>
            <w:r w:rsidRPr="00EE0C8C">
              <w:rPr>
                <w:rFonts w:ascii="Calibri" w:eastAsiaTheme="minorHAnsi" w:hAnsi="Calibri"/>
                <w:sz w:val="24"/>
                <w:szCs w:val="24"/>
              </w:rPr>
              <w:t xml:space="preserve">  9</w:t>
            </w:r>
          </w:p>
        </w:tc>
        <w:tc>
          <w:tcPr>
            <w:tcW w:w="1275" w:type="dxa"/>
          </w:tcPr>
          <w:p w:rsidR="00EE0C8C" w:rsidRPr="00EE0C8C" w:rsidRDefault="00EE0C8C" w:rsidP="00EE0C8C">
            <w:pPr>
              <w:tabs>
                <w:tab w:val="center" w:pos="4536"/>
                <w:tab w:val="right" w:pos="9072"/>
              </w:tabs>
              <w:rPr>
                <w:rFonts w:ascii="Calibri" w:eastAsiaTheme="minorHAnsi" w:hAnsi="Calibri"/>
                <w:sz w:val="24"/>
                <w:szCs w:val="24"/>
              </w:rPr>
            </w:pPr>
            <w:r w:rsidRPr="00EE0C8C">
              <w:rPr>
                <w:rFonts w:ascii="Calibri" w:eastAsiaTheme="minorHAnsi" w:hAnsi="Calibri"/>
                <w:sz w:val="24"/>
                <w:szCs w:val="24"/>
              </w:rPr>
              <w:t xml:space="preserve">  7</w:t>
            </w:r>
          </w:p>
        </w:tc>
        <w:tc>
          <w:tcPr>
            <w:tcW w:w="1186" w:type="dxa"/>
          </w:tcPr>
          <w:p w:rsidR="00EE0C8C" w:rsidRPr="00EE0C8C" w:rsidRDefault="00EE0C8C" w:rsidP="00EE0C8C">
            <w:pPr>
              <w:tabs>
                <w:tab w:val="center" w:pos="4536"/>
                <w:tab w:val="right" w:pos="9072"/>
              </w:tabs>
              <w:rPr>
                <w:rFonts w:ascii="Calibri" w:eastAsiaTheme="minorHAnsi" w:hAnsi="Calibri"/>
              </w:rPr>
            </w:pPr>
            <w:r w:rsidRPr="00EE0C8C">
              <w:rPr>
                <w:rFonts w:ascii="Calibri" w:eastAsiaTheme="minorHAnsi" w:hAnsi="Calibri"/>
              </w:rPr>
              <w:t>16</w:t>
            </w:r>
          </w:p>
        </w:tc>
      </w:tr>
      <w:tr w:rsidR="00EE0C8C" w:rsidRPr="00EE0C8C" w:rsidTr="00A76BDB">
        <w:trPr>
          <w:trHeight w:val="419"/>
          <w:jc w:val="center"/>
        </w:trPr>
        <w:tc>
          <w:tcPr>
            <w:tcW w:w="1842" w:type="dxa"/>
          </w:tcPr>
          <w:p w:rsidR="00EE0C8C" w:rsidRPr="00EE0C8C" w:rsidRDefault="00EE0C8C" w:rsidP="00EE0C8C">
            <w:pPr>
              <w:tabs>
                <w:tab w:val="center" w:pos="4536"/>
                <w:tab w:val="right" w:pos="9072"/>
              </w:tabs>
              <w:rPr>
                <w:rFonts w:ascii="Calibri" w:eastAsiaTheme="minorHAnsi" w:hAnsi="Calibri"/>
                <w:sz w:val="24"/>
                <w:szCs w:val="24"/>
              </w:rPr>
            </w:pPr>
            <w:r w:rsidRPr="00EE0C8C">
              <w:rPr>
                <w:rFonts w:ascii="Calibri" w:eastAsiaTheme="minorHAnsi" w:hAnsi="Calibri"/>
                <w:sz w:val="24"/>
                <w:szCs w:val="24"/>
              </w:rPr>
              <w:t>2012/2013</w:t>
            </w:r>
          </w:p>
        </w:tc>
        <w:tc>
          <w:tcPr>
            <w:tcW w:w="1527" w:type="dxa"/>
          </w:tcPr>
          <w:p w:rsidR="00EE0C8C" w:rsidRPr="00EE0C8C" w:rsidRDefault="00EE0C8C" w:rsidP="00EE0C8C">
            <w:pPr>
              <w:tabs>
                <w:tab w:val="center" w:pos="4536"/>
                <w:tab w:val="right" w:pos="9072"/>
              </w:tabs>
              <w:rPr>
                <w:rFonts w:ascii="Calibri" w:eastAsiaTheme="minorHAnsi" w:hAnsi="Calibri"/>
                <w:sz w:val="24"/>
                <w:szCs w:val="24"/>
              </w:rPr>
            </w:pPr>
            <w:r w:rsidRPr="00EE0C8C">
              <w:rPr>
                <w:rFonts w:ascii="Calibri" w:eastAsiaTheme="minorHAnsi" w:hAnsi="Calibri"/>
                <w:sz w:val="24"/>
                <w:szCs w:val="24"/>
              </w:rPr>
              <w:t>1</w:t>
            </w:r>
          </w:p>
        </w:tc>
        <w:tc>
          <w:tcPr>
            <w:tcW w:w="1984" w:type="dxa"/>
          </w:tcPr>
          <w:p w:rsidR="00EE0C8C" w:rsidRPr="00EE0C8C" w:rsidRDefault="00EE0C8C" w:rsidP="00EE0C8C">
            <w:pPr>
              <w:tabs>
                <w:tab w:val="center" w:pos="4536"/>
                <w:tab w:val="right" w:pos="9072"/>
              </w:tabs>
              <w:rPr>
                <w:rFonts w:ascii="Calibri" w:eastAsiaTheme="minorHAnsi" w:hAnsi="Calibri"/>
                <w:sz w:val="24"/>
                <w:szCs w:val="24"/>
              </w:rPr>
            </w:pPr>
            <w:r w:rsidRPr="00EE0C8C">
              <w:rPr>
                <w:rFonts w:ascii="Calibri" w:eastAsiaTheme="minorHAnsi" w:hAnsi="Calibri"/>
                <w:sz w:val="24"/>
                <w:szCs w:val="24"/>
              </w:rPr>
              <w:t>62</w:t>
            </w:r>
          </w:p>
        </w:tc>
        <w:tc>
          <w:tcPr>
            <w:tcW w:w="1418" w:type="dxa"/>
          </w:tcPr>
          <w:p w:rsidR="00EE0C8C" w:rsidRPr="00EE0C8C" w:rsidRDefault="00EE0C8C" w:rsidP="00EE0C8C">
            <w:pPr>
              <w:tabs>
                <w:tab w:val="center" w:pos="4536"/>
                <w:tab w:val="right" w:pos="9072"/>
              </w:tabs>
              <w:rPr>
                <w:rFonts w:ascii="Calibri" w:eastAsiaTheme="minorHAnsi" w:hAnsi="Calibri"/>
                <w:sz w:val="24"/>
                <w:szCs w:val="24"/>
              </w:rPr>
            </w:pPr>
            <w:r w:rsidRPr="00EE0C8C">
              <w:rPr>
                <w:rFonts w:ascii="Calibri" w:eastAsiaTheme="minorHAnsi" w:hAnsi="Calibri"/>
                <w:sz w:val="24"/>
                <w:szCs w:val="24"/>
              </w:rPr>
              <w:t>11</w:t>
            </w:r>
          </w:p>
        </w:tc>
        <w:tc>
          <w:tcPr>
            <w:tcW w:w="1275" w:type="dxa"/>
          </w:tcPr>
          <w:p w:rsidR="00EE0C8C" w:rsidRPr="00EE0C8C" w:rsidRDefault="00EE0C8C" w:rsidP="00EE0C8C">
            <w:pPr>
              <w:tabs>
                <w:tab w:val="center" w:pos="4536"/>
                <w:tab w:val="right" w:pos="9072"/>
              </w:tabs>
              <w:rPr>
                <w:rFonts w:ascii="Calibri" w:eastAsiaTheme="minorHAnsi" w:hAnsi="Calibri"/>
                <w:sz w:val="24"/>
                <w:szCs w:val="24"/>
              </w:rPr>
            </w:pPr>
            <w:r w:rsidRPr="00EE0C8C">
              <w:rPr>
                <w:rFonts w:ascii="Calibri" w:eastAsiaTheme="minorHAnsi" w:hAnsi="Calibri"/>
                <w:sz w:val="24"/>
                <w:szCs w:val="24"/>
              </w:rPr>
              <w:t xml:space="preserve">  9</w:t>
            </w:r>
          </w:p>
        </w:tc>
        <w:tc>
          <w:tcPr>
            <w:tcW w:w="1186" w:type="dxa"/>
          </w:tcPr>
          <w:p w:rsidR="00EE0C8C" w:rsidRPr="00EE0C8C" w:rsidRDefault="00EE0C8C" w:rsidP="00EE0C8C">
            <w:pPr>
              <w:tabs>
                <w:tab w:val="center" w:pos="4536"/>
                <w:tab w:val="right" w:pos="9072"/>
              </w:tabs>
              <w:rPr>
                <w:rFonts w:ascii="Calibri" w:eastAsiaTheme="minorHAnsi" w:hAnsi="Calibri"/>
              </w:rPr>
            </w:pPr>
            <w:r w:rsidRPr="00EE0C8C">
              <w:rPr>
                <w:rFonts w:ascii="Calibri" w:eastAsiaTheme="minorHAnsi" w:hAnsi="Calibri"/>
              </w:rPr>
              <w:t>19</w:t>
            </w:r>
          </w:p>
        </w:tc>
      </w:tr>
      <w:tr w:rsidR="00EE0C8C" w:rsidRPr="00EE0C8C" w:rsidTr="00A76BDB">
        <w:trPr>
          <w:trHeight w:val="412"/>
          <w:jc w:val="center"/>
        </w:trPr>
        <w:tc>
          <w:tcPr>
            <w:tcW w:w="1842" w:type="dxa"/>
          </w:tcPr>
          <w:p w:rsidR="00EE0C8C" w:rsidRPr="00EE0C8C" w:rsidRDefault="00EE0C8C" w:rsidP="00EE0C8C">
            <w:pPr>
              <w:tabs>
                <w:tab w:val="center" w:pos="4536"/>
                <w:tab w:val="right" w:pos="9072"/>
              </w:tabs>
              <w:rPr>
                <w:rFonts w:ascii="Calibri" w:eastAsiaTheme="minorHAnsi" w:hAnsi="Calibri"/>
                <w:sz w:val="24"/>
                <w:szCs w:val="24"/>
              </w:rPr>
            </w:pPr>
            <w:r w:rsidRPr="00EE0C8C">
              <w:rPr>
                <w:rFonts w:ascii="Calibri" w:eastAsiaTheme="minorHAnsi" w:hAnsi="Calibri"/>
                <w:sz w:val="24"/>
                <w:szCs w:val="24"/>
              </w:rPr>
              <w:t>2013/2014</w:t>
            </w:r>
          </w:p>
        </w:tc>
        <w:tc>
          <w:tcPr>
            <w:tcW w:w="1527" w:type="dxa"/>
          </w:tcPr>
          <w:p w:rsidR="00EE0C8C" w:rsidRPr="00EE0C8C" w:rsidRDefault="00EE0C8C" w:rsidP="00EE0C8C">
            <w:pPr>
              <w:tabs>
                <w:tab w:val="center" w:pos="4536"/>
                <w:tab w:val="right" w:pos="9072"/>
              </w:tabs>
              <w:rPr>
                <w:rFonts w:ascii="Calibri" w:eastAsiaTheme="minorHAnsi" w:hAnsi="Calibri"/>
                <w:sz w:val="24"/>
                <w:szCs w:val="24"/>
              </w:rPr>
            </w:pPr>
            <w:r w:rsidRPr="00EE0C8C">
              <w:rPr>
                <w:rFonts w:ascii="Calibri" w:eastAsiaTheme="minorHAnsi" w:hAnsi="Calibri"/>
                <w:sz w:val="24"/>
                <w:szCs w:val="24"/>
              </w:rPr>
              <w:t>1</w:t>
            </w:r>
          </w:p>
        </w:tc>
        <w:tc>
          <w:tcPr>
            <w:tcW w:w="1984" w:type="dxa"/>
          </w:tcPr>
          <w:p w:rsidR="00EE0C8C" w:rsidRPr="00EE0C8C" w:rsidRDefault="00EE0C8C" w:rsidP="00EE0C8C">
            <w:pPr>
              <w:tabs>
                <w:tab w:val="center" w:pos="4536"/>
                <w:tab w:val="right" w:pos="9072"/>
              </w:tabs>
              <w:rPr>
                <w:rFonts w:ascii="Calibri" w:eastAsiaTheme="minorHAnsi" w:hAnsi="Calibri"/>
                <w:sz w:val="24"/>
                <w:szCs w:val="24"/>
              </w:rPr>
            </w:pPr>
            <w:r w:rsidRPr="00EE0C8C">
              <w:rPr>
                <w:rFonts w:ascii="Calibri" w:eastAsiaTheme="minorHAnsi" w:hAnsi="Calibri"/>
                <w:sz w:val="24"/>
                <w:szCs w:val="24"/>
              </w:rPr>
              <w:t>90</w:t>
            </w:r>
          </w:p>
        </w:tc>
        <w:tc>
          <w:tcPr>
            <w:tcW w:w="1418" w:type="dxa"/>
          </w:tcPr>
          <w:p w:rsidR="00EE0C8C" w:rsidRPr="00EE0C8C" w:rsidRDefault="00EE0C8C" w:rsidP="00EE0C8C">
            <w:pPr>
              <w:tabs>
                <w:tab w:val="center" w:pos="4536"/>
                <w:tab w:val="right" w:pos="9072"/>
              </w:tabs>
              <w:rPr>
                <w:rFonts w:ascii="Calibri" w:eastAsiaTheme="minorHAnsi" w:hAnsi="Calibri"/>
                <w:sz w:val="24"/>
                <w:szCs w:val="24"/>
              </w:rPr>
            </w:pPr>
            <w:r w:rsidRPr="00EE0C8C">
              <w:rPr>
                <w:rFonts w:ascii="Calibri" w:eastAsiaTheme="minorHAnsi" w:hAnsi="Calibri"/>
                <w:sz w:val="24"/>
                <w:szCs w:val="24"/>
              </w:rPr>
              <w:t>15</w:t>
            </w:r>
          </w:p>
        </w:tc>
        <w:tc>
          <w:tcPr>
            <w:tcW w:w="1275" w:type="dxa"/>
          </w:tcPr>
          <w:p w:rsidR="00EE0C8C" w:rsidRPr="00EE0C8C" w:rsidRDefault="00EE0C8C" w:rsidP="00EE0C8C">
            <w:pPr>
              <w:tabs>
                <w:tab w:val="center" w:pos="4536"/>
                <w:tab w:val="right" w:pos="9072"/>
              </w:tabs>
              <w:rPr>
                <w:rFonts w:ascii="Calibri" w:eastAsiaTheme="minorHAnsi" w:hAnsi="Calibri"/>
                <w:sz w:val="24"/>
                <w:szCs w:val="24"/>
              </w:rPr>
            </w:pPr>
            <w:r w:rsidRPr="00EE0C8C">
              <w:rPr>
                <w:rFonts w:ascii="Calibri" w:eastAsiaTheme="minorHAnsi" w:hAnsi="Calibri"/>
                <w:sz w:val="24"/>
                <w:szCs w:val="24"/>
              </w:rPr>
              <w:t>11</w:t>
            </w:r>
          </w:p>
        </w:tc>
        <w:tc>
          <w:tcPr>
            <w:tcW w:w="1186" w:type="dxa"/>
          </w:tcPr>
          <w:p w:rsidR="00EE0C8C" w:rsidRPr="00EE0C8C" w:rsidRDefault="00EE0C8C" w:rsidP="00EE0C8C">
            <w:pPr>
              <w:tabs>
                <w:tab w:val="center" w:pos="4536"/>
                <w:tab w:val="right" w:pos="9072"/>
              </w:tabs>
              <w:rPr>
                <w:rFonts w:ascii="Calibri" w:eastAsiaTheme="minorHAnsi" w:hAnsi="Calibri"/>
              </w:rPr>
            </w:pPr>
            <w:r w:rsidRPr="00EE0C8C">
              <w:rPr>
                <w:rFonts w:ascii="Calibri" w:eastAsiaTheme="minorHAnsi" w:hAnsi="Calibri"/>
              </w:rPr>
              <w:t>23</w:t>
            </w:r>
          </w:p>
        </w:tc>
      </w:tr>
      <w:tr w:rsidR="00EE0C8C" w:rsidRPr="00EE0C8C" w:rsidTr="00A76BDB">
        <w:trPr>
          <w:trHeight w:val="418"/>
          <w:jc w:val="center"/>
        </w:trPr>
        <w:tc>
          <w:tcPr>
            <w:tcW w:w="1842" w:type="dxa"/>
          </w:tcPr>
          <w:p w:rsidR="00EE0C8C" w:rsidRPr="00EE0C8C" w:rsidRDefault="00EE0C8C" w:rsidP="00EE0C8C">
            <w:pPr>
              <w:tabs>
                <w:tab w:val="center" w:pos="4536"/>
                <w:tab w:val="right" w:pos="9072"/>
              </w:tabs>
              <w:rPr>
                <w:rFonts w:ascii="Calibri" w:eastAsiaTheme="minorHAnsi" w:hAnsi="Calibri"/>
                <w:sz w:val="24"/>
                <w:szCs w:val="24"/>
              </w:rPr>
            </w:pPr>
            <w:r w:rsidRPr="00EE0C8C">
              <w:rPr>
                <w:rFonts w:ascii="Calibri" w:eastAsiaTheme="minorHAnsi" w:hAnsi="Calibri"/>
                <w:sz w:val="24"/>
                <w:szCs w:val="24"/>
              </w:rPr>
              <w:t>2014/2015</w:t>
            </w:r>
          </w:p>
        </w:tc>
        <w:tc>
          <w:tcPr>
            <w:tcW w:w="1527" w:type="dxa"/>
          </w:tcPr>
          <w:p w:rsidR="00EE0C8C" w:rsidRPr="00EE0C8C" w:rsidRDefault="00EE0C8C" w:rsidP="00EE0C8C">
            <w:pPr>
              <w:tabs>
                <w:tab w:val="center" w:pos="4536"/>
                <w:tab w:val="right" w:pos="9072"/>
              </w:tabs>
              <w:rPr>
                <w:rFonts w:ascii="Calibri" w:eastAsiaTheme="minorHAnsi" w:hAnsi="Calibri"/>
                <w:sz w:val="24"/>
                <w:szCs w:val="24"/>
              </w:rPr>
            </w:pPr>
            <w:r w:rsidRPr="00EE0C8C">
              <w:rPr>
                <w:rFonts w:ascii="Calibri" w:eastAsiaTheme="minorHAnsi" w:hAnsi="Calibri"/>
                <w:sz w:val="24"/>
                <w:szCs w:val="24"/>
              </w:rPr>
              <w:t>1</w:t>
            </w:r>
          </w:p>
        </w:tc>
        <w:tc>
          <w:tcPr>
            <w:tcW w:w="1984" w:type="dxa"/>
          </w:tcPr>
          <w:p w:rsidR="00EE0C8C" w:rsidRPr="00EE0C8C" w:rsidRDefault="00EE0C8C" w:rsidP="00EE0C8C">
            <w:pPr>
              <w:tabs>
                <w:tab w:val="center" w:pos="4536"/>
                <w:tab w:val="right" w:pos="9072"/>
              </w:tabs>
              <w:rPr>
                <w:rFonts w:ascii="Calibri" w:eastAsiaTheme="minorHAnsi" w:hAnsi="Calibri"/>
                <w:sz w:val="24"/>
                <w:szCs w:val="24"/>
              </w:rPr>
            </w:pPr>
            <w:r w:rsidRPr="00EE0C8C">
              <w:rPr>
                <w:rFonts w:ascii="Calibri" w:eastAsiaTheme="minorHAnsi" w:hAnsi="Calibri"/>
                <w:sz w:val="24"/>
                <w:szCs w:val="24"/>
              </w:rPr>
              <w:t>69</w:t>
            </w:r>
          </w:p>
        </w:tc>
        <w:tc>
          <w:tcPr>
            <w:tcW w:w="1418" w:type="dxa"/>
          </w:tcPr>
          <w:p w:rsidR="00EE0C8C" w:rsidRPr="00EE0C8C" w:rsidRDefault="00EE0C8C" w:rsidP="00EE0C8C">
            <w:pPr>
              <w:tabs>
                <w:tab w:val="center" w:pos="4536"/>
                <w:tab w:val="right" w:pos="9072"/>
              </w:tabs>
              <w:rPr>
                <w:rFonts w:ascii="Calibri" w:eastAsiaTheme="minorHAnsi" w:hAnsi="Calibri"/>
                <w:sz w:val="24"/>
                <w:szCs w:val="24"/>
              </w:rPr>
            </w:pPr>
            <w:r w:rsidRPr="00EE0C8C">
              <w:rPr>
                <w:rFonts w:ascii="Calibri" w:eastAsiaTheme="minorHAnsi" w:hAnsi="Calibri"/>
                <w:sz w:val="24"/>
                <w:szCs w:val="24"/>
              </w:rPr>
              <w:t>16</w:t>
            </w:r>
          </w:p>
        </w:tc>
        <w:tc>
          <w:tcPr>
            <w:tcW w:w="1275" w:type="dxa"/>
          </w:tcPr>
          <w:p w:rsidR="00EE0C8C" w:rsidRPr="00EE0C8C" w:rsidRDefault="00EE0C8C" w:rsidP="00EE0C8C">
            <w:pPr>
              <w:tabs>
                <w:tab w:val="center" w:pos="4536"/>
                <w:tab w:val="right" w:pos="9072"/>
              </w:tabs>
              <w:rPr>
                <w:rFonts w:ascii="Calibri" w:eastAsiaTheme="minorHAnsi" w:hAnsi="Calibri"/>
                <w:sz w:val="24"/>
                <w:szCs w:val="24"/>
              </w:rPr>
            </w:pPr>
            <w:r w:rsidRPr="00EE0C8C">
              <w:rPr>
                <w:rFonts w:ascii="Calibri" w:eastAsiaTheme="minorHAnsi" w:hAnsi="Calibri"/>
                <w:sz w:val="24"/>
                <w:szCs w:val="24"/>
              </w:rPr>
              <w:t>17</w:t>
            </w:r>
          </w:p>
        </w:tc>
        <w:tc>
          <w:tcPr>
            <w:tcW w:w="1186" w:type="dxa"/>
          </w:tcPr>
          <w:p w:rsidR="00EE0C8C" w:rsidRPr="00EE0C8C" w:rsidRDefault="00EE0C8C" w:rsidP="00EE0C8C">
            <w:pPr>
              <w:tabs>
                <w:tab w:val="center" w:pos="4536"/>
                <w:tab w:val="right" w:pos="9072"/>
              </w:tabs>
              <w:rPr>
                <w:rFonts w:ascii="Calibri" w:eastAsiaTheme="minorHAnsi" w:hAnsi="Calibri"/>
              </w:rPr>
            </w:pPr>
            <w:r w:rsidRPr="00EE0C8C">
              <w:rPr>
                <w:rFonts w:ascii="Calibri" w:eastAsiaTheme="minorHAnsi" w:hAnsi="Calibri"/>
              </w:rPr>
              <w:t>15</w:t>
            </w:r>
          </w:p>
        </w:tc>
      </w:tr>
      <w:tr w:rsidR="00EE0C8C" w:rsidRPr="00EE0C8C" w:rsidTr="00A76BDB">
        <w:trPr>
          <w:trHeight w:val="418"/>
          <w:jc w:val="center"/>
        </w:trPr>
        <w:tc>
          <w:tcPr>
            <w:tcW w:w="1842" w:type="dxa"/>
          </w:tcPr>
          <w:p w:rsidR="00EE0C8C" w:rsidRPr="00EE0C8C" w:rsidRDefault="00EE0C8C" w:rsidP="00EE0C8C">
            <w:pPr>
              <w:tabs>
                <w:tab w:val="center" w:pos="4536"/>
                <w:tab w:val="right" w:pos="9072"/>
              </w:tabs>
              <w:rPr>
                <w:rFonts w:ascii="Calibri" w:eastAsiaTheme="minorHAnsi" w:hAnsi="Calibri"/>
                <w:sz w:val="24"/>
                <w:szCs w:val="24"/>
              </w:rPr>
            </w:pPr>
            <w:r w:rsidRPr="00EE0C8C">
              <w:rPr>
                <w:rFonts w:ascii="Calibri" w:eastAsiaTheme="minorHAnsi" w:hAnsi="Calibri"/>
                <w:sz w:val="24"/>
                <w:szCs w:val="24"/>
              </w:rPr>
              <w:t>2015/2016</w:t>
            </w:r>
          </w:p>
        </w:tc>
        <w:tc>
          <w:tcPr>
            <w:tcW w:w="1527" w:type="dxa"/>
          </w:tcPr>
          <w:p w:rsidR="00EE0C8C" w:rsidRPr="00EE0C8C" w:rsidRDefault="00EE0C8C" w:rsidP="00EE0C8C">
            <w:pPr>
              <w:tabs>
                <w:tab w:val="center" w:pos="4536"/>
                <w:tab w:val="right" w:pos="9072"/>
              </w:tabs>
              <w:rPr>
                <w:rFonts w:ascii="Calibri" w:eastAsiaTheme="minorHAnsi" w:hAnsi="Calibri"/>
                <w:sz w:val="24"/>
                <w:szCs w:val="24"/>
              </w:rPr>
            </w:pPr>
            <w:r w:rsidRPr="00EE0C8C">
              <w:rPr>
                <w:rFonts w:ascii="Calibri" w:eastAsiaTheme="minorHAnsi" w:hAnsi="Calibri"/>
                <w:sz w:val="24"/>
                <w:szCs w:val="24"/>
              </w:rPr>
              <w:t>1</w:t>
            </w:r>
          </w:p>
        </w:tc>
        <w:tc>
          <w:tcPr>
            <w:tcW w:w="1984" w:type="dxa"/>
          </w:tcPr>
          <w:p w:rsidR="00EE0C8C" w:rsidRPr="00EE0C8C" w:rsidRDefault="00EE0C8C" w:rsidP="00EE0C8C">
            <w:pPr>
              <w:tabs>
                <w:tab w:val="center" w:pos="4536"/>
                <w:tab w:val="right" w:pos="9072"/>
              </w:tabs>
              <w:rPr>
                <w:rFonts w:ascii="Calibri" w:eastAsiaTheme="minorHAnsi" w:hAnsi="Calibri"/>
                <w:sz w:val="24"/>
                <w:szCs w:val="24"/>
              </w:rPr>
            </w:pPr>
            <w:r w:rsidRPr="00EE0C8C">
              <w:rPr>
                <w:rFonts w:ascii="Calibri" w:eastAsiaTheme="minorHAnsi" w:hAnsi="Calibri"/>
                <w:sz w:val="24"/>
                <w:szCs w:val="24"/>
              </w:rPr>
              <w:t>77</w:t>
            </w:r>
          </w:p>
        </w:tc>
        <w:tc>
          <w:tcPr>
            <w:tcW w:w="1418" w:type="dxa"/>
          </w:tcPr>
          <w:p w:rsidR="00EE0C8C" w:rsidRPr="00EE0C8C" w:rsidRDefault="00EE0C8C" w:rsidP="00EE0C8C">
            <w:pPr>
              <w:tabs>
                <w:tab w:val="center" w:pos="4536"/>
                <w:tab w:val="right" w:pos="9072"/>
              </w:tabs>
              <w:rPr>
                <w:rFonts w:ascii="Calibri" w:eastAsiaTheme="minorHAnsi" w:hAnsi="Calibri"/>
                <w:sz w:val="24"/>
                <w:szCs w:val="24"/>
              </w:rPr>
            </w:pPr>
            <w:r w:rsidRPr="00EE0C8C">
              <w:rPr>
                <w:rFonts w:ascii="Calibri" w:eastAsiaTheme="minorHAnsi" w:hAnsi="Calibri"/>
                <w:sz w:val="24"/>
                <w:szCs w:val="24"/>
              </w:rPr>
              <w:t>13</w:t>
            </w:r>
          </w:p>
        </w:tc>
        <w:tc>
          <w:tcPr>
            <w:tcW w:w="1275" w:type="dxa"/>
          </w:tcPr>
          <w:p w:rsidR="00EE0C8C" w:rsidRPr="00EE0C8C" w:rsidRDefault="00EE0C8C" w:rsidP="00EE0C8C">
            <w:pPr>
              <w:tabs>
                <w:tab w:val="center" w:pos="4536"/>
                <w:tab w:val="right" w:pos="9072"/>
              </w:tabs>
              <w:rPr>
                <w:rFonts w:ascii="Calibri" w:eastAsiaTheme="minorHAnsi" w:hAnsi="Calibri"/>
                <w:sz w:val="24"/>
                <w:szCs w:val="24"/>
              </w:rPr>
            </w:pPr>
            <w:r w:rsidRPr="00EE0C8C">
              <w:rPr>
                <w:rFonts w:ascii="Calibri" w:eastAsiaTheme="minorHAnsi" w:hAnsi="Calibri"/>
                <w:sz w:val="24"/>
                <w:szCs w:val="24"/>
              </w:rPr>
              <w:t>10</w:t>
            </w:r>
          </w:p>
        </w:tc>
        <w:tc>
          <w:tcPr>
            <w:tcW w:w="1186" w:type="dxa"/>
          </w:tcPr>
          <w:p w:rsidR="00EE0C8C" w:rsidRPr="00EE0C8C" w:rsidRDefault="00EE0C8C" w:rsidP="00EE0C8C">
            <w:pPr>
              <w:tabs>
                <w:tab w:val="center" w:pos="4536"/>
                <w:tab w:val="right" w:pos="9072"/>
              </w:tabs>
              <w:rPr>
                <w:rFonts w:ascii="Calibri" w:eastAsiaTheme="minorHAnsi" w:hAnsi="Calibri"/>
              </w:rPr>
            </w:pPr>
            <w:r w:rsidRPr="00EE0C8C">
              <w:rPr>
                <w:rFonts w:ascii="Calibri" w:eastAsiaTheme="minorHAnsi" w:hAnsi="Calibri"/>
              </w:rPr>
              <w:t>30</w:t>
            </w:r>
          </w:p>
        </w:tc>
      </w:tr>
    </w:tbl>
    <w:p w:rsidR="00EE0C8C" w:rsidRPr="00EE0C8C" w:rsidRDefault="00EE0C8C" w:rsidP="00EE0C8C">
      <w:pPr>
        <w:rPr>
          <w:rFonts w:ascii="Calibri" w:eastAsia="Times New Roman" w:hAnsi="Calibri" w:cs="Times New Roman"/>
          <w:sz w:val="24"/>
          <w:szCs w:val="24"/>
          <w:lang w:eastAsia="pl-PL"/>
        </w:rPr>
      </w:pPr>
    </w:p>
    <w:p w:rsidR="00EE0C8C" w:rsidRPr="00EE0C8C" w:rsidRDefault="00EE0C8C" w:rsidP="00EE0C8C">
      <w:pPr>
        <w:jc w:val="both"/>
        <w:rPr>
          <w:rFonts w:ascii="Calibri" w:eastAsia="Times New Roman" w:hAnsi="Calibri" w:cs="Times New Roman"/>
          <w:sz w:val="24"/>
          <w:szCs w:val="24"/>
          <w:lang w:eastAsia="pl-PL"/>
        </w:rPr>
      </w:pPr>
      <w:r w:rsidRPr="00EE0C8C">
        <w:rPr>
          <w:rFonts w:ascii="Calibri" w:eastAsia="Times New Roman" w:hAnsi="Calibri" w:cs="Times New Roman"/>
          <w:sz w:val="24"/>
          <w:szCs w:val="24"/>
          <w:lang w:eastAsia="pl-PL"/>
        </w:rPr>
        <w:t xml:space="preserve">Pielęgniarka higieny szkolnej obsługuje 856 uczniów tj. 634 uczniów w ośmiu szkołach podstawowych i 222 uczniów  w  jednym gimnazjum  na terenie Gminy Mirzec. </w:t>
      </w:r>
    </w:p>
    <w:p w:rsidR="00EE0C8C" w:rsidRPr="00EE0C8C" w:rsidRDefault="00EE0C8C" w:rsidP="00EE0C8C">
      <w:pPr>
        <w:jc w:val="both"/>
        <w:rPr>
          <w:rFonts w:ascii="Calibri" w:eastAsia="Times New Roman" w:hAnsi="Calibri" w:cs="Times New Roman"/>
          <w:sz w:val="24"/>
          <w:szCs w:val="24"/>
          <w:lang w:eastAsia="pl-PL"/>
        </w:rPr>
      </w:pPr>
      <w:r w:rsidRPr="00EE0C8C">
        <w:rPr>
          <w:rFonts w:ascii="Calibri" w:eastAsia="Times New Roman" w:hAnsi="Calibri" w:cs="Times New Roman"/>
          <w:sz w:val="24"/>
          <w:szCs w:val="24"/>
          <w:lang w:eastAsia="pl-PL"/>
        </w:rPr>
        <w:t>Szkoły te to:</w:t>
      </w:r>
    </w:p>
    <w:p w:rsidR="00EE0C8C" w:rsidRPr="00EE0C8C" w:rsidRDefault="00EE0C8C" w:rsidP="00EE0C8C">
      <w:pPr>
        <w:jc w:val="both"/>
        <w:rPr>
          <w:rFonts w:ascii="Calibri" w:eastAsia="Times New Roman" w:hAnsi="Calibri" w:cs="Times New Roman"/>
          <w:sz w:val="24"/>
          <w:szCs w:val="24"/>
          <w:lang w:eastAsia="pl-PL"/>
        </w:rPr>
      </w:pPr>
      <w:r w:rsidRPr="00EE0C8C">
        <w:rPr>
          <w:rFonts w:ascii="Calibri" w:eastAsia="Times New Roman" w:hAnsi="Calibri" w:cs="Times New Roman"/>
          <w:sz w:val="24"/>
          <w:szCs w:val="24"/>
          <w:lang w:eastAsia="pl-PL"/>
        </w:rPr>
        <w:t>-Szkoła Podstawowa w Mircu                                                                     153 uczniów</w:t>
      </w:r>
    </w:p>
    <w:p w:rsidR="00EE0C8C" w:rsidRPr="00EE0C8C" w:rsidRDefault="00EE0C8C" w:rsidP="00EE0C8C">
      <w:pPr>
        <w:jc w:val="both"/>
        <w:rPr>
          <w:rFonts w:ascii="Calibri" w:eastAsia="Times New Roman" w:hAnsi="Calibri" w:cs="Times New Roman"/>
          <w:sz w:val="24"/>
          <w:szCs w:val="24"/>
          <w:lang w:eastAsia="pl-PL"/>
        </w:rPr>
      </w:pPr>
      <w:r w:rsidRPr="00EE0C8C">
        <w:rPr>
          <w:rFonts w:ascii="Calibri" w:eastAsia="Times New Roman" w:hAnsi="Calibri" w:cs="Times New Roman"/>
          <w:sz w:val="24"/>
          <w:szCs w:val="24"/>
          <w:lang w:eastAsia="pl-PL"/>
        </w:rPr>
        <w:t>-Szkoła Podstawowa w Jagodnem                                                               35 uczniów</w:t>
      </w:r>
    </w:p>
    <w:p w:rsidR="00EE0C8C" w:rsidRPr="00EE0C8C" w:rsidRDefault="00EE0C8C" w:rsidP="00EE0C8C">
      <w:pPr>
        <w:jc w:val="both"/>
        <w:rPr>
          <w:rFonts w:ascii="Calibri" w:eastAsia="Times New Roman" w:hAnsi="Calibri" w:cs="Times New Roman"/>
          <w:sz w:val="24"/>
          <w:szCs w:val="24"/>
          <w:lang w:eastAsia="pl-PL"/>
        </w:rPr>
      </w:pPr>
      <w:r w:rsidRPr="00EE0C8C">
        <w:rPr>
          <w:rFonts w:ascii="Calibri" w:eastAsia="Times New Roman" w:hAnsi="Calibri" w:cs="Times New Roman"/>
          <w:sz w:val="24"/>
          <w:szCs w:val="24"/>
          <w:lang w:eastAsia="pl-PL"/>
        </w:rPr>
        <w:t>-Szkołą Podstawowa w Gadce                                                                      81-uczniów</w:t>
      </w:r>
    </w:p>
    <w:p w:rsidR="00EE0C8C" w:rsidRPr="00EE0C8C" w:rsidRDefault="00EE0C8C" w:rsidP="00EE0C8C">
      <w:pPr>
        <w:jc w:val="both"/>
        <w:rPr>
          <w:rFonts w:ascii="Calibri" w:eastAsia="Times New Roman" w:hAnsi="Calibri" w:cs="Times New Roman"/>
          <w:sz w:val="24"/>
          <w:szCs w:val="24"/>
          <w:lang w:eastAsia="pl-PL"/>
        </w:rPr>
      </w:pPr>
      <w:r w:rsidRPr="00EE0C8C">
        <w:rPr>
          <w:rFonts w:ascii="Calibri" w:eastAsia="Times New Roman" w:hAnsi="Calibri" w:cs="Times New Roman"/>
          <w:sz w:val="24"/>
          <w:szCs w:val="24"/>
          <w:lang w:eastAsia="pl-PL"/>
        </w:rPr>
        <w:t>-Szkoła Podstawowa w Tychowie Nowym                                                 66-uczniów</w:t>
      </w:r>
    </w:p>
    <w:p w:rsidR="00EE0C8C" w:rsidRPr="00EE0C8C" w:rsidRDefault="00EE0C8C" w:rsidP="00EE0C8C">
      <w:pPr>
        <w:jc w:val="both"/>
        <w:rPr>
          <w:rFonts w:ascii="Calibri" w:eastAsia="Times New Roman" w:hAnsi="Calibri" w:cs="Times New Roman"/>
          <w:sz w:val="24"/>
          <w:szCs w:val="24"/>
          <w:lang w:eastAsia="pl-PL"/>
        </w:rPr>
      </w:pPr>
      <w:r w:rsidRPr="00EE0C8C">
        <w:rPr>
          <w:rFonts w:ascii="Calibri" w:eastAsia="Times New Roman" w:hAnsi="Calibri" w:cs="Times New Roman"/>
          <w:sz w:val="24"/>
          <w:szCs w:val="24"/>
          <w:lang w:eastAsia="pl-PL"/>
        </w:rPr>
        <w:t>-Szkoła Podstawowa w Tychowie Starym                                                   98-uczniów</w:t>
      </w:r>
    </w:p>
    <w:p w:rsidR="00EE0C8C" w:rsidRPr="00EE0C8C" w:rsidRDefault="00EE0C8C" w:rsidP="00EE0C8C">
      <w:pPr>
        <w:jc w:val="both"/>
        <w:rPr>
          <w:rFonts w:ascii="Calibri" w:eastAsia="Times New Roman" w:hAnsi="Calibri" w:cs="Times New Roman"/>
          <w:sz w:val="24"/>
          <w:szCs w:val="24"/>
          <w:lang w:eastAsia="pl-PL"/>
        </w:rPr>
      </w:pPr>
      <w:r w:rsidRPr="00EE0C8C">
        <w:rPr>
          <w:rFonts w:ascii="Calibri" w:eastAsia="Times New Roman" w:hAnsi="Calibri" w:cs="Times New Roman"/>
          <w:sz w:val="24"/>
          <w:szCs w:val="24"/>
          <w:lang w:eastAsia="pl-PL"/>
        </w:rPr>
        <w:t>-Szkoła Podstawowa w Osinach                                                                    87-uczniów</w:t>
      </w:r>
    </w:p>
    <w:p w:rsidR="00EE0C8C" w:rsidRPr="00EE0C8C" w:rsidRDefault="00EE0C8C" w:rsidP="00EE0C8C">
      <w:pPr>
        <w:jc w:val="both"/>
        <w:rPr>
          <w:rFonts w:ascii="Calibri" w:eastAsia="Times New Roman" w:hAnsi="Calibri" w:cs="Times New Roman"/>
          <w:sz w:val="24"/>
          <w:szCs w:val="24"/>
          <w:lang w:eastAsia="pl-PL"/>
        </w:rPr>
      </w:pPr>
      <w:r w:rsidRPr="00EE0C8C">
        <w:rPr>
          <w:rFonts w:ascii="Calibri" w:eastAsia="Times New Roman" w:hAnsi="Calibri" w:cs="Times New Roman"/>
          <w:sz w:val="24"/>
          <w:szCs w:val="24"/>
          <w:lang w:eastAsia="pl-PL"/>
        </w:rPr>
        <w:t>-Szkoła Podstawowa w Trębowcu                                                                 39-uczniów</w:t>
      </w:r>
    </w:p>
    <w:p w:rsidR="00EE0C8C" w:rsidRPr="00EE0C8C" w:rsidRDefault="00EE0C8C" w:rsidP="00EE0C8C">
      <w:pPr>
        <w:jc w:val="both"/>
        <w:rPr>
          <w:rFonts w:ascii="Calibri" w:eastAsia="Times New Roman" w:hAnsi="Calibri" w:cs="Times New Roman"/>
          <w:sz w:val="24"/>
          <w:szCs w:val="24"/>
          <w:lang w:eastAsia="pl-PL"/>
        </w:rPr>
      </w:pPr>
      <w:r w:rsidRPr="00EE0C8C">
        <w:rPr>
          <w:rFonts w:ascii="Calibri" w:eastAsia="Times New Roman" w:hAnsi="Calibri" w:cs="Times New Roman"/>
          <w:sz w:val="24"/>
          <w:szCs w:val="24"/>
          <w:lang w:eastAsia="pl-PL"/>
        </w:rPr>
        <w:t>-Szkoła Podstawowa w Małyszynie                                                               75-uczniów</w:t>
      </w:r>
    </w:p>
    <w:p w:rsidR="00EE0C8C" w:rsidRPr="00EE0C8C" w:rsidRDefault="00EE0C8C" w:rsidP="00EE0C8C">
      <w:pPr>
        <w:jc w:val="both"/>
        <w:rPr>
          <w:rFonts w:ascii="Calibri" w:eastAsia="Times New Roman" w:hAnsi="Calibri" w:cs="Times New Roman"/>
          <w:sz w:val="24"/>
          <w:szCs w:val="24"/>
          <w:lang w:eastAsia="pl-PL"/>
        </w:rPr>
      </w:pPr>
      <w:r w:rsidRPr="00EE0C8C">
        <w:rPr>
          <w:rFonts w:ascii="Calibri" w:eastAsia="Times New Roman" w:hAnsi="Calibri" w:cs="Times New Roman"/>
          <w:sz w:val="24"/>
          <w:szCs w:val="24"/>
          <w:lang w:eastAsia="pl-PL"/>
        </w:rPr>
        <w:t>-Gimnazjum z Oddziałami Integracyjnymi w Mircu                                 222-uczniów</w:t>
      </w:r>
    </w:p>
    <w:p w:rsidR="00EE0C8C" w:rsidRPr="00EE0C8C" w:rsidRDefault="00EE0C8C" w:rsidP="00EE0C8C">
      <w:pPr>
        <w:jc w:val="both"/>
        <w:rPr>
          <w:rFonts w:ascii="Calibri" w:eastAsia="Times New Roman" w:hAnsi="Calibri" w:cs="Times New Roman"/>
          <w:sz w:val="24"/>
          <w:szCs w:val="24"/>
          <w:lang w:eastAsia="pl-PL"/>
        </w:rPr>
      </w:pPr>
      <w:r w:rsidRPr="00EE0C8C">
        <w:rPr>
          <w:rFonts w:ascii="Calibri" w:eastAsia="Times New Roman" w:hAnsi="Calibri" w:cs="Times New Roman"/>
          <w:sz w:val="24"/>
          <w:szCs w:val="24"/>
          <w:lang w:eastAsia="pl-PL"/>
        </w:rPr>
        <w:lastRenderedPageBreak/>
        <w:t xml:space="preserve">   </w:t>
      </w:r>
    </w:p>
    <w:p w:rsidR="00EE0C8C" w:rsidRPr="00EE0C8C" w:rsidRDefault="00EE0C8C" w:rsidP="00EE0C8C">
      <w:pPr>
        <w:jc w:val="both"/>
        <w:rPr>
          <w:rFonts w:ascii="Calibri" w:eastAsia="Times New Roman" w:hAnsi="Calibri" w:cs="Times New Roman"/>
          <w:sz w:val="24"/>
          <w:szCs w:val="24"/>
          <w:lang w:eastAsia="pl-PL"/>
        </w:rPr>
      </w:pPr>
      <w:r w:rsidRPr="00EE0C8C">
        <w:rPr>
          <w:rFonts w:ascii="Calibri" w:eastAsia="Times New Roman" w:hAnsi="Calibri" w:cs="Times New Roman"/>
          <w:sz w:val="24"/>
          <w:szCs w:val="24"/>
          <w:lang w:eastAsia="pl-PL"/>
        </w:rPr>
        <w:t>Pielęgniarka szkolna planuje i realizuje profilaktyczną opiekę zdrowotną nad uczniami na terenie szkoły i w placówce służby zdrowia.</w:t>
      </w:r>
    </w:p>
    <w:p w:rsidR="00EE0C8C" w:rsidRPr="00EE0C8C" w:rsidRDefault="00EE0C8C" w:rsidP="00EE0C8C">
      <w:pPr>
        <w:jc w:val="both"/>
        <w:rPr>
          <w:rFonts w:ascii="Calibri" w:eastAsia="Times New Roman" w:hAnsi="Calibri" w:cs="Times New Roman"/>
          <w:sz w:val="24"/>
          <w:szCs w:val="24"/>
          <w:lang w:eastAsia="pl-PL"/>
        </w:rPr>
      </w:pPr>
      <w:r w:rsidRPr="00EE0C8C">
        <w:rPr>
          <w:rFonts w:ascii="Calibri" w:eastAsia="Times New Roman" w:hAnsi="Calibri" w:cs="Times New Roman"/>
          <w:sz w:val="24"/>
          <w:szCs w:val="24"/>
          <w:lang w:eastAsia="pl-PL"/>
        </w:rPr>
        <w:t xml:space="preserve">    Świadczenia pielęgniarki  szkolnej obejmują;</w:t>
      </w:r>
    </w:p>
    <w:p w:rsidR="00EE0C8C" w:rsidRPr="00EE0C8C" w:rsidRDefault="00EE0C8C" w:rsidP="00EE0C8C">
      <w:pPr>
        <w:jc w:val="both"/>
        <w:rPr>
          <w:rFonts w:ascii="Calibri" w:eastAsia="Times New Roman" w:hAnsi="Calibri" w:cs="Times New Roman"/>
          <w:sz w:val="24"/>
          <w:szCs w:val="24"/>
          <w:lang w:eastAsia="pl-PL"/>
        </w:rPr>
      </w:pPr>
      <w:r w:rsidRPr="00EE0C8C">
        <w:rPr>
          <w:rFonts w:ascii="Calibri" w:eastAsia="Times New Roman" w:hAnsi="Calibri" w:cs="Times New Roman"/>
          <w:sz w:val="24"/>
          <w:szCs w:val="24"/>
          <w:lang w:eastAsia="pl-PL"/>
        </w:rPr>
        <w:t xml:space="preserve">-wykonywanie i interpretowanie </w:t>
      </w:r>
      <w:r w:rsidR="00854CED">
        <w:rPr>
          <w:rFonts w:ascii="Calibri" w:eastAsia="Times New Roman" w:hAnsi="Calibri" w:cs="Times New Roman"/>
          <w:sz w:val="24"/>
          <w:szCs w:val="24"/>
          <w:lang w:eastAsia="pl-PL"/>
        </w:rPr>
        <w:t>testów przesiewowych w klasach</w:t>
      </w:r>
      <w:r w:rsidR="003921CB">
        <w:rPr>
          <w:rFonts w:ascii="Calibri" w:eastAsia="Times New Roman" w:hAnsi="Calibri" w:cs="Times New Roman"/>
          <w:sz w:val="24"/>
          <w:szCs w:val="24"/>
          <w:lang w:eastAsia="pl-PL"/>
        </w:rPr>
        <w:t xml:space="preserve"> 0 (ew. I),</w:t>
      </w:r>
      <w:r w:rsidR="00854CED">
        <w:rPr>
          <w:rFonts w:ascii="Calibri" w:eastAsia="Times New Roman" w:hAnsi="Calibri" w:cs="Times New Roman"/>
          <w:sz w:val="24"/>
          <w:szCs w:val="24"/>
          <w:lang w:eastAsia="pl-PL"/>
        </w:rPr>
        <w:t xml:space="preserve"> III, V </w:t>
      </w:r>
      <w:r w:rsidR="003921CB">
        <w:rPr>
          <w:rFonts w:ascii="Calibri" w:eastAsia="Times New Roman" w:hAnsi="Calibri" w:cs="Times New Roman"/>
          <w:sz w:val="24"/>
          <w:szCs w:val="24"/>
          <w:lang w:eastAsia="pl-PL"/>
        </w:rPr>
        <w:t>(</w:t>
      </w:r>
      <w:r w:rsidR="00854CED">
        <w:rPr>
          <w:rFonts w:ascii="Calibri" w:eastAsia="Times New Roman" w:hAnsi="Calibri" w:cs="Times New Roman"/>
          <w:sz w:val="24"/>
          <w:szCs w:val="24"/>
          <w:lang w:eastAsia="pl-PL"/>
        </w:rPr>
        <w:t>szk</w:t>
      </w:r>
      <w:r w:rsidR="003921CB">
        <w:rPr>
          <w:rFonts w:ascii="Calibri" w:eastAsia="Times New Roman" w:hAnsi="Calibri" w:cs="Times New Roman"/>
          <w:sz w:val="24"/>
          <w:szCs w:val="24"/>
          <w:lang w:eastAsia="pl-PL"/>
        </w:rPr>
        <w:t>ół podstawowych)</w:t>
      </w:r>
      <w:r w:rsidR="00854CED">
        <w:rPr>
          <w:rFonts w:ascii="Calibri" w:eastAsia="Times New Roman" w:hAnsi="Calibri" w:cs="Times New Roman"/>
          <w:sz w:val="24"/>
          <w:szCs w:val="24"/>
          <w:lang w:eastAsia="pl-PL"/>
        </w:rPr>
        <w:t xml:space="preserve"> oraz</w:t>
      </w:r>
      <w:r w:rsidR="003921CB">
        <w:rPr>
          <w:rFonts w:ascii="Calibri" w:eastAsia="Times New Roman" w:hAnsi="Calibri" w:cs="Times New Roman"/>
          <w:sz w:val="24"/>
          <w:szCs w:val="24"/>
          <w:lang w:eastAsia="pl-PL"/>
        </w:rPr>
        <w:t xml:space="preserve"> w</w:t>
      </w:r>
      <w:r w:rsidR="00854CED">
        <w:rPr>
          <w:rFonts w:ascii="Calibri" w:eastAsia="Times New Roman" w:hAnsi="Calibri" w:cs="Times New Roman"/>
          <w:sz w:val="24"/>
          <w:szCs w:val="24"/>
          <w:lang w:eastAsia="pl-PL"/>
        </w:rPr>
        <w:t xml:space="preserve"> </w:t>
      </w:r>
      <w:r w:rsidR="003921CB">
        <w:rPr>
          <w:rFonts w:ascii="Calibri" w:eastAsia="Times New Roman" w:hAnsi="Calibri" w:cs="Times New Roman"/>
          <w:sz w:val="24"/>
          <w:szCs w:val="24"/>
          <w:lang w:eastAsia="pl-PL"/>
        </w:rPr>
        <w:t>I klasie G</w:t>
      </w:r>
      <w:r w:rsidR="00854CED">
        <w:rPr>
          <w:rFonts w:ascii="Calibri" w:eastAsia="Times New Roman" w:hAnsi="Calibri" w:cs="Times New Roman"/>
          <w:sz w:val="24"/>
          <w:szCs w:val="24"/>
          <w:lang w:eastAsia="pl-PL"/>
        </w:rPr>
        <w:t>imnazjum</w:t>
      </w:r>
      <w:r w:rsidRPr="00EE0C8C">
        <w:rPr>
          <w:rFonts w:ascii="Calibri" w:eastAsia="Times New Roman" w:hAnsi="Calibri" w:cs="Times New Roman"/>
          <w:sz w:val="24"/>
          <w:szCs w:val="24"/>
          <w:lang w:eastAsia="pl-PL"/>
        </w:rPr>
        <w:t xml:space="preserve"> , które mają na celu wykrywanie zaburzeń rozwoju fizycznego, układu ruch, w tym bocznego skrzywienia kręgosłupa , zniekształceń statycznych kończyn dolnych, w kierunku zeza, ostrości wzroku, widzenia barw, słuchu, ciśnienie tętnicze krwi, orientacyjne wykrywanie zaburzeń statyki ciała, orientacyjne wykrywanie wad wymowy.</w:t>
      </w:r>
    </w:p>
    <w:p w:rsidR="00EE0C8C" w:rsidRPr="00EE0C8C" w:rsidRDefault="00EE0C8C" w:rsidP="00EE0C8C">
      <w:pPr>
        <w:jc w:val="both"/>
        <w:rPr>
          <w:rFonts w:ascii="Calibri" w:eastAsia="Times New Roman" w:hAnsi="Calibri" w:cs="Times New Roman"/>
          <w:sz w:val="24"/>
          <w:szCs w:val="24"/>
          <w:lang w:eastAsia="pl-PL"/>
        </w:rPr>
      </w:pPr>
      <w:r w:rsidRPr="00EE0C8C">
        <w:rPr>
          <w:rFonts w:ascii="Calibri" w:eastAsia="Times New Roman" w:hAnsi="Calibri" w:cs="Times New Roman"/>
          <w:sz w:val="24"/>
          <w:szCs w:val="24"/>
          <w:lang w:eastAsia="pl-PL"/>
        </w:rPr>
        <w:t xml:space="preserve">-kierowanie postępowaniem </w:t>
      </w:r>
      <w:r w:rsidR="004140DA" w:rsidRPr="00EE0C8C">
        <w:rPr>
          <w:rFonts w:ascii="Calibri" w:eastAsia="Times New Roman" w:hAnsi="Calibri" w:cs="Times New Roman"/>
          <w:sz w:val="24"/>
          <w:szCs w:val="24"/>
          <w:lang w:eastAsia="pl-PL"/>
        </w:rPr>
        <w:t>po przesiewowym</w:t>
      </w:r>
      <w:r w:rsidRPr="00EE0C8C">
        <w:rPr>
          <w:rFonts w:ascii="Calibri" w:eastAsia="Times New Roman" w:hAnsi="Calibri" w:cs="Times New Roman"/>
          <w:sz w:val="24"/>
          <w:szCs w:val="24"/>
          <w:lang w:eastAsia="pl-PL"/>
        </w:rPr>
        <w:t xml:space="preserve"> oraz sprawowanie opieki nad uczniami </w:t>
      </w:r>
      <w:r w:rsidR="003921CB">
        <w:rPr>
          <w:rFonts w:ascii="Calibri" w:eastAsia="Times New Roman" w:hAnsi="Calibri" w:cs="Times New Roman"/>
          <w:sz w:val="24"/>
          <w:szCs w:val="24"/>
          <w:lang w:eastAsia="pl-PL"/>
        </w:rPr>
        <w:br/>
      </w:r>
      <w:r w:rsidRPr="00EE0C8C">
        <w:rPr>
          <w:rFonts w:ascii="Calibri" w:eastAsia="Times New Roman" w:hAnsi="Calibri" w:cs="Times New Roman"/>
          <w:sz w:val="24"/>
          <w:szCs w:val="24"/>
          <w:lang w:eastAsia="pl-PL"/>
        </w:rPr>
        <w:t>z dodatnimi wynikami testów,</w:t>
      </w:r>
    </w:p>
    <w:p w:rsidR="00EE0C8C" w:rsidRPr="00EE0C8C" w:rsidRDefault="00EE0C8C" w:rsidP="00EE0C8C">
      <w:pPr>
        <w:rPr>
          <w:rFonts w:ascii="Calibri" w:eastAsia="Times New Roman" w:hAnsi="Calibri" w:cs="Times New Roman"/>
          <w:sz w:val="24"/>
          <w:szCs w:val="24"/>
          <w:lang w:eastAsia="pl-PL"/>
        </w:rPr>
      </w:pPr>
      <w:r w:rsidRPr="00EE0C8C">
        <w:rPr>
          <w:rFonts w:ascii="Calibri" w:eastAsia="Times New Roman" w:hAnsi="Calibri" w:cs="Times New Roman"/>
          <w:sz w:val="24"/>
          <w:szCs w:val="24"/>
          <w:lang w:eastAsia="pl-PL"/>
        </w:rPr>
        <w:t>-czynne poradnictwo dla uczniów z problemami zdrowotnymi,</w:t>
      </w:r>
    </w:p>
    <w:p w:rsidR="00EE0C8C" w:rsidRPr="00EE0C8C" w:rsidRDefault="00EE0C8C" w:rsidP="00EE0C8C">
      <w:pPr>
        <w:jc w:val="both"/>
        <w:rPr>
          <w:rFonts w:ascii="Calibri" w:eastAsia="Times New Roman" w:hAnsi="Calibri" w:cs="Times New Roman"/>
          <w:sz w:val="24"/>
          <w:szCs w:val="24"/>
          <w:lang w:eastAsia="pl-PL"/>
        </w:rPr>
      </w:pPr>
      <w:r w:rsidRPr="00EE0C8C">
        <w:rPr>
          <w:rFonts w:ascii="Calibri" w:eastAsia="Times New Roman" w:hAnsi="Calibri" w:cs="Times New Roman"/>
          <w:sz w:val="24"/>
          <w:szCs w:val="24"/>
          <w:lang w:eastAsia="pl-PL"/>
        </w:rPr>
        <w:t>-udzielanie pomocy przedlekarskiej w przypadku nagłych zachorowań, urazów i zatruć,</w:t>
      </w:r>
    </w:p>
    <w:p w:rsidR="00EE0C8C" w:rsidRPr="00EE0C8C" w:rsidRDefault="00EE0C8C" w:rsidP="00EE0C8C">
      <w:pPr>
        <w:jc w:val="both"/>
        <w:rPr>
          <w:rFonts w:ascii="Calibri" w:eastAsia="Times New Roman" w:hAnsi="Calibri" w:cs="Times New Roman"/>
          <w:sz w:val="24"/>
          <w:szCs w:val="24"/>
          <w:lang w:eastAsia="pl-PL"/>
        </w:rPr>
      </w:pPr>
      <w:r w:rsidRPr="00EE0C8C">
        <w:rPr>
          <w:rFonts w:ascii="Calibri" w:eastAsia="Times New Roman" w:hAnsi="Calibri" w:cs="Times New Roman"/>
          <w:sz w:val="24"/>
          <w:szCs w:val="24"/>
          <w:lang w:eastAsia="pl-PL"/>
        </w:rPr>
        <w:t xml:space="preserve">-sprawowanie opieki nad uczniami z chorobami przewlekłymi i niepełnosprawnością, w tym realizacja świadczeń pielęgniarskich oraz wyłącznie na podstawie zlecenia lekarskiego </w:t>
      </w:r>
      <w:r w:rsidR="003921CB">
        <w:rPr>
          <w:rFonts w:ascii="Calibri" w:eastAsia="Times New Roman" w:hAnsi="Calibri" w:cs="Times New Roman"/>
          <w:sz w:val="24"/>
          <w:szCs w:val="24"/>
          <w:lang w:eastAsia="pl-PL"/>
        </w:rPr>
        <w:br/>
        <w:t xml:space="preserve">i </w:t>
      </w:r>
      <w:r w:rsidRPr="00EE0C8C">
        <w:rPr>
          <w:rFonts w:ascii="Calibri" w:eastAsia="Times New Roman" w:hAnsi="Calibri" w:cs="Times New Roman"/>
          <w:sz w:val="24"/>
          <w:szCs w:val="24"/>
          <w:lang w:eastAsia="pl-PL"/>
        </w:rPr>
        <w:t>w porozumieniu z lekarzem PZOZ  zabiegów i procedur leczniczych do wykonania u ucznia w trakcie pobytu w szkole,</w:t>
      </w:r>
    </w:p>
    <w:p w:rsidR="00EE0C8C" w:rsidRPr="00EE0C8C" w:rsidRDefault="00EE0C8C" w:rsidP="00EE0C8C">
      <w:pPr>
        <w:jc w:val="both"/>
        <w:rPr>
          <w:rFonts w:ascii="Calibri" w:eastAsia="Times New Roman" w:hAnsi="Calibri" w:cs="Times New Roman"/>
          <w:sz w:val="24"/>
          <w:szCs w:val="24"/>
          <w:lang w:eastAsia="pl-PL"/>
        </w:rPr>
      </w:pPr>
      <w:r w:rsidRPr="00EE0C8C">
        <w:rPr>
          <w:rFonts w:ascii="Calibri" w:eastAsia="Times New Roman" w:hAnsi="Calibri" w:cs="Times New Roman"/>
          <w:sz w:val="24"/>
          <w:szCs w:val="24"/>
          <w:lang w:eastAsia="pl-PL"/>
        </w:rPr>
        <w:t>-edukacja w zakresie zdrowia jamy ustnej,</w:t>
      </w:r>
    </w:p>
    <w:p w:rsidR="00EE0C8C" w:rsidRPr="00EE0C8C" w:rsidRDefault="00EE0C8C" w:rsidP="00EE0C8C">
      <w:pPr>
        <w:jc w:val="both"/>
        <w:rPr>
          <w:rFonts w:ascii="Calibri" w:eastAsia="Times New Roman" w:hAnsi="Calibri" w:cs="Times New Roman"/>
          <w:sz w:val="24"/>
          <w:szCs w:val="24"/>
          <w:lang w:eastAsia="pl-PL"/>
        </w:rPr>
      </w:pPr>
      <w:r w:rsidRPr="00EE0C8C">
        <w:rPr>
          <w:rFonts w:ascii="Calibri" w:eastAsia="Times New Roman" w:hAnsi="Calibri" w:cs="Times New Roman"/>
          <w:sz w:val="24"/>
          <w:szCs w:val="24"/>
          <w:lang w:eastAsia="pl-PL"/>
        </w:rPr>
        <w:t xml:space="preserve">-prowadzenie u uczniów szkół </w:t>
      </w:r>
      <w:r w:rsidR="004140DA" w:rsidRPr="00EE0C8C">
        <w:rPr>
          <w:rFonts w:ascii="Calibri" w:eastAsia="Times New Roman" w:hAnsi="Calibri" w:cs="Times New Roman"/>
          <w:sz w:val="24"/>
          <w:szCs w:val="24"/>
          <w:lang w:eastAsia="pl-PL"/>
        </w:rPr>
        <w:t>podstawowych klasy</w:t>
      </w:r>
      <w:r w:rsidRPr="00EE0C8C">
        <w:rPr>
          <w:rFonts w:ascii="Calibri" w:eastAsia="Times New Roman" w:hAnsi="Calibri" w:cs="Times New Roman"/>
          <w:sz w:val="24"/>
          <w:szCs w:val="24"/>
          <w:lang w:eastAsia="pl-PL"/>
        </w:rPr>
        <w:t xml:space="preserve"> I- IV-grupowej profilaktyki fluorkowej metodą nadzorowanego szczotkowania zębów preparatami fluorkowymi 6 razy w roku, </w:t>
      </w:r>
      <w:r w:rsidR="003921CB">
        <w:rPr>
          <w:rFonts w:ascii="Calibri" w:eastAsia="Times New Roman" w:hAnsi="Calibri" w:cs="Times New Roman"/>
          <w:sz w:val="24"/>
          <w:szCs w:val="24"/>
          <w:lang w:eastAsia="pl-PL"/>
        </w:rPr>
        <w:br/>
      </w:r>
      <w:r w:rsidRPr="00EE0C8C">
        <w:rPr>
          <w:rFonts w:ascii="Calibri" w:eastAsia="Times New Roman" w:hAnsi="Calibri" w:cs="Times New Roman"/>
          <w:sz w:val="24"/>
          <w:szCs w:val="24"/>
          <w:lang w:eastAsia="pl-PL"/>
        </w:rPr>
        <w:t>w odstępach co 6 tygodni,</w:t>
      </w:r>
    </w:p>
    <w:p w:rsidR="00EE0C8C" w:rsidRPr="00EE0C8C" w:rsidRDefault="00EE0C8C" w:rsidP="00EE0C8C">
      <w:pPr>
        <w:jc w:val="both"/>
        <w:rPr>
          <w:rFonts w:ascii="Calibri" w:eastAsia="Times New Roman" w:hAnsi="Calibri" w:cs="Times New Roman"/>
          <w:sz w:val="24"/>
          <w:szCs w:val="24"/>
          <w:lang w:eastAsia="pl-PL"/>
        </w:rPr>
      </w:pPr>
      <w:r w:rsidRPr="00EE0C8C">
        <w:rPr>
          <w:rFonts w:ascii="Calibri" w:eastAsia="Times New Roman" w:hAnsi="Calibri" w:cs="Times New Roman"/>
          <w:sz w:val="24"/>
          <w:szCs w:val="24"/>
          <w:lang w:eastAsia="pl-PL"/>
        </w:rPr>
        <w:t>-udział w planowaniu, realizacji i ocenie edukacji zdrowotnej.</w:t>
      </w:r>
    </w:p>
    <w:p w:rsidR="00EE0C8C" w:rsidRPr="00EE0C8C" w:rsidRDefault="00EE0C8C" w:rsidP="00EE0C8C">
      <w:pPr>
        <w:jc w:val="both"/>
        <w:rPr>
          <w:rFonts w:ascii="Calibri" w:eastAsia="Times New Roman" w:hAnsi="Calibri" w:cs="Times New Roman"/>
          <w:sz w:val="24"/>
          <w:szCs w:val="24"/>
          <w:lang w:eastAsia="pl-PL"/>
        </w:rPr>
      </w:pPr>
      <w:r w:rsidRPr="00EE0C8C">
        <w:rPr>
          <w:rFonts w:ascii="Calibri" w:eastAsia="Times New Roman" w:hAnsi="Calibri" w:cs="Times New Roman"/>
          <w:sz w:val="24"/>
          <w:szCs w:val="24"/>
          <w:lang w:eastAsia="pl-PL"/>
        </w:rPr>
        <w:t>Pielęgniarka szkolna jest rzecznikiem spraw ucznia i jedynym profesjonalnym pracownikiem ochrony zdrowia samodzielnie pracującym na co dzień w szkole.</w:t>
      </w:r>
    </w:p>
    <w:p w:rsidR="00EE0C8C" w:rsidRPr="00EE0C8C" w:rsidRDefault="00EE0C8C" w:rsidP="00EE0C8C">
      <w:pPr>
        <w:jc w:val="both"/>
        <w:rPr>
          <w:rFonts w:ascii="Calibri" w:eastAsia="Times New Roman" w:hAnsi="Calibri" w:cs="Times New Roman"/>
          <w:sz w:val="24"/>
          <w:szCs w:val="24"/>
          <w:lang w:eastAsia="pl-PL"/>
        </w:rPr>
      </w:pPr>
      <w:r w:rsidRPr="00EE0C8C">
        <w:rPr>
          <w:rFonts w:ascii="Calibri" w:eastAsia="Times New Roman" w:hAnsi="Calibri" w:cs="Times New Roman"/>
          <w:sz w:val="24"/>
          <w:szCs w:val="24"/>
          <w:lang w:eastAsia="pl-PL"/>
        </w:rPr>
        <w:t>Współpracuje w swej pracy z :</w:t>
      </w:r>
    </w:p>
    <w:p w:rsidR="00EE0C8C" w:rsidRPr="00EE0C8C" w:rsidRDefault="00EE0C8C" w:rsidP="00DC61B1">
      <w:pPr>
        <w:numPr>
          <w:ilvl w:val="0"/>
          <w:numId w:val="37"/>
        </w:numPr>
        <w:contextualSpacing/>
        <w:jc w:val="both"/>
        <w:rPr>
          <w:rFonts w:ascii="Calibri" w:eastAsia="Times New Roman" w:hAnsi="Calibri" w:cs="Times New Roman"/>
          <w:sz w:val="24"/>
          <w:szCs w:val="24"/>
          <w:lang w:eastAsia="pl-PL"/>
        </w:rPr>
      </w:pPr>
      <w:r w:rsidRPr="00EE0C8C">
        <w:rPr>
          <w:rFonts w:ascii="Calibri" w:eastAsia="Times New Roman" w:hAnsi="Calibri" w:cs="Times New Roman"/>
          <w:sz w:val="24"/>
          <w:szCs w:val="24"/>
          <w:lang w:eastAsia="pl-PL"/>
        </w:rPr>
        <w:t>lekarzem rodzinnym, lub pediatrą i internistą,</w:t>
      </w:r>
    </w:p>
    <w:p w:rsidR="00EE0C8C" w:rsidRPr="00EE0C8C" w:rsidRDefault="00EE0C8C" w:rsidP="00DC61B1">
      <w:pPr>
        <w:numPr>
          <w:ilvl w:val="0"/>
          <w:numId w:val="37"/>
        </w:numPr>
        <w:contextualSpacing/>
        <w:jc w:val="both"/>
        <w:rPr>
          <w:rFonts w:ascii="Calibri" w:eastAsia="Times New Roman" w:hAnsi="Calibri" w:cs="Times New Roman"/>
          <w:sz w:val="24"/>
          <w:szCs w:val="24"/>
          <w:lang w:eastAsia="pl-PL"/>
        </w:rPr>
      </w:pPr>
      <w:r w:rsidRPr="00EE0C8C">
        <w:rPr>
          <w:rFonts w:ascii="Calibri" w:eastAsia="Times New Roman" w:hAnsi="Calibri" w:cs="Times New Roman"/>
          <w:sz w:val="24"/>
          <w:szCs w:val="24"/>
          <w:lang w:eastAsia="pl-PL"/>
        </w:rPr>
        <w:t>pielęgniarką środowiskową i położną środowiskową,</w:t>
      </w:r>
    </w:p>
    <w:p w:rsidR="00EE0C8C" w:rsidRPr="00EE0C8C" w:rsidRDefault="00EE0C8C" w:rsidP="00DC61B1">
      <w:pPr>
        <w:numPr>
          <w:ilvl w:val="0"/>
          <w:numId w:val="37"/>
        </w:numPr>
        <w:contextualSpacing/>
        <w:jc w:val="both"/>
        <w:rPr>
          <w:rFonts w:ascii="Calibri" w:eastAsia="Times New Roman" w:hAnsi="Calibri" w:cs="Times New Roman"/>
          <w:sz w:val="24"/>
          <w:szCs w:val="24"/>
          <w:lang w:eastAsia="pl-PL"/>
        </w:rPr>
      </w:pPr>
      <w:r w:rsidRPr="00EE0C8C">
        <w:rPr>
          <w:rFonts w:ascii="Calibri" w:eastAsia="Times New Roman" w:hAnsi="Calibri" w:cs="Times New Roman"/>
          <w:sz w:val="24"/>
          <w:szCs w:val="24"/>
          <w:lang w:eastAsia="pl-PL"/>
        </w:rPr>
        <w:t>rodzicami uczniów,</w:t>
      </w:r>
    </w:p>
    <w:p w:rsidR="00EE0C8C" w:rsidRPr="00EE0C8C" w:rsidRDefault="00EE0C8C" w:rsidP="00DC61B1">
      <w:pPr>
        <w:numPr>
          <w:ilvl w:val="0"/>
          <w:numId w:val="37"/>
        </w:numPr>
        <w:contextualSpacing/>
        <w:jc w:val="both"/>
        <w:rPr>
          <w:rFonts w:ascii="Calibri" w:eastAsia="Times New Roman" w:hAnsi="Calibri" w:cs="Times New Roman"/>
          <w:sz w:val="24"/>
          <w:szCs w:val="24"/>
          <w:lang w:eastAsia="pl-PL"/>
        </w:rPr>
      </w:pPr>
      <w:r w:rsidRPr="00EE0C8C">
        <w:rPr>
          <w:rFonts w:ascii="Calibri" w:eastAsia="Times New Roman" w:hAnsi="Calibri" w:cs="Times New Roman"/>
          <w:sz w:val="24"/>
          <w:szCs w:val="24"/>
          <w:lang w:eastAsia="pl-PL"/>
        </w:rPr>
        <w:t>dyrekcją i personelem szkoły,</w:t>
      </w:r>
    </w:p>
    <w:p w:rsidR="00EE0C8C" w:rsidRPr="00EE0C8C" w:rsidRDefault="00EE0C8C" w:rsidP="00DC61B1">
      <w:pPr>
        <w:numPr>
          <w:ilvl w:val="0"/>
          <w:numId w:val="37"/>
        </w:numPr>
        <w:contextualSpacing/>
        <w:jc w:val="both"/>
        <w:rPr>
          <w:rFonts w:ascii="Calibri" w:eastAsia="Times New Roman" w:hAnsi="Calibri" w:cs="Times New Roman"/>
          <w:sz w:val="24"/>
          <w:szCs w:val="24"/>
          <w:lang w:eastAsia="pl-PL"/>
        </w:rPr>
      </w:pPr>
      <w:r w:rsidRPr="00EE0C8C">
        <w:rPr>
          <w:rFonts w:ascii="Calibri" w:eastAsia="Times New Roman" w:hAnsi="Calibri" w:cs="Times New Roman"/>
          <w:sz w:val="24"/>
          <w:szCs w:val="24"/>
          <w:lang w:eastAsia="pl-PL"/>
        </w:rPr>
        <w:t>komitetem rodzicielskim.</w:t>
      </w:r>
    </w:p>
    <w:p w:rsidR="00EE0C8C" w:rsidRPr="00EE0C8C" w:rsidRDefault="00EE0C8C" w:rsidP="00EE0C8C">
      <w:pPr>
        <w:rPr>
          <w:rFonts w:ascii="Calibri" w:eastAsia="Times New Roman" w:hAnsi="Calibri" w:cs="Times New Roman"/>
          <w:lang w:eastAsia="pl-PL"/>
        </w:rPr>
      </w:pPr>
      <w:r w:rsidRPr="00EE0C8C">
        <w:rPr>
          <w:rFonts w:ascii="Calibri" w:eastAsia="Times New Roman" w:hAnsi="Calibri" w:cs="Times New Roman"/>
          <w:lang w:eastAsia="pl-PL"/>
        </w:rPr>
        <w:t>(Źródło: Samodzielny Publiczny Zakład Opieki Zdrowotnej w Mircu)</w:t>
      </w:r>
    </w:p>
    <w:p w:rsidR="00EE0C8C" w:rsidRPr="00EE0C8C" w:rsidRDefault="00EE0C8C" w:rsidP="00EE0C8C">
      <w:pPr>
        <w:rPr>
          <w:rFonts w:ascii="Calibri" w:eastAsia="Times New Roman" w:hAnsi="Calibri" w:cs="Times New Roman"/>
          <w:lang w:eastAsia="pl-PL"/>
        </w:rPr>
      </w:pPr>
    </w:p>
    <w:p w:rsidR="00EE0C8C" w:rsidRPr="00EE0C8C" w:rsidRDefault="00EE0C8C" w:rsidP="00EE0C8C">
      <w:pPr>
        <w:keepNext/>
        <w:keepLines/>
        <w:spacing w:before="200" w:after="0"/>
        <w:outlineLvl w:val="3"/>
        <w:rPr>
          <w:rFonts w:ascii="Cambria" w:eastAsia="Times New Roman" w:hAnsi="Cambria" w:cs="Times New Roman"/>
          <w:b/>
          <w:bCs/>
          <w:i/>
          <w:iCs/>
          <w:color w:val="4F81BD"/>
        </w:rPr>
      </w:pPr>
      <w:r w:rsidRPr="00EE0C8C">
        <w:rPr>
          <w:rFonts w:ascii="Cambria" w:eastAsia="Times New Roman" w:hAnsi="Cambria" w:cs="Times New Roman"/>
          <w:b/>
          <w:bCs/>
          <w:i/>
          <w:iCs/>
          <w:color w:val="4F81BD"/>
        </w:rPr>
        <w:t>Bezpieczeństwo publiczne.</w:t>
      </w:r>
    </w:p>
    <w:p w:rsidR="00EE0C8C" w:rsidRPr="00EE0C8C" w:rsidRDefault="00EE0C8C" w:rsidP="00DC61B1">
      <w:pPr>
        <w:numPr>
          <w:ilvl w:val="0"/>
          <w:numId w:val="28"/>
        </w:numPr>
        <w:contextualSpacing/>
        <w:jc w:val="both"/>
        <w:rPr>
          <w:rFonts w:ascii="Calibri" w:eastAsia="Calibri" w:hAnsi="Calibri" w:cs="Times New Roman"/>
        </w:rPr>
      </w:pPr>
      <w:r w:rsidRPr="00EE0C8C">
        <w:rPr>
          <w:rFonts w:ascii="Calibri" w:eastAsia="Calibri" w:hAnsi="Calibri" w:cs="Times New Roman"/>
        </w:rPr>
        <w:t>Policja.</w:t>
      </w:r>
    </w:p>
    <w:tbl>
      <w:tblPr>
        <w:tblStyle w:val="Tabela-Siatka3"/>
        <w:tblW w:w="0" w:type="auto"/>
        <w:jc w:val="center"/>
        <w:tblLook w:val="04A0" w:firstRow="1" w:lastRow="0" w:firstColumn="1" w:lastColumn="0" w:noHBand="0" w:noVBand="1"/>
      </w:tblPr>
      <w:tblGrid>
        <w:gridCol w:w="3785"/>
        <w:gridCol w:w="1809"/>
        <w:gridCol w:w="1809"/>
        <w:gridCol w:w="1809"/>
      </w:tblGrid>
      <w:tr w:rsidR="00EE0C8C" w:rsidRPr="00EE0C8C" w:rsidTr="00A76BDB">
        <w:trPr>
          <w:jc w:val="center"/>
        </w:trPr>
        <w:tc>
          <w:tcPr>
            <w:tcW w:w="9212" w:type="dxa"/>
            <w:gridSpan w:val="4"/>
            <w:shd w:val="clear" w:color="auto" w:fill="008080"/>
          </w:tcPr>
          <w:p w:rsidR="00EE0C8C" w:rsidRPr="00EE0C8C" w:rsidRDefault="00EE0C8C" w:rsidP="00EE0C8C">
            <w:pPr>
              <w:jc w:val="center"/>
              <w:rPr>
                <w:rFonts w:ascii="Calibri" w:eastAsia="Calibri" w:hAnsi="Calibri" w:cs="Times New Roman"/>
                <w:b/>
              </w:rPr>
            </w:pPr>
            <w:r w:rsidRPr="00EE0C8C">
              <w:rPr>
                <w:rFonts w:ascii="Calibri" w:eastAsia="Calibri" w:hAnsi="Calibri" w:cs="Times New Roman"/>
                <w:b/>
                <w:color w:val="FFFFFF"/>
              </w:rPr>
              <w:t>Zdarzenia zaistniałe na terenie gminy Mirzec w latach 2012-2014</w:t>
            </w:r>
          </w:p>
        </w:tc>
      </w:tr>
      <w:tr w:rsidR="00EE0C8C" w:rsidRPr="00EE0C8C" w:rsidTr="00A76BDB">
        <w:trPr>
          <w:jc w:val="center"/>
        </w:trPr>
        <w:tc>
          <w:tcPr>
            <w:tcW w:w="3785" w:type="dxa"/>
          </w:tcPr>
          <w:p w:rsidR="00EE0C8C" w:rsidRPr="00EE0C8C" w:rsidRDefault="00EE0C8C" w:rsidP="00EE0C8C">
            <w:pPr>
              <w:jc w:val="center"/>
              <w:rPr>
                <w:rFonts w:ascii="Calibri" w:eastAsia="Calibri" w:hAnsi="Calibri" w:cs="Times New Roman"/>
              </w:rPr>
            </w:pPr>
          </w:p>
        </w:tc>
        <w:tc>
          <w:tcPr>
            <w:tcW w:w="1809" w:type="dxa"/>
            <w:shd w:val="clear" w:color="auto" w:fill="33CCCC"/>
          </w:tcPr>
          <w:p w:rsidR="00EE0C8C" w:rsidRPr="00EE0C8C" w:rsidRDefault="00EE0C8C" w:rsidP="00EE0C8C">
            <w:pPr>
              <w:jc w:val="center"/>
              <w:rPr>
                <w:rFonts w:ascii="Calibri" w:eastAsia="Calibri" w:hAnsi="Calibri" w:cs="Times New Roman"/>
              </w:rPr>
            </w:pPr>
            <w:r w:rsidRPr="00EE0C8C">
              <w:rPr>
                <w:rFonts w:ascii="Calibri" w:eastAsia="Calibri" w:hAnsi="Calibri" w:cs="Times New Roman"/>
              </w:rPr>
              <w:t>Gmina Mirzec</w:t>
            </w:r>
          </w:p>
        </w:tc>
        <w:tc>
          <w:tcPr>
            <w:tcW w:w="1809" w:type="dxa"/>
            <w:shd w:val="clear" w:color="auto" w:fill="33CCCC"/>
          </w:tcPr>
          <w:p w:rsidR="00EE0C8C" w:rsidRPr="00EE0C8C" w:rsidRDefault="00EE0C8C" w:rsidP="00EE0C8C">
            <w:pPr>
              <w:jc w:val="center"/>
              <w:rPr>
                <w:rFonts w:ascii="Calibri" w:eastAsia="Calibri" w:hAnsi="Calibri" w:cs="Times New Roman"/>
              </w:rPr>
            </w:pPr>
            <w:r w:rsidRPr="00EE0C8C">
              <w:rPr>
                <w:rFonts w:ascii="Calibri" w:eastAsia="Calibri" w:hAnsi="Calibri" w:cs="Times New Roman"/>
              </w:rPr>
              <w:t>Mirzec I</w:t>
            </w:r>
          </w:p>
        </w:tc>
        <w:tc>
          <w:tcPr>
            <w:tcW w:w="1809" w:type="dxa"/>
            <w:shd w:val="clear" w:color="auto" w:fill="33CCCC"/>
          </w:tcPr>
          <w:p w:rsidR="00EE0C8C" w:rsidRPr="00EE0C8C" w:rsidRDefault="00EE0C8C" w:rsidP="00EE0C8C">
            <w:pPr>
              <w:jc w:val="center"/>
              <w:rPr>
                <w:rFonts w:ascii="Calibri" w:eastAsia="Calibri" w:hAnsi="Calibri" w:cs="Times New Roman"/>
              </w:rPr>
            </w:pPr>
            <w:r w:rsidRPr="00EE0C8C">
              <w:rPr>
                <w:rFonts w:ascii="Calibri" w:eastAsia="Calibri" w:hAnsi="Calibri" w:cs="Times New Roman"/>
              </w:rPr>
              <w:t>Mirzec II</w:t>
            </w:r>
          </w:p>
        </w:tc>
      </w:tr>
      <w:tr w:rsidR="00EE0C8C" w:rsidRPr="00EE0C8C" w:rsidTr="00A76BDB">
        <w:trPr>
          <w:jc w:val="center"/>
        </w:trPr>
        <w:tc>
          <w:tcPr>
            <w:tcW w:w="3785" w:type="dxa"/>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Zabójstwa</w:t>
            </w:r>
          </w:p>
        </w:tc>
        <w:tc>
          <w:tcPr>
            <w:tcW w:w="1809" w:type="dxa"/>
          </w:tcPr>
          <w:p w:rsidR="00EE0C8C" w:rsidRPr="00EE0C8C" w:rsidRDefault="00EE0C8C" w:rsidP="00EE0C8C">
            <w:pPr>
              <w:jc w:val="right"/>
              <w:rPr>
                <w:rFonts w:ascii="Calibri" w:eastAsia="Calibri" w:hAnsi="Calibri" w:cs="Times New Roman"/>
              </w:rPr>
            </w:pPr>
            <w:r w:rsidRPr="00EE0C8C">
              <w:rPr>
                <w:rFonts w:ascii="Calibri" w:eastAsia="Calibri" w:hAnsi="Calibri" w:cs="Times New Roman"/>
              </w:rPr>
              <w:t>0</w:t>
            </w:r>
          </w:p>
        </w:tc>
        <w:tc>
          <w:tcPr>
            <w:tcW w:w="1809" w:type="dxa"/>
          </w:tcPr>
          <w:p w:rsidR="00EE0C8C" w:rsidRPr="00EE0C8C" w:rsidRDefault="00EE0C8C" w:rsidP="00EE0C8C">
            <w:pPr>
              <w:jc w:val="right"/>
              <w:rPr>
                <w:rFonts w:ascii="Calibri" w:eastAsia="Calibri" w:hAnsi="Calibri" w:cs="Times New Roman"/>
              </w:rPr>
            </w:pPr>
            <w:r w:rsidRPr="00EE0C8C">
              <w:rPr>
                <w:rFonts w:ascii="Calibri" w:eastAsia="Calibri" w:hAnsi="Calibri" w:cs="Times New Roman"/>
              </w:rPr>
              <w:t>0</w:t>
            </w:r>
          </w:p>
        </w:tc>
        <w:tc>
          <w:tcPr>
            <w:tcW w:w="1809" w:type="dxa"/>
          </w:tcPr>
          <w:p w:rsidR="00EE0C8C" w:rsidRPr="00EE0C8C" w:rsidRDefault="00EE0C8C" w:rsidP="00EE0C8C">
            <w:pPr>
              <w:jc w:val="right"/>
              <w:rPr>
                <w:rFonts w:ascii="Calibri" w:eastAsia="Calibri" w:hAnsi="Calibri" w:cs="Times New Roman"/>
              </w:rPr>
            </w:pPr>
            <w:r w:rsidRPr="00EE0C8C">
              <w:rPr>
                <w:rFonts w:ascii="Calibri" w:eastAsia="Calibri" w:hAnsi="Calibri" w:cs="Times New Roman"/>
              </w:rPr>
              <w:t>0</w:t>
            </w:r>
          </w:p>
        </w:tc>
      </w:tr>
      <w:tr w:rsidR="00EE0C8C" w:rsidRPr="00EE0C8C" w:rsidTr="00A76BDB">
        <w:trPr>
          <w:jc w:val="center"/>
        </w:trPr>
        <w:tc>
          <w:tcPr>
            <w:tcW w:w="3785" w:type="dxa"/>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Zgwałcenia</w:t>
            </w:r>
          </w:p>
        </w:tc>
        <w:tc>
          <w:tcPr>
            <w:tcW w:w="1809" w:type="dxa"/>
          </w:tcPr>
          <w:p w:rsidR="00EE0C8C" w:rsidRPr="00EE0C8C" w:rsidRDefault="00EE0C8C" w:rsidP="00EE0C8C">
            <w:pPr>
              <w:jc w:val="right"/>
              <w:rPr>
                <w:rFonts w:ascii="Calibri" w:eastAsia="Calibri" w:hAnsi="Calibri" w:cs="Times New Roman"/>
              </w:rPr>
            </w:pPr>
            <w:r w:rsidRPr="00EE0C8C">
              <w:rPr>
                <w:rFonts w:ascii="Calibri" w:eastAsia="Calibri" w:hAnsi="Calibri" w:cs="Times New Roman"/>
              </w:rPr>
              <w:t>0</w:t>
            </w:r>
          </w:p>
        </w:tc>
        <w:tc>
          <w:tcPr>
            <w:tcW w:w="1809" w:type="dxa"/>
          </w:tcPr>
          <w:p w:rsidR="00EE0C8C" w:rsidRPr="00EE0C8C" w:rsidRDefault="00EE0C8C" w:rsidP="00EE0C8C">
            <w:pPr>
              <w:jc w:val="right"/>
              <w:rPr>
                <w:rFonts w:ascii="Calibri" w:eastAsia="Calibri" w:hAnsi="Calibri" w:cs="Times New Roman"/>
              </w:rPr>
            </w:pPr>
            <w:r w:rsidRPr="00EE0C8C">
              <w:rPr>
                <w:rFonts w:ascii="Calibri" w:eastAsia="Calibri" w:hAnsi="Calibri" w:cs="Times New Roman"/>
              </w:rPr>
              <w:t>0</w:t>
            </w:r>
          </w:p>
        </w:tc>
        <w:tc>
          <w:tcPr>
            <w:tcW w:w="1809" w:type="dxa"/>
          </w:tcPr>
          <w:p w:rsidR="00EE0C8C" w:rsidRPr="00EE0C8C" w:rsidRDefault="00EE0C8C" w:rsidP="00EE0C8C">
            <w:pPr>
              <w:jc w:val="right"/>
              <w:rPr>
                <w:rFonts w:ascii="Calibri" w:eastAsia="Calibri" w:hAnsi="Calibri" w:cs="Times New Roman"/>
              </w:rPr>
            </w:pPr>
            <w:r w:rsidRPr="00EE0C8C">
              <w:rPr>
                <w:rFonts w:ascii="Calibri" w:eastAsia="Calibri" w:hAnsi="Calibri" w:cs="Times New Roman"/>
              </w:rPr>
              <w:t>0</w:t>
            </w:r>
          </w:p>
        </w:tc>
      </w:tr>
      <w:tr w:rsidR="00EE0C8C" w:rsidRPr="00EE0C8C" w:rsidTr="00A76BDB">
        <w:trPr>
          <w:jc w:val="center"/>
        </w:trPr>
        <w:tc>
          <w:tcPr>
            <w:tcW w:w="3785" w:type="dxa"/>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Kradzież z włamaniem</w:t>
            </w:r>
          </w:p>
        </w:tc>
        <w:tc>
          <w:tcPr>
            <w:tcW w:w="1809" w:type="dxa"/>
          </w:tcPr>
          <w:p w:rsidR="00EE0C8C" w:rsidRPr="00EE0C8C" w:rsidRDefault="00EE0C8C" w:rsidP="00EE0C8C">
            <w:pPr>
              <w:jc w:val="right"/>
              <w:rPr>
                <w:rFonts w:ascii="Calibri" w:eastAsia="Calibri" w:hAnsi="Calibri" w:cs="Times New Roman"/>
              </w:rPr>
            </w:pPr>
            <w:r w:rsidRPr="00EE0C8C">
              <w:rPr>
                <w:rFonts w:ascii="Calibri" w:eastAsia="Calibri" w:hAnsi="Calibri" w:cs="Times New Roman"/>
              </w:rPr>
              <w:t>26</w:t>
            </w:r>
          </w:p>
        </w:tc>
        <w:tc>
          <w:tcPr>
            <w:tcW w:w="1809" w:type="dxa"/>
          </w:tcPr>
          <w:p w:rsidR="00EE0C8C" w:rsidRPr="00EE0C8C" w:rsidRDefault="00EE0C8C" w:rsidP="00EE0C8C">
            <w:pPr>
              <w:jc w:val="right"/>
              <w:rPr>
                <w:rFonts w:ascii="Calibri" w:eastAsia="Calibri" w:hAnsi="Calibri" w:cs="Times New Roman"/>
              </w:rPr>
            </w:pPr>
            <w:r w:rsidRPr="00EE0C8C">
              <w:rPr>
                <w:rFonts w:ascii="Calibri" w:eastAsia="Calibri" w:hAnsi="Calibri" w:cs="Times New Roman"/>
              </w:rPr>
              <w:t>4</w:t>
            </w:r>
          </w:p>
        </w:tc>
        <w:tc>
          <w:tcPr>
            <w:tcW w:w="1809" w:type="dxa"/>
          </w:tcPr>
          <w:p w:rsidR="00EE0C8C" w:rsidRPr="00EE0C8C" w:rsidRDefault="00EE0C8C" w:rsidP="00EE0C8C">
            <w:pPr>
              <w:jc w:val="right"/>
              <w:rPr>
                <w:rFonts w:ascii="Calibri" w:eastAsia="Calibri" w:hAnsi="Calibri" w:cs="Times New Roman"/>
              </w:rPr>
            </w:pPr>
            <w:r w:rsidRPr="00EE0C8C">
              <w:rPr>
                <w:rFonts w:ascii="Calibri" w:eastAsia="Calibri" w:hAnsi="Calibri" w:cs="Times New Roman"/>
              </w:rPr>
              <w:t>5</w:t>
            </w:r>
          </w:p>
        </w:tc>
      </w:tr>
      <w:tr w:rsidR="00EE0C8C" w:rsidRPr="00EE0C8C" w:rsidTr="00A76BDB">
        <w:trPr>
          <w:jc w:val="center"/>
        </w:trPr>
        <w:tc>
          <w:tcPr>
            <w:tcW w:w="3785" w:type="dxa"/>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Rozbój, wymuszenie rozbójnicze</w:t>
            </w:r>
          </w:p>
        </w:tc>
        <w:tc>
          <w:tcPr>
            <w:tcW w:w="1809" w:type="dxa"/>
          </w:tcPr>
          <w:p w:rsidR="00EE0C8C" w:rsidRPr="00EE0C8C" w:rsidRDefault="00EE0C8C" w:rsidP="00EE0C8C">
            <w:pPr>
              <w:jc w:val="right"/>
              <w:rPr>
                <w:rFonts w:ascii="Calibri" w:eastAsia="Calibri" w:hAnsi="Calibri" w:cs="Times New Roman"/>
              </w:rPr>
            </w:pPr>
            <w:r w:rsidRPr="00EE0C8C">
              <w:rPr>
                <w:rFonts w:ascii="Calibri" w:eastAsia="Calibri" w:hAnsi="Calibri" w:cs="Times New Roman"/>
              </w:rPr>
              <w:t>2</w:t>
            </w:r>
          </w:p>
        </w:tc>
        <w:tc>
          <w:tcPr>
            <w:tcW w:w="1809" w:type="dxa"/>
          </w:tcPr>
          <w:p w:rsidR="00EE0C8C" w:rsidRPr="00EE0C8C" w:rsidRDefault="00EE0C8C" w:rsidP="00EE0C8C">
            <w:pPr>
              <w:jc w:val="right"/>
              <w:rPr>
                <w:rFonts w:ascii="Calibri" w:eastAsia="Calibri" w:hAnsi="Calibri" w:cs="Times New Roman"/>
              </w:rPr>
            </w:pPr>
            <w:r w:rsidRPr="00EE0C8C">
              <w:rPr>
                <w:rFonts w:ascii="Calibri" w:eastAsia="Calibri" w:hAnsi="Calibri" w:cs="Times New Roman"/>
              </w:rPr>
              <w:t>0</w:t>
            </w:r>
          </w:p>
        </w:tc>
        <w:tc>
          <w:tcPr>
            <w:tcW w:w="1809" w:type="dxa"/>
          </w:tcPr>
          <w:p w:rsidR="00EE0C8C" w:rsidRPr="00EE0C8C" w:rsidRDefault="00EE0C8C" w:rsidP="00EE0C8C">
            <w:pPr>
              <w:jc w:val="right"/>
              <w:rPr>
                <w:rFonts w:ascii="Calibri" w:eastAsia="Calibri" w:hAnsi="Calibri" w:cs="Times New Roman"/>
              </w:rPr>
            </w:pPr>
            <w:r w:rsidRPr="00EE0C8C">
              <w:rPr>
                <w:rFonts w:ascii="Calibri" w:eastAsia="Calibri" w:hAnsi="Calibri" w:cs="Times New Roman"/>
              </w:rPr>
              <w:t>0</w:t>
            </w:r>
          </w:p>
        </w:tc>
      </w:tr>
      <w:tr w:rsidR="00EE0C8C" w:rsidRPr="00EE0C8C" w:rsidTr="00A76BDB">
        <w:trPr>
          <w:jc w:val="center"/>
        </w:trPr>
        <w:tc>
          <w:tcPr>
            <w:tcW w:w="3785" w:type="dxa"/>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Kradzież</w:t>
            </w:r>
          </w:p>
        </w:tc>
        <w:tc>
          <w:tcPr>
            <w:tcW w:w="1809" w:type="dxa"/>
          </w:tcPr>
          <w:p w:rsidR="00EE0C8C" w:rsidRPr="00EE0C8C" w:rsidRDefault="00EE0C8C" w:rsidP="00EE0C8C">
            <w:pPr>
              <w:jc w:val="right"/>
              <w:rPr>
                <w:rFonts w:ascii="Calibri" w:eastAsia="Calibri" w:hAnsi="Calibri" w:cs="Times New Roman"/>
              </w:rPr>
            </w:pPr>
            <w:r w:rsidRPr="00EE0C8C">
              <w:rPr>
                <w:rFonts w:ascii="Calibri" w:eastAsia="Calibri" w:hAnsi="Calibri" w:cs="Times New Roman"/>
              </w:rPr>
              <w:t>91</w:t>
            </w:r>
          </w:p>
        </w:tc>
        <w:tc>
          <w:tcPr>
            <w:tcW w:w="1809" w:type="dxa"/>
          </w:tcPr>
          <w:p w:rsidR="00EE0C8C" w:rsidRPr="00EE0C8C" w:rsidRDefault="00EE0C8C" w:rsidP="00EE0C8C">
            <w:pPr>
              <w:jc w:val="right"/>
              <w:rPr>
                <w:rFonts w:ascii="Calibri" w:eastAsia="Calibri" w:hAnsi="Calibri" w:cs="Times New Roman"/>
              </w:rPr>
            </w:pPr>
            <w:r w:rsidRPr="00EE0C8C">
              <w:rPr>
                <w:rFonts w:ascii="Calibri" w:eastAsia="Calibri" w:hAnsi="Calibri" w:cs="Times New Roman"/>
              </w:rPr>
              <w:t>36</w:t>
            </w:r>
          </w:p>
        </w:tc>
        <w:tc>
          <w:tcPr>
            <w:tcW w:w="1809" w:type="dxa"/>
          </w:tcPr>
          <w:p w:rsidR="00EE0C8C" w:rsidRPr="00EE0C8C" w:rsidRDefault="00EE0C8C" w:rsidP="00EE0C8C">
            <w:pPr>
              <w:jc w:val="right"/>
              <w:rPr>
                <w:rFonts w:ascii="Calibri" w:eastAsia="Calibri" w:hAnsi="Calibri" w:cs="Times New Roman"/>
              </w:rPr>
            </w:pPr>
            <w:r w:rsidRPr="00EE0C8C">
              <w:rPr>
                <w:rFonts w:ascii="Calibri" w:eastAsia="Calibri" w:hAnsi="Calibri" w:cs="Times New Roman"/>
              </w:rPr>
              <w:t>13</w:t>
            </w:r>
          </w:p>
        </w:tc>
      </w:tr>
      <w:tr w:rsidR="00EE0C8C" w:rsidRPr="00EE0C8C" w:rsidTr="00A76BDB">
        <w:trPr>
          <w:jc w:val="center"/>
        </w:trPr>
        <w:tc>
          <w:tcPr>
            <w:tcW w:w="3785" w:type="dxa"/>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Bójka, pobicie</w:t>
            </w:r>
          </w:p>
        </w:tc>
        <w:tc>
          <w:tcPr>
            <w:tcW w:w="1809" w:type="dxa"/>
          </w:tcPr>
          <w:p w:rsidR="00EE0C8C" w:rsidRPr="00EE0C8C" w:rsidRDefault="00EE0C8C" w:rsidP="00EE0C8C">
            <w:pPr>
              <w:jc w:val="right"/>
              <w:rPr>
                <w:rFonts w:ascii="Calibri" w:eastAsia="Calibri" w:hAnsi="Calibri" w:cs="Times New Roman"/>
              </w:rPr>
            </w:pPr>
            <w:r w:rsidRPr="00EE0C8C">
              <w:rPr>
                <w:rFonts w:ascii="Calibri" w:eastAsia="Calibri" w:hAnsi="Calibri" w:cs="Times New Roman"/>
              </w:rPr>
              <w:t>1</w:t>
            </w:r>
          </w:p>
        </w:tc>
        <w:tc>
          <w:tcPr>
            <w:tcW w:w="1809" w:type="dxa"/>
          </w:tcPr>
          <w:p w:rsidR="00EE0C8C" w:rsidRPr="00EE0C8C" w:rsidRDefault="00EE0C8C" w:rsidP="00EE0C8C">
            <w:pPr>
              <w:jc w:val="right"/>
              <w:rPr>
                <w:rFonts w:ascii="Calibri" w:eastAsia="Calibri" w:hAnsi="Calibri" w:cs="Times New Roman"/>
              </w:rPr>
            </w:pPr>
            <w:r w:rsidRPr="00EE0C8C">
              <w:rPr>
                <w:rFonts w:ascii="Calibri" w:eastAsia="Calibri" w:hAnsi="Calibri" w:cs="Times New Roman"/>
              </w:rPr>
              <w:t>1</w:t>
            </w:r>
          </w:p>
        </w:tc>
        <w:tc>
          <w:tcPr>
            <w:tcW w:w="1809" w:type="dxa"/>
          </w:tcPr>
          <w:p w:rsidR="00EE0C8C" w:rsidRPr="00EE0C8C" w:rsidRDefault="00EE0C8C" w:rsidP="00EE0C8C">
            <w:pPr>
              <w:jc w:val="right"/>
              <w:rPr>
                <w:rFonts w:ascii="Calibri" w:eastAsia="Calibri" w:hAnsi="Calibri" w:cs="Times New Roman"/>
              </w:rPr>
            </w:pPr>
            <w:r w:rsidRPr="00EE0C8C">
              <w:rPr>
                <w:rFonts w:ascii="Calibri" w:eastAsia="Calibri" w:hAnsi="Calibri" w:cs="Times New Roman"/>
              </w:rPr>
              <w:t>0</w:t>
            </w:r>
          </w:p>
        </w:tc>
      </w:tr>
      <w:tr w:rsidR="00EE0C8C" w:rsidRPr="00EE0C8C" w:rsidTr="00A76BDB">
        <w:trPr>
          <w:jc w:val="center"/>
        </w:trPr>
        <w:tc>
          <w:tcPr>
            <w:tcW w:w="3785" w:type="dxa"/>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Uszczerbek na zdrowiu</w:t>
            </w:r>
          </w:p>
        </w:tc>
        <w:tc>
          <w:tcPr>
            <w:tcW w:w="1809" w:type="dxa"/>
          </w:tcPr>
          <w:p w:rsidR="00EE0C8C" w:rsidRPr="00EE0C8C" w:rsidRDefault="00EE0C8C" w:rsidP="00EE0C8C">
            <w:pPr>
              <w:jc w:val="right"/>
              <w:rPr>
                <w:rFonts w:ascii="Calibri" w:eastAsia="Calibri" w:hAnsi="Calibri" w:cs="Times New Roman"/>
              </w:rPr>
            </w:pPr>
            <w:r w:rsidRPr="00EE0C8C">
              <w:rPr>
                <w:rFonts w:ascii="Calibri" w:eastAsia="Calibri" w:hAnsi="Calibri" w:cs="Times New Roman"/>
              </w:rPr>
              <w:t>5</w:t>
            </w:r>
          </w:p>
        </w:tc>
        <w:tc>
          <w:tcPr>
            <w:tcW w:w="1809" w:type="dxa"/>
          </w:tcPr>
          <w:p w:rsidR="00EE0C8C" w:rsidRPr="00EE0C8C" w:rsidRDefault="00EE0C8C" w:rsidP="00EE0C8C">
            <w:pPr>
              <w:jc w:val="right"/>
              <w:rPr>
                <w:rFonts w:ascii="Calibri" w:eastAsia="Calibri" w:hAnsi="Calibri" w:cs="Times New Roman"/>
              </w:rPr>
            </w:pPr>
            <w:r w:rsidRPr="00EE0C8C">
              <w:rPr>
                <w:rFonts w:ascii="Calibri" w:eastAsia="Calibri" w:hAnsi="Calibri" w:cs="Times New Roman"/>
              </w:rPr>
              <w:t>1</w:t>
            </w:r>
          </w:p>
        </w:tc>
        <w:tc>
          <w:tcPr>
            <w:tcW w:w="1809" w:type="dxa"/>
          </w:tcPr>
          <w:p w:rsidR="00EE0C8C" w:rsidRPr="00EE0C8C" w:rsidRDefault="00EE0C8C" w:rsidP="00EE0C8C">
            <w:pPr>
              <w:jc w:val="right"/>
              <w:rPr>
                <w:rFonts w:ascii="Calibri" w:eastAsia="Calibri" w:hAnsi="Calibri" w:cs="Times New Roman"/>
              </w:rPr>
            </w:pPr>
            <w:r w:rsidRPr="00EE0C8C">
              <w:rPr>
                <w:rFonts w:ascii="Calibri" w:eastAsia="Calibri" w:hAnsi="Calibri" w:cs="Times New Roman"/>
              </w:rPr>
              <w:t>0</w:t>
            </w:r>
          </w:p>
        </w:tc>
      </w:tr>
      <w:tr w:rsidR="00EE0C8C" w:rsidRPr="00EE0C8C" w:rsidTr="00A76BDB">
        <w:trPr>
          <w:jc w:val="center"/>
        </w:trPr>
        <w:tc>
          <w:tcPr>
            <w:tcW w:w="3785" w:type="dxa"/>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Przestępstwa gospodarcze</w:t>
            </w:r>
          </w:p>
        </w:tc>
        <w:tc>
          <w:tcPr>
            <w:tcW w:w="1809" w:type="dxa"/>
          </w:tcPr>
          <w:p w:rsidR="00EE0C8C" w:rsidRPr="00EE0C8C" w:rsidRDefault="00EE0C8C" w:rsidP="00EE0C8C">
            <w:pPr>
              <w:jc w:val="right"/>
              <w:rPr>
                <w:rFonts w:ascii="Calibri" w:eastAsia="Calibri" w:hAnsi="Calibri" w:cs="Times New Roman"/>
              </w:rPr>
            </w:pPr>
            <w:r w:rsidRPr="00EE0C8C">
              <w:rPr>
                <w:rFonts w:ascii="Calibri" w:eastAsia="Calibri" w:hAnsi="Calibri" w:cs="Times New Roman"/>
              </w:rPr>
              <w:t>16</w:t>
            </w:r>
          </w:p>
        </w:tc>
        <w:tc>
          <w:tcPr>
            <w:tcW w:w="1809" w:type="dxa"/>
          </w:tcPr>
          <w:p w:rsidR="00EE0C8C" w:rsidRPr="00EE0C8C" w:rsidRDefault="00EE0C8C" w:rsidP="00EE0C8C">
            <w:pPr>
              <w:jc w:val="right"/>
              <w:rPr>
                <w:rFonts w:ascii="Calibri" w:eastAsia="Calibri" w:hAnsi="Calibri" w:cs="Times New Roman"/>
              </w:rPr>
            </w:pPr>
            <w:r w:rsidRPr="00EE0C8C">
              <w:rPr>
                <w:rFonts w:ascii="Calibri" w:eastAsia="Calibri" w:hAnsi="Calibri" w:cs="Times New Roman"/>
              </w:rPr>
              <w:t>4</w:t>
            </w:r>
          </w:p>
        </w:tc>
        <w:tc>
          <w:tcPr>
            <w:tcW w:w="1809" w:type="dxa"/>
          </w:tcPr>
          <w:p w:rsidR="00EE0C8C" w:rsidRPr="00EE0C8C" w:rsidRDefault="00EE0C8C" w:rsidP="00EE0C8C">
            <w:pPr>
              <w:jc w:val="right"/>
              <w:rPr>
                <w:rFonts w:ascii="Calibri" w:eastAsia="Calibri" w:hAnsi="Calibri" w:cs="Times New Roman"/>
              </w:rPr>
            </w:pPr>
            <w:r w:rsidRPr="00EE0C8C">
              <w:rPr>
                <w:rFonts w:ascii="Calibri" w:eastAsia="Calibri" w:hAnsi="Calibri" w:cs="Times New Roman"/>
              </w:rPr>
              <w:t>1</w:t>
            </w:r>
          </w:p>
        </w:tc>
      </w:tr>
      <w:tr w:rsidR="00EE0C8C" w:rsidRPr="00EE0C8C" w:rsidTr="00A76BDB">
        <w:trPr>
          <w:jc w:val="center"/>
        </w:trPr>
        <w:tc>
          <w:tcPr>
            <w:tcW w:w="3785" w:type="dxa"/>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Przestępstwa drogowe – wypadki drogowe</w:t>
            </w:r>
          </w:p>
        </w:tc>
        <w:tc>
          <w:tcPr>
            <w:tcW w:w="1809" w:type="dxa"/>
          </w:tcPr>
          <w:p w:rsidR="00EE0C8C" w:rsidRPr="00EE0C8C" w:rsidRDefault="00EE0C8C" w:rsidP="00EE0C8C">
            <w:pPr>
              <w:jc w:val="right"/>
              <w:rPr>
                <w:rFonts w:ascii="Calibri" w:eastAsia="Calibri" w:hAnsi="Calibri" w:cs="Times New Roman"/>
              </w:rPr>
            </w:pPr>
            <w:r w:rsidRPr="00EE0C8C">
              <w:rPr>
                <w:rFonts w:ascii="Calibri" w:eastAsia="Calibri" w:hAnsi="Calibri" w:cs="Times New Roman"/>
              </w:rPr>
              <w:t>22</w:t>
            </w:r>
          </w:p>
        </w:tc>
        <w:tc>
          <w:tcPr>
            <w:tcW w:w="1809" w:type="dxa"/>
          </w:tcPr>
          <w:p w:rsidR="00EE0C8C" w:rsidRPr="00EE0C8C" w:rsidRDefault="00EE0C8C" w:rsidP="00EE0C8C">
            <w:pPr>
              <w:jc w:val="right"/>
              <w:rPr>
                <w:rFonts w:ascii="Calibri" w:eastAsia="Calibri" w:hAnsi="Calibri" w:cs="Times New Roman"/>
              </w:rPr>
            </w:pPr>
            <w:r w:rsidRPr="00EE0C8C">
              <w:rPr>
                <w:rFonts w:ascii="Calibri" w:eastAsia="Calibri" w:hAnsi="Calibri" w:cs="Times New Roman"/>
              </w:rPr>
              <w:t>5</w:t>
            </w:r>
          </w:p>
        </w:tc>
        <w:tc>
          <w:tcPr>
            <w:tcW w:w="1809" w:type="dxa"/>
          </w:tcPr>
          <w:p w:rsidR="00EE0C8C" w:rsidRPr="00EE0C8C" w:rsidRDefault="00EE0C8C" w:rsidP="00EE0C8C">
            <w:pPr>
              <w:jc w:val="right"/>
              <w:rPr>
                <w:rFonts w:ascii="Calibri" w:eastAsia="Calibri" w:hAnsi="Calibri" w:cs="Times New Roman"/>
              </w:rPr>
            </w:pPr>
            <w:r w:rsidRPr="00EE0C8C">
              <w:rPr>
                <w:rFonts w:ascii="Calibri" w:eastAsia="Calibri" w:hAnsi="Calibri" w:cs="Times New Roman"/>
              </w:rPr>
              <w:t>1</w:t>
            </w:r>
          </w:p>
        </w:tc>
      </w:tr>
      <w:tr w:rsidR="00EE0C8C" w:rsidRPr="00EE0C8C" w:rsidTr="00A76BDB">
        <w:trPr>
          <w:jc w:val="center"/>
        </w:trPr>
        <w:tc>
          <w:tcPr>
            <w:tcW w:w="3785" w:type="dxa"/>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Zniszczenie mienia</w:t>
            </w:r>
          </w:p>
        </w:tc>
        <w:tc>
          <w:tcPr>
            <w:tcW w:w="1809" w:type="dxa"/>
          </w:tcPr>
          <w:p w:rsidR="00EE0C8C" w:rsidRPr="00EE0C8C" w:rsidRDefault="00EE0C8C" w:rsidP="00EE0C8C">
            <w:pPr>
              <w:jc w:val="right"/>
              <w:rPr>
                <w:rFonts w:ascii="Calibri" w:eastAsia="Calibri" w:hAnsi="Calibri" w:cs="Times New Roman"/>
              </w:rPr>
            </w:pPr>
            <w:r w:rsidRPr="00EE0C8C">
              <w:rPr>
                <w:rFonts w:ascii="Calibri" w:eastAsia="Calibri" w:hAnsi="Calibri" w:cs="Times New Roman"/>
              </w:rPr>
              <w:t>26</w:t>
            </w:r>
          </w:p>
        </w:tc>
        <w:tc>
          <w:tcPr>
            <w:tcW w:w="1809" w:type="dxa"/>
          </w:tcPr>
          <w:p w:rsidR="00EE0C8C" w:rsidRPr="00EE0C8C" w:rsidRDefault="00EE0C8C" w:rsidP="00EE0C8C">
            <w:pPr>
              <w:jc w:val="right"/>
              <w:rPr>
                <w:rFonts w:ascii="Calibri" w:eastAsia="Calibri" w:hAnsi="Calibri" w:cs="Times New Roman"/>
              </w:rPr>
            </w:pPr>
            <w:r w:rsidRPr="00EE0C8C">
              <w:rPr>
                <w:rFonts w:ascii="Calibri" w:eastAsia="Calibri" w:hAnsi="Calibri" w:cs="Times New Roman"/>
              </w:rPr>
              <w:t>5</w:t>
            </w:r>
          </w:p>
        </w:tc>
        <w:tc>
          <w:tcPr>
            <w:tcW w:w="1809" w:type="dxa"/>
          </w:tcPr>
          <w:p w:rsidR="00EE0C8C" w:rsidRPr="00EE0C8C" w:rsidRDefault="00EE0C8C" w:rsidP="00EE0C8C">
            <w:pPr>
              <w:jc w:val="right"/>
              <w:rPr>
                <w:rFonts w:ascii="Calibri" w:eastAsia="Calibri" w:hAnsi="Calibri" w:cs="Times New Roman"/>
              </w:rPr>
            </w:pPr>
            <w:r w:rsidRPr="00EE0C8C">
              <w:rPr>
                <w:rFonts w:ascii="Calibri" w:eastAsia="Calibri" w:hAnsi="Calibri" w:cs="Times New Roman"/>
              </w:rPr>
              <w:t>4</w:t>
            </w:r>
          </w:p>
        </w:tc>
      </w:tr>
      <w:tr w:rsidR="00EE0C8C" w:rsidRPr="00EE0C8C" w:rsidTr="00A76BDB">
        <w:trPr>
          <w:jc w:val="center"/>
        </w:trPr>
        <w:tc>
          <w:tcPr>
            <w:tcW w:w="3785" w:type="dxa"/>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Kolizje drogowe</w:t>
            </w:r>
          </w:p>
        </w:tc>
        <w:tc>
          <w:tcPr>
            <w:tcW w:w="1809" w:type="dxa"/>
          </w:tcPr>
          <w:p w:rsidR="00EE0C8C" w:rsidRPr="00EE0C8C" w:rsidRDefault="00EE0C8C" w:rsidP="00EE0C8C">
            <w:pPr>
              <w:jc w:val="right"/>
              <w:rPr>
                <w:rFonts w:ascii="Calibri" w:eastAsia="Calibri" w:hAnsi="Calibri" w:cs="Times New Roman"/>
              </w:rPr>
            </w:pPr>
            <w:r w:rsidRPr="00EE0C8C">
              <w:rPr>
                <w:rFonts w:ascii="Calibri" w:eastAsia="Calibri" w:hAnsi="Calibri" w:cs="Times New Roman"/>
              </w:rPr>
              <w:t>158</w:t>
            </w:r>
          </w:p>
        </w:tc>
        <w:tc>
          <w:tcPr>
            <w:tcW w:w="1809" w:type="dxa"/>
          </w:tcPr>
          <w:p w:rsidR="00EE0C8C" w:rsidRPr="00EE0C8C" w:rsidRDefault="00EE0C8C" w:rsidP="00EE0C8C">
            <w:pPr>
              <w:jc w:val="right"/>
              <w:rPr>
                <w:rFonts w:ascii="Calibri" w:eastAsia="Calibri" w:hAnsi="Calibri" w:cs="Times New Roman"/>
              </w:rPr>
            </w:pPr>
            <w:r w:rsidRPr="00EE0C8C">
              <w:rPr>
                <w:rFonts w:ascii="Calibri" w:eastAsia="Calibri" w:hAnsi="Calibri" w:cs="Times New Roman"/>
              </w:rPr>
              <w:t>23</w:t>
            </w:r>
          </w:p>
        </w:tc>
        <w:tc>
          <w:tcPr>
            <w:tcW w:w="1809" w:type="dxa"/>
          </w:tcPr>
          <w:p w:rsidR="00EE0C8C" w:rsidRPr="00EE0C8C" w:rsidRDefault="00EE0C8C" w:rsidP="00EE0C8C">
            <w:pPr>
              <w:jc w:val="right"/>
              <w:rPr>
                <w:rFonts w:ascii="Calibri" w:eastAsia="Calibri" w:hAnsi="Calibri" w:cs="Times New Roman"/>
              </w:rPr>
            </w:pPr>
            <w:r w:rsidRPr="00EE0C8C">
              <w:rPr>
                <w:rFonts w:ascii="Calibri" w:eastAsia="Calibri" w:hAnsi="Calibri" w:cs="Times New Roman"/>
              </w:rPr>
              <w:t>25</w:t>
            </w:r>
          </w:p>
        </w:tc>
      </w:tr>
      <w:tr w:rsidR="00EE0C8C" w:rsidRPr="00EE0C8C" w:rsidTr="00A76BDB">
        <w:trPr>
          <w:jc w:val="center"/>
        </w:trPr>
        <w:tc>
          <w:tcPr>
            <w:tcW w:w="3785" w:type="dxa"/>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Wykroczenia o charakterze drogowym</w:t>
            </w:r>
          </w:p>
        </w:tc>
        <w:tc>
          <w:tcPr>
            <w:tcW w:w="1809" w:type="dxa"/>
          </w:tcPr>
          <w:p w:rsidR="00EE0C8C" w:rsidRPr="00EE0C8C" w:rsidRDefault="00EE0C8C" w:rsidP="00EE0C8C">
            <w:pPr>
              <w:jc w:val="right"/>
              <w:rPr>
                <w:rFonts w:ascii="Calibri" w:eastAsia="Calibri" w:hAnsi="Calibri" w:cs="Times New Roman"/>
              </w:rPr>
            </w:pPr>
            <w:r w:rsidRPr="00EE0C8C">
              <w:rPr>
                <w:rFonts w:ascii="Calibri" w:eastAsia="Calibri" w:hAnsi="Calibri" w:cs="Times New Roman"/>
              </w:rPr>
              <w:t>145</w:t>
            </w:r>
          </w:p>
        </w:tc>
        <w:tc>
          <w:tcPr>
            <w:tcW w:w="1809" w:type="dxa"/>
          </w:tcPr>
          <w:p w:rsidR="00EE0C8C" w:rsidRPr="00EE0C8C" w:rsidRDefault="00EE0C8C" w:rsidP="00EE0C8C">
            <w:pPr>
              <w:jc w:val="right"/>
              <w:rPr>
                <w:rFonts w:ascii="Calibri" w:eastAsia="Calibri" w:hAnsi="Calibri" w:cs="Times New Roman"/>
              </w:rPr>
            </w:pPr>
            <w:r w:rsidRPr="00EE0C8C">
              <w:rPr>
                <w:rFonts w:ascii="Calibri" w:eastAsia="Calibri" w:hAnsi="Calibri" w:cs="Times New Roman"/>
              </w:rPr>
              <w:t>25</w:t>
            </w:r>
          </w:p>
        </w:tc>
        <w:tc>
          <w:tcPr>
            <w:tcW w:w="1809" w:type="dxa"/>
          </w:tcPr>
          <w:p w:rsidR="00EE0C8C" w:rsidRPr="00EE0C8C" w:rsidRDefault="00EE0C8C" w:rsidP="00EE0C8C">
            <w:pPr>
              <w:jc w:val="right"/>
              <w:rPr>
                <w:rFonts w:ascii="Calibri" w:eastAsia="Calibri" w:hAnsi="Calibri" w:cs="Times New Roman"/>
              </w:rPr>
            </w:pPr>
            <w:r w:rsidRPr="00EE0C8C">
              <w:rPr>
                <w:rFonts w:ascii="Calibri" w:eastAsia="Calibri" w:hAnsi="Calibri" w:cs="Times New Roman"/>
              </w:rPr>
              <w:t>18</w:t>
            </w:r>
          </w:p>
        </w:tc>
      </w:tr>
    </w:tbl>
    <w:p w:rsidR="00EE0C8C" w:rsidRPr="00EE0C8C" w:rsidRDefault="00EE0C8C" w:rsidP="00EE0C8C">
      <w:pPr>
        <w:jc w:val="center"/>
        <w:rPr>
          <w:rFonts w:ascii="Calibri" w:eastAsia="Times New Roman" w:hAnsi="Calibri" w:cs="Times New Roman"/>
          <w:lang w:eastAsia="pl-PL"/>
        </w:rPr>
      </w:pPr>
      <w:r w:rsidRPr="00EE0C8C">
        <w:rPr>
          <w:rFonts w:ascii="Calibri" w:eastAsia="Times New Roman" w:hAnsi="Calibri" w:cs="Times New Roman"/>
          <w:lang w:eastAsia="pl-PL"/>
        </w:rPr>
        <w:t>(Źródło: Wydział Prewencji KPP w Starachowicach)</w:t>
      </w:r>
    </w:p>
    <w:p w:rsidR="00EE0C8C" w:rsidRPr="00EE0C8C" w:rsidRDefault="00EE0C8C" w:rsidP="00DC61B1">
      <w:pPr>
        <w:numPr>
          <w:ilvl w:val="0"/>
          <w:numId w:val="30"/>
        </w:numPr>
        <w:ind w:left="709" w:hanging="283"/>
        <w:contextualSpacing/>
        <w:jc w:val="both"/>
        <w:rPr>
          <w:rFonts w:ascii="Calibri" w:eastAsia="Calibri" w:hAnsi="Calibri" w:cs="Times New Roman"/>
        </w:rPr>
      </w:pPr>
      <w:r w:rsidRPr="00EE0C8C">
        <w:rPr>
          <w:rFonts w:ascii="Calibri" w:eastAsia="Calibri" w:hAnsi="Calibri" w:cs="Times New Roman"/>
        </w:rPr>
        <w:t>Straż Pożarna.</w:t>
      </w:r>
    </w:p>
    <w:tbl>
      <w:tblPr>
        <w:tblStyle w:val="Tabela-Siatka4"/>
        <w:tblW w:w="0" w:type="auto"/>
        <w:jc w:val="center"/>
        <w:tblLook w:val="04A0" w:firstRow="1" w:lastRow="0" w:firstColumn="1" w:lastColumn="0" w:noHBand="0" w:noVBand="1"/>
      </w:tblPr>
      <w:tblGrid>
        <w:gridCol w:w="4606"/>
        <w:gridCol w:w="4606"/>
      </w:tblGrid>
      <w:tr w:rsidR="00EE0C8C" w:rsidRPr="00EE0C8C" w:rsidTr="00A76BDB">
        <w:trPr>
          <w:jc w:val="center"/>
        </w:trPr>
        <w:tc>
          <w:tcPr>
            <w:tcW w:w="9212" w:type="dxa"/>
            <w:gridSpan w:val="2"/>
            <w:shd w:val="clear" w:color="auto" w:fill="008080"/>
          </w:tcPr>
          <w:p w:rsidR="00EE0C8C" w:rsidRPr="00EE0C8C" w:rsidRDefault="00EE0C8C" w:rsidP="00EE0C8C">
            <w:pPr>
              <w:jc w:val="center"/>
              <w:rPr>
                <w:rFonts w:ascii="Calibri" w:eastAsia="Calibri" w:hAnsi="Calibri" w:cs="Times New Roman"/>
                <w:b/>
              </w:rPr>
            </w:pPr>
            <w:r w:rsidRPr="00EE0C8C">
              <w:rPr>
                <w:rFonts w:ascii="Calibri" w:eastAsia="Calibri" w:hAnsi="Calibri" w:cs="Times New Roman"/>
                <w:b/>
                <w:color w:val="FFFFFF"/>
              </w:rPr>
              <w:t>Wykaz pożarów i miejscowych zagrożeń zaistniałych w latach 2012-2014 w miejscowości Mirzec</w:t>
            </w:r>
          </w:p>
        </w:tc>
      </w:tr>
      <w:tr w:rsidR="00EE0C8C" w:rsidRPr="00EE0C8C" w:rsidTr="00A76BDB">
        <w:trPr>
          <w:jc w:val="center"/>
        </w:trPr>
        <w:tc>
          <w:tcPr>
            <w:tcW w:w="4606" w:type="dxa"/>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Pożary traw</w:t>
            </w:r>
          </w:p>
        </w:tc>
        <w:tc>
          <w:tcPr>
            <w:tcW w:w="4606" w:type="dxa"/>
          </w:tcPr>
          <w:p w:rsidR="00EE0C8C" w:rsidRPr="00EE0C8C" w:rsidRDefault="00EE0C8C" w:rsidP="00EE0C8C">
            <w:pPr>
              <w:jc w:val="right"/>
              <w:rPr>
                <w:rFonts w:ascii="Calibri" w:eastAsia="Calibri" w:hAnsi="Calibri" w:cs="Times New Roman"/>
              </w:rPr>
            </w:pPr>
            <w:r w:rsidRPr="00EE0C8C">
              <w:rPr>
                <w:rFonts w:ascii="Calibri" w:eastAsia="Calibri" w:hAnsi="Calibri" w:cs="Times New Roman"/>
              </w:rPr>
              <w:t>25</w:t>
            </w:r>
          </w:p>
        </w:tc>
      </w:tr>
      <w:tr w:rsidR="00EE0C8C" w:rsidRPr="00EE0C8C" w:rsidTr="00A76BDB">
        <w:trPr>
          <w:jc w:val="center"/>
        </w:trPr>
        <w:tc>
          <w:tcPr>
            <w:tcW w:w="4606" w:type="dxa"/>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Pożary w budynkach</w:t>
            </w:r>
          </w:p>
        </w:tc>
        <w:tc>
          <w:tcPr>
            <w:tcW w:w="4606" w:type="dxa"/>
          </w:tcPr>
          <w:p w:rsidR="00EE0C8C" w:rsidRPr="00EE0C8C" w:rsidRDefault="00EE0C8C" w:rsidP="00EE0C8C">
            <w:pPr>
              <w:jc w:val="right"/>
              <w:rPr>
                <w:rFonts w:ascii="Calibri" w:eastAsia="Calibri" w:hAnsi="Calibri" w:cs="Times New Roman"/>
              </w:rPr>
            </w:pPr>
            <w:r w:rsidRPr="00EE0C8C">
              <w:rPr>
                <w:rFonts w:ascii="Calibri" w:eastAsia="Calibri" w:hAnsi="Calibri" w:cs="Times New Roman"/>
              </w:rPr>
              <w:t>6</w:t>
            </w:r>
          </w:p>
        </w:tc>
      </w:tr>
      <w:tr w:rsidR="00EE0C8C" w:rsidRPr="00EE0C8C" w:rsidTr="00A76BDB">
        <w:trPr>
          <w:jc w:val="center"/>
        </w:trPr>
        <w:tc>
          <w:tcPr>
            <w:tcW w:w="4606" w:type="dxa"/>
          </w:tcPr>
          <w:p w:rsidR="00EE0C8C" w:rsidRPr="00EE0C8C" w:rsidRDefault="00EE0C8C" w:rsidP="00EE0C8C">
            <w:pPr>
              <w:jc w:val="both"/>
              <w:rPr>
                <w:rFonts w:ascii="Calibri" w:eastAsia="Calibri" w:hAnsi="Calibri" w:cs="Times New Roman"/>
              </w:rPr>
            </w:pPr>
            <w:r w:rsidRPr="00EE0C8C">
              <w:rPr>
                <w:rFonts w:ascii="Calibri" w:eastAsia="Calibri" w:hAnsi="Calibri" w:cs="Times New Roman"/>
              </w:rPr>
              <w:t>Miejscowe zagrożenia</w:t>
            </w:r>
          </w:p>
        </w:tc>
        <w:tc>
          <w:tcPr>
            <w:tcW w:w="4606" w:type="dxa"/>
          </w:tcPr>
          <w:p w:rsidR="00EE0C8C" w:rsidRPr="00EE0C8C" w:rsidRDefault="00EE0C8C" w:rsidP="00EE0C8C">
            <w:pPr>
              <w:jc w:val="right"/>
              <w:rPr>
                <w:rFonts w:ascii="Calibri" w:eastAsia="Calibri" w:hAnsi="Calibri" w:cs="Times New Roman"/>
              </w:rPr>
            </w:pPr>
            <w:r w:rsidRPr="00EE0C8C">
              <w:rPr>
                <w:rFonts w:ascii="Calibri" w:eastAsia="Calibri" w:hAnsi="Calibri" w:cs="Times New Roman"/>
              </w:rPr>
              <w:t>31</w:t>
            </w:r>
          </w:p>
        </w:tc>
      </w:tr>
    </w:tbl>
    <w:p w:rsidR="00EE0C8C" w:rsidRPr="00EE0C8C" w:rsidRDefault="00EE0C8C" w:rsidP="00EE0C8C">
      <w:pPr>
        <w:jc w:val="center"/>
        <w:rPr>
          <w:rFonts w:ascii="Calibri" w:eastAsia="Times New Roman" w:hAnsi="Calibri" w:cs="Times New Roman"/>
          <w:lang w:eastAsia="pl-PL"/>
        </w:rPr>
      </w:pPr>
      <w:r w:rsidRPr="00EE0C8C">
        <w:rPr>
          <w:rFonts w:ascii="Calibri" w:eastAsia="Times New Roman" w:hAnsi="Calibri" w:cs="Times New Roman"/>
          <w:lang w:eastAsia="pl-PL"/>
        </w:rPr>
        <w:t>(Źródło: Komenda Powiatowa Państwowej Straży Pożarnej w Starachowicach)</w:t>
      </w:r>
    </w:p>
    <w:p w:rsidR="00EE0C8C" w:rsidRPr="00EE0C8C" w:rsidRDefault="00EE0C8C" w:rsidP="00EE0C8C">
      <w:pPr>
        <w:spacing w:after="0"/>
        <w:rPr>
          <w:rFonts w:ascii="Calibri" w:eastAsia="Times New Roman" w:hAnsi="Calibri" w:cs="Times New Roman"/>
          <w:lang w:eastAsia="pl-PL"/>
        </w:rPr>
      </w:pPr>
    </w:p>
    <w:p w:rsidR="00EE0C8C" w:rsidRPr="00EE0C8C" w:rsidRDefault="00EE0C8C" w:rsidP="00EE0C8C">
      <w:pPr>
        <w:spacing w:after="0"/>
        <w:jc w:val="both"/>
        <w:rPr>
          <w:rFonts w:ascii="Calibri" w:eastAsia="Times New Roman" w:hAnsi="Calibri" w:cs="Times New Roman"/>
          <w:lang w:eastAsia="pl-PL"/>
        </w:rPr>
      </w:pPr>
      <w:r w:rsidRPr="00EE0C8C">
        <w:rPr>
          <w:rFonts w:ascii="Calibri" w:eastAsia="Times New Roman" w:hAnsi="Calibri" w:cs="Times New Roman"/>
          <w:lang w:eastAsia="pl-PL"/>
        </w:rPr>
        <w:t xml:space="preserve">W gminie Mirzec obszarem o najistotniejszym znaczeniu dla rozwoju lokalnego posiadającego poza koncentracją usług publicznych – także  obiekty i budowle pełniące funkcje użyteczności publicznej – jest centrum gminy Mirzec obejmujące w w szerszym kontekście sołectwa Mirzec I oraz  Mirzec II. </w:t>
      </w:r>
      <w:r w:rsidRPr="00EE0C8C">
        <w:rPr>
          <w:rFonts w:ascii="Calibri" w:eastAsia="Times New Roman" w:hAnsi="Calibri" w:cs="Times New Roman"/>
          <w:lang w:eastAsia="pl-PL"/>
        </w:rPr>
        <w:br/>
        <w:t xml:space="preserve">W okresie ostatnich dwudziestu  kilku  lat  w centrum Mirca skoncentrowane są  główne usługi publiczne </w:t>
      </w:r>
      <w:r w:rsidRPr="00EE0C8C">
        <w:rPr>
          <w:rFonts w:ascii="Calibri" w:eastAsia="Times New Roman" w:hAnsi="Calibri" w:cs="Times New Roman"/>
          <w:lang w:eastAsia="pl-PL"/>
        </w:rPr>
        <w:br/>
        <w:t xml:space="preserve">i  obiekty oraz  budowle pełniące funkcje użyteczności publicznej. Stolica gminy jest  także głównym  ośrodkiem transportowym i  gospodarczym gminy.  Przez  centrum Mirca przebiega strategiczna pod względem lokomocji droga wojewódzka nr 744., zaś w samym centrum Mirca ( obok zatoki autobusowej) swój początek mają dwie drogi powiatowe Mirzec – Wąchock oraz  Mirzec- Skarżysko- Kamienna. </w:t>
      </w:r>
    </w:p>
    <w:p w:rsidR="00EE0C8C" w:rsidRPr="00EE0C8C" w:rsidRDefault="00EE0C8C" w:rsidP="00EE0C8C">
      <w:pPr>
        <w:spacing w:after="0"/>
        <w:jc w:val="both"/>
        <w:rPr>
          <w:rFonts w:ascii="Calibri" w:eastAsia="Times New Roman" w:hAnsi="Calibri" w:cs="Times New Roman"/>
          <w:lang w:eastAsia="pl-PL"/>
        </w:rPr>
      </w:pPr>
    </w:p>
    <w:p w:rsidR="00EE0C8C" w:rsidRPr="00EE0C8C" w:rsidRDefault="00EE0C8C" w:rsidP="00EE0C8C">
      <w:pPr>
        <w:spacing w:after="0"/>
        <w:jc w:val="both"/>
        <w:rPr>
          <w:rFonts w:ascii="Calibri" w:eastAsia="Times New Roman" w:hAnsi="Calibri" w:cs="Times New Roman"/>
          <w:lang w:eastAsia="pl-PL"/>
        </w:rPr>
      </w:pPr>
      <w:r w:rsidRPr="00EE0C8C">
        <w:rPr>
          <w:rFonts w:ascii="Calibri" w:eastAsia="Times New Roman" w:hAnsi="Calibri" w:cs="Times New Roman"/>
          <w:lang w:eastAsia="pl-PL"/>
        </w:rPr>
        <w:t>Do obiektów i budowli pełniących funkcje użyteczności publicznej  w centrum Mirca( poza obiektami gminnymi) zalicza się :</w:t>
      </w:r>
    </w:p>
    <w:p w:rsidR="00EE0C8C" w:rsidRPr="00EE0C8C" w:rsidRDefault="00EE0C8C" w:rsidP="00EE0C8C">
      <w:pPr>
        <w:spacing w:after="0"/>
        <w:ind w:left="708"/>
        <w:jc w:val="both"/>
        <w:rPr>
          <w:rFonts w:ascii="Calibri" w:eastAsia="Times New Roman" w:hAnsi="Calibri" w:cs="Times New Roman"/>
          <w:lang w:eastAsia="pl-PL"/>
        </w:rPr>
      </w:pPr>
      <w:r w:rsidRPr="00EE0C8C">
        <w:rPr>
          <w:rFonts w:ascii="Calibri" w:eastAsia="Times New Roman" w:hAnsi="Calibri" w:cs="Times New Roman"/>
          <w:lang w:eastAsia="pl-PL"/>
        </w:rPr>
        <w:t>-Poczta Polska S.A. – Urząd Pocztowy ,</w:t>
      </w:r>
    </w:p>
    <w:p w:rsidR="00EE0C8C" w:rsidRPr="00EE0C8C" w:rsidRDefault="00EE0C8C" w:rsidP="00EE0C8C">
      <w:pPr>
        <w:spacing w:after="0"/>
        <w:ind w:left="708"/>
        <w:jc w:val="both"/>
        <w:rPr>
          <w:rFonts w:ascii="Calibri" w:eastAsia="Times New Roman" w:hAnsi="Calibri" w:cs="Times New Roman"/>
          <w:lang w:eastAsia="pl-PL"/>
        </w:rPr>
      </w:pPr>
      <w:r w:rsidRPr="00EE0C8C">
        <w:rPr>
          <w:rFonts w:ascii="Calibri" w:eastAsia="Times New Roman" w:hAnsi="Calibri" w:cs="Times New Roman"/>
          <w:lang w:eastAsia="pl-PL"/>
        </w:rPr>
        <w:t>-Bank Spółdzielczy w Wąchocku oddział w Mircu,</w:t>
      </w:r>
    </w:p>
    <w:p w:rsidR="00EE0C8C" w:rsidRPr="00EE0C8C" w:rsidRDefault="00EE0C8C" w:rsidP="00EE0C8C">
      <w:pPr>
        <w:spacing w:after="0"/>
        <w:ind w:left="708"/>
        <w:jc w:val="both"/>
        <w:rPr>
          <w:rFonts w:ascii="Calibri" w:eastAsia="Times New Roman" w:hAnsi="Calibri" w:cs="Times New Roman"/>
          <w:lang w:eastAsia="pl-PL"/>
        </w:rPr>
      </w:pPr>
      <w:r w:rsidRPr="00EE0C8C">
        <w:rPr>
          <w:rFonts w:ascii="Calibri" w:eastAsia="Times New Roman" w:hAnsi="Calibri" w:cs="Times New Roman"/>
          <w:lang w:eastAsia="pl-PL"/>
        </w:rPr>
        <w:t xml:space="preserve">-Kościół Rzymskokatolicki pw. św. Leonarda w Mircu, </w:t>
      </w:r>
    </w:p>
    <w:p w:rsidR="00EE0C8C" w:rsidRPr="00EE0C8C" w:rsidRDefault="00EE0C8C" w:rsidP="00EE0C8C">
      <w:pPr>
        <w:spacing w:after="0"/>
        <w:ind w:left="708"/>
        <w:jc w:val="both"/>
        <w:rPr>
          <w:rFonts w:ascii="Calibri" w:eastAsia="Times New Roman" w:hAnsi="Calibri" w:cs="Times New Roman"/>
          <w:lang w:eastAsia="pl-PL"/>
        </w:rPr>
      </w:pPr>
      <w:r w:rsidRPr="00EE0C8C">
        <w:rPr>
          <w:rFonts w:ascii="Calibri" w:eastAsia="Times New Roman" w:hAnsi="Calibri" w:cs="Times New Roman"/>
          <w:lang w:eastAsia="pl-PL"/>
        </w:rPr>
        <w:t>-Rodzinny Dom Opieki Seniora „HELENA” ,</w:t>
      </w:r>
    </w:p>
    <w:p w:rsidR="00EE0C8C" w:rsidRPr="00EE0C8C" w:rsidRDefault="00EE0C8C" w:rsidP="00EE0C8C">
      <w:pPr>
        <w:spacing w:after="0"/>
        <w:ind w:left="708"/>
        <w:jc w:val="both"/>
        <w:rPr>
          <w:rFonts w:ascii="Calibri" w:eastAsia="Times New Roman" w:hAnsi="Calibri" w:cs="Times New Roman"/>
          <w:lang w:eastAsia="pl-PL"/>
        </w:rPr>
      </w:pPr>
      <w:r w:rsidRPr="00EE0C8C">
        <w:rPr>
          <w:rFonts w:ascii="Calibri" w:eastAsia="Times New Roman" w:hAnsi="Calibri" w:cs="Times New Roman"/>
          <w:lang w:eastAsia="pl-PL"/>
        </w:rPr>
        <w:t>- Spółdzielnia Kółek Rolniczych w Mircu ,</w:t>
      </w:r>
    </w:p>
    <w:p w:rsidR="00EE0C8C" w:rsidRPr="00EE0C8C" w:rsidRDefault="00EE0C8C" w:rsidP="00EE0C8C">
      <w:pPr>
        <w:spacing w:after="0"/>
        <w:ind w:left="708"/>
        <w:jc w:val="both"/>
        <w:rPr>
          <w:rFonts w:ascii="Calibri" w:eastAsia="Times New Roman" w:hAnsi="Calibri" w:cs="Times New Roman"/>
          <w:lang w:eastAsia="pl-PL"/>
        </w:rPr>
      </w:pPr>
    </w:p>
    <w:p w:rsidR="00EE0C8C" w:rsidRPr="00EE0C8C" w:rsidRDefault="00EE0C8C" w:rsidP="00EE0C8C">
      <w:pPr>
        <w:spacing w:after="0"/>
        <w:ind w:left="142"/>
        <w:rPr>
          <w:rFonts w:ascii="Calibri" w:eastAsia="Times New Roman" w:hAnsi="Calibri" w:cs="Times New Roman"/>
          <w:lang w:eastAsia="pl-PL"/>
        </w:rPr>
      </w:pPr>
      <w:r w:rsidRPr="00EE0C8C">
        <w:rPr>
          <w:rFonts w:ascii="Calibri" w:eastAsia="Times New Roman" w:hAnsi="Calibri" w:cs="Times New Roman"/>
          <w:lang w:eastAsia="pl-PL"/>
        </w:rPr>
        <w:t>oraz obiekty użyteczności publicznej ,  w których świadczone są usługi publiczne :</w:t>
      </w:r>
    </w:p>
    <w:p w:rsidR="00EE0C8C" w:rsidRPr="00EE0C8C" w:rsidRDefault="00EE0C8C" w:rsidP="00EE0C8C">
      <w:pPr>
        <w:spacing w:after="0"/>
        <w:ind w:left="708"/>
        <w:jc w:val="both"/>
        <w:rPr>
          <w:rFonts w:ascii="Calibri" w:eastAsia="Times New Roman" w:hAnsi="Calibri" w:cs="Times New Roman"/>
          <w:lang w:eastAsia="pl-PL"/>
        </w:rPr>
      </w:pPr>
    </w:p>
    <w:p w:rsidR="00EE0C8C" w:rsidRPr="00EE0C8C" w:rsidRDefault="00EE0C8C" w:rsidP="00EE0C8C">
      <w:pPr>
        <w:spacing w:after="0"/>
        <w:ind w:left="708"/>
        <w:jc w:val="both"/>
        <w:rPr>
          <w:rFonts w:ascii="Calibri" w:eastAsia="Times New Roman" w:hAnsi="Calibri" w:cs="Times New Roman"/>
          <w:lang w:eastAsia="pl-PL"/>
        </w:rPr>
      </w:pPr>
      <w:r w:rsidRPr="00EE0C8C">
        <w:rPr>
          <w:rFonts w:ascii="Calibri" w:eastAsia="Times New Roman" w:hAnsi="Calibri" w:cs="Times New Roman"/>
          <w:lang w:eastAsia="pl-PL"/>
        </w:rPr>
        <w:t xml:space="preserve">- Urząd Gminy w Mircu ( siedziba władz samorządowych gminy Mirzec), </w:t>
      </w:r>
    </w:p>
    <w:p w:rsidR="00EE0C8C" w:rsidRPr="00EE0C8C" w:rsidRDefault="00EE0C8C" w:rsidP="00EE0C8C">
      <w:pPr>
        <w:spacing w:after="0"/>
        <w:ind w:left="708"/>
        <w:jc w:val="both"/>
        <w:rPr>
          <w:rFonts w:ascii="Calibri" w:eastAsia="Times New Roman" w:hAnsi="Calibri" w:cs="Times New Roman"/>
          <w:lang w:eastAsia="pl-PL"/>
        </w:rPr>
      </w:pPr>
      <w:r w:rsidRPr="00EE0C8C">
        <w:rPr>
          <w:rFonts w:ascii="Calibri" w:eastAsia="Times New Roman" w:hAnsi="Calibri" w:cs="Times New Roman"/>
          <w:lang w:eastAsia="pl-PL"/>
        </w:rPr>
        <w:t xml:space="preserve">- Gminny Ośrodek Pomocy Społecznej w Mircu, </w:t>
      </w:r>
    </w:p>
    <w:p w:rsidR="00EE0C8C" w:rsidRPr="00EE0C8C" w:rsidRDefault="00EE0C8C" w:rsidP="00EE0C8C">
      <w:pPr>
        <w:spacing w:after="0"/>
        <w:ind w:left="708"/>
        <w:jc w:val="both"/>
        <w:rPr>
          <w:rFonts w:ascii="Calibri" w:eastAsia="Times New Roman" w:hAnsi="Calibri" w:cs="Times New Roman"/>
          <w:lang w:eastAsia="pl-PL"/>
        </w:rPr>
      </w:pPr>
      <w:r w:rsidRPr="00EE0C8C">
        <w:rPr>
          <w:rFonts w:ascii="Calibri" w:eastAsia="Times New Roman" w:hAnsi="Calibri" w:cs="Times New Roman"/>
          <w:lang w:eastAsia="pl-PL"/>
        </w:rPr>
        <w:t xml:space="preserve">-Gminny Dom Kultury i Integracji w Mircu (zasób: Amfiteatr, Gminna Biblioteka Publiczna ), </w:t>
      </w:r>
    </w:p>
    <w:p w:rsidR="00EE0C8C" w:rsidRPr="00EE0C8C" w:rsidRDefault="00EE0C8C" w:rsidP="00EE0C8C">
      <w:pPr>
        <w:spacing w:after="0"/>
        <w:ind w:left="708"/>
        <w:jc w:val="both"/>
        <w:rPr>
          <w:rFonts w:ascii="Calibri" w:eastAsia="Times New Roman" w:hAnsi="Calibri" w:cs="Times New Roman"/>
          <w:lang w:eastAsia="pl-PL"/>
        </w:rPr>
      </w:pPr>
      <w:r w:rsidRPr="00EE0C8C">
        <w:rPr>
          <w:rFonts w:ascii="Calibri" w:eastAsia="Times New Roman" w:hAnsi="Calibri" w:cs="Times New Roman"/>
          <w:lang w:eastAsia="pl-PL"/>
        </w:rPr>
        <w:t>- Zespół Szkół w Mircu ( w tym Szkoła Podstawowa i Gimnazjum ),</w:t>
      </w:r>
    </w:p>
    <w:p w:rsidR="00EE0C8C" w:rsidRPr="00EE0C8C" w:rsidRDefault="00EE0C8C" w:rsidP="00EE0C8C">
      <w:pPr>
        <w:spacing w:after="0"/>
        <w:ind w:left="708"/>
        <w:jc w:val="both"/>
        <w:rPr>
          <w:rFonts w:ascii="Calibri" w:eastAsia="Times New Roman" w:hAnsi="Calibri" w:cs="Times New Roman"/>
          <w:lang w:eastAsia="pl-PL"/>
        </w:rPr>
      </w:pPr>
      <w:r w:rsidRPr="00EE0C8C">
        <w:rPr>
          <w:rFonts w:ascii="Calibri" w:eastAsia="Times New Roman" w:hAnsi="Calibri" w:cs="Times New Roman"/>
          <w:lang w:eastAsia="pl-PL"/>
        </w:rPr>
        <w:t>- SPZOZ w Mircu(  publiczny Ośrodek Zdrowia w Mircu),</w:t>
      </w:r>
    </w:p>
    <w:p w:rsidR="00EE0C8C" w:rsidRPr="00EE0C8C" w:rsidRDefault="00EE0C8C" w:rsidP="00EE0C8C">
      <w:pPr>
        <w:spacing w:after="0"/>
        <w:ind w:left="708"/>
        <w:jc w:val="both"/>
        <w:rPr>
          <w:rFonts w:ascii="Calibri" w:eastAsia="Times New Roman" w:hAnsi="Calibri" w:cs="Times New Roman"/>
          <w:lang w:eastAsia="pl-PL"/>
        </w:rPr>
      </w:pPr>
      <w:r w:rsidRPr="00EE0C8C">
        <w:rPr>
          <w:rFonts w:ascii="Calibri" w:eastAsia="Times New Roman" w:hAnsi="Calibri" w:cs="Times New Roman"/>
          <w:lang w:eastAsia="pl-PL"/>
        </w:rPr>
        <w:t>-Ochotnicza Straż Pożarna w Mircu,</w:t>
      </w:r>
    </w:p>
    <w:p w:rsidR="00EE0C8C" w:rsidRPr="00EE0C8C" w:rsidRDefault="00EE0C8C" w:rsidP="00EE0C8C">
      <w:pPr>
        <w:spacing w:after="0"/>
        <w:ind w:left="708"/>
        <w:jc w:val="both"/>
        <w:rPr>
          <w:rFonts w:ascii="Calibri" w:eastAsia="Times New Roman" w:hAnsi="Calibri" w:cs="Times New Roman"/>
          <w:lang w:eastAsia="pl-PL"/>
        </w:rPr>
      </w:pPr>
      <w:r w:rsidRPr="00EE0C8C">
        <w:rPr>
          <w:rFonts w:ascii="Calibri" w:eastAsia="Times New Roman" w:hAnsi="Calibri" w:cs="Times New Roman"/>
          <w:lang w:eastAsia="pl-PL"/>
        </w:rPr>
        <w:t>- Przedszkole Publiczne  w Mircu,</w:t>
      </w:r>
    </w:p>
    <w:p w:rsidR="00EE0C8C" w:rsidRPr="00EE0C8C" w:rsidRDefault="00EE0C8C" w:rsidP="00EE0C8C">
      <w:pPr>
        <w:spacing w:after="0"/>
        <w:ind w:left="708"/>
        <w:jc w:val="both"/>
        <w:rPr>
          <w:rFonts w:ascii="Calibri" w:eastAsia="Times New Roman" w:hAnsi="Calibri" w:cs="Times New Roman"/>
          <w:lang w:eastAsia="pl-PL"/>
        </w:rPr>
      </w:pPr>
      <w:r w:rsidRPr="00EE0C8C">
        <w:rPr>
          <w:rFonts w:ascii="Calibri" w:eastAsia="Times New Roman" w:hAnsi="Calibri" w:cs="Times New Roman"/>
          <w:lang w:eastAsia="pl-PL"/>
        </w:rPr>
        <w:t xml:space="preserve">- Świetlica Środowiskowa – działania opiekuńczo- wychowawcze, </w:t>
      </w:r>
    </w:p>
    <w:p w:rsidR="00EE0C8C" w:rsidRPr="00EE0C8C" w:rsidRDefault="00EE0C8C" w:rsidP="00EE0C8C">
      <w:pPr>
        <w:spacing w:after="0"/>
        <w:ind w:left="708"/>
        <w:jc w:val="both"/>
        <w:rPr>
          <w:rFonts w:ascii="Calibri" w:eastAsia="Times New Roman" w:hAnsi="Calibri" w:cs="Times New Roman"/>
          <w:lang w:eastAsia="pl-PL"/>
        </w:rPr>
      </w:pPr>
      <w:r w:rsidRPr="00EE0C8C">
        <w:rPr>
          <w:rFonts w:ascii="Calibri" w:eastAsia="Times New Roman" w:hAnsi="Calibri" w:cs="Times New Roman"/>
          <w:lang w:eastAsia="pl-PL"/>
        </w:rPr>
        <w:t>- Punkt Interwencji Kryzysowej – terapeuta ds. przemocy .</w:t>
      </w:r>
    </w:p>
    <w:p w:rsidR="00EE0C8C" w:rsidRPr="00EE0C8C" w:rsidRDefault="00EE0C8C" w:rsidP="00EE0C8C">
      <w:pPr>
        <w:spacing w:after="0"/>
        <w:ind w:left="708"/>
        <w:jc w:val="both"/>
        <w:rPr>
          <w:rFonts w:ascii="Calibri" w:eastAsia="Times New Roman" w:hAnsi="Calibri" w:cs="Times New Roman"/>
          <w:lang w:eastAsia="pl-PL"/>
        </w:rPr>
      </w:pPr>
      <w:r w:rsidRPr="00EE0C8C">
        <w:rPr>
          <w:rFonts w:ascii="Calibri" w:eastAsia="Times New Roman" w:hAnsi="Calibri" w:cs="Times New Roman"/>
          <w:lang w:eastAsia="pl-PL"/>
        </w:rPr>
        <w:t xml:space="preserve">- Punkt Konsultacyjny – psycholog ds. uzależnień </w:t>
      </w:r>
    </w:p>
    <w:p w:rsidR="00EE0C8C" w:rsidRPr="00EE0C8C" w:rsidRDefault="00EE0C8C" w:rsidP="00EE0C8C">
      <w:pPr>
        <w:spacing w:after="0"/>
        <w:ind w:left="708"/>
        <w:jc w:val="both"/>
        <w:rPr>
          <w:rFonts w:ascii="Calibri" w:eastAsia="Times New Roman" w:hAnsi="Calibri" w:cs="Times New Roman"/>
          <w:lang w:eastAsia="pl-PL"/>
        </w:rPr>
      </w:pPr>
      <w:r w:rsidRPr="00EE0C8C">
        <w:rPr>
          <w:rFonts w:ascii="Calibri" w:eastAsia="Times New Roman" w:hAnsi="Calibri" w:cs="Times New Roman"/>
          <w:lang w:eastAsia="pl-PL"/>
        </w:rPr>
        <w:t>- Punkt przyjęć interesantów w Mircu – Policja.</w:t>
      </w:r>
    </w:p>
    <w:p w:rsidR="00EE0C8C" w:rsidRPr="00EE0C8C" w:rsidRDefault="00EE0C8C" w:rsidP="00EE0C8C">
      <w:pPr>
        <w:spacing w:after="0"/>
        <w:jc w:val="both"/>
        <w:rPr>
          <w:rFonts w:ascii="Calibri" w:eastAsia="Times New Roman" w:hAnsi="Calibri" w:cs="Times New Roman"/>
          <w:lang w:eastAsia="pl-PL"/>
        </w:rPr>
      </w:pPr>
    </w:p>
    <w:p w:rsidR="00EE0C8C" w:rsidRPr="00EE0C8C" w:rsidRDefault="00EE0C8C" w:rsidP="00EE0C8C">
      <w:pPr>
        <w:spacing w:after="0"/>
        <w:jc w:val="both"/>
        <w:rPr>
          <w:rFonts w:ascii="Calibri" w:eastAsia="Times New Roman" w:hAnsi="Calibri" w:cs="Times New Roman"/>
          <w:lang w:eastAsia="pl-PL"/>
        </w:rPr>
      </w:pPr>
      <w:r w:rsidRPr="00EE0C8C">
        <w:rPr>
          <w:rFonts w:ascii="Calibri" w:eastAsia="Times New Roman" w:hAnsi="Calibri" w:cs="Times New Roman"/>
          <w:lang w:eastAsia="pl-PL"/>
        </w:rPr>
        <w:t>Co istotne na terenie sołectwa Mirzec I działa 37 podmiotów gospodarczych , a na terenie sołectwa  Mirzec II funkcjonuje 40 podmiotów gospodarczych ( łącznie 80 ) , co w odniesieniu do tych dwóch sołectw  stanowi 22,3% w stosunku do podmiotów gospodarczych działających na terenie gminy Mirzec . Główne gałęzie gospodarcze w centrum Mirca to: przetwórstwo produkcyjne, handel, usługi w tym gastronomia. Wyróżniającymi się podmiotami w sektorze usług( gastronomia hotelarstwo) zlokalizowanymi w centrum Mirca są ,,Dworek Modrzewiowy i restauracja ,,Wiktoria”  zaś z sektora handlu : Dom handlowy ,,KAJ i dyskont  ,,Biedronka”.</w:t>
      </w:r>
    </w:p>
    <w:tbl>
      <w:tblPr>
        <w:tblStyle w:val="Tabela-Siatka5"/>
        <w:tblW w:w="0" w:type="auto"/>
        <w:jc w:val="center"/>
        <w:tblLook w:val="04A0" w:firstRow="1" w:lastRow="0" w:firstColumn="1" w:lastColumn="0" w:noHBand="0" w:noVBand="1"/>
      </w:tblPr>
      <w:tblGrid>
        <w:gridCol w:w="1673"/>
        <w:gridCol w:w="2087"/>
        <w:gridCol w:w="1820"/>
        <w:gridCol w:w="1854"/>
        <w:gridCol w:w="1854"/>
      </w:tblGrid>
      <w:tr w:rsidR="00EE0C8C" w:rsidRPr="00EE0C8C" w:rsidTr="00A76BDB">
        <w:trPr>
          <w:jc w:val="center"/>
        </w:trPr>
        <w:tc>
          <w:tcPr>
            <w:tcW w:w="9288" w:type="dxa"/>
            <w:gridSpan w:val="5"/>
            <w:shd w:val="clear" w:color="auto" w:fill="008080"/>
          </w:tcPr>
          <w:p w:rsidR="00EE0C8C" w:rsidRPr="00EE0C8C" w:rsidRDefault="00EE0C8C" w:rsidP="00EE0C8C">
            <w:pPr>
              <w:tabs>
                <w:tab w:val="center" w:pos="4536"/>
                <w:tab w:val="right" w:pos="9072"/>
              </w:tabs>
              <w:jc w:val="center"/>
              <w:rPr>
                <w:rFonts w:ascii="Calibri" w:eastAsiaTheme="minorHAnsi" w:hAnsi="Calibri"/>
                <w:color w:val="FFFFFF"/>
              </w:rPr>
            </w:pPr>
            <w:r w:rsidRPr="00EE0C8C">
              <w:rPr>
                <w:rFonts w:ascii="Calibri" w:eastAsiaTheme="minorHAnsi" w:hAnsi="Calibri"/>
                <w:color w:val="FFFFFF"/>
              </w:rPr>
              <w:t>Liczba podmiotów gospodarczych w 2015r.</w:t>
            </w:r>
          </w:p>
        </w:tc>
      </w:tr>
      <w:tr w:rsidR="00EE0C8C" w:rsidRPr="00EE0C8C" w:rsidTr="00A76BDB">
        <w:trPr>
          <w:jc w:val="center"/>
        </w:trPr>
        <w:tc>
          <w:tcPr>
            <w:tcW w:w="1673" w:type="dxa"/>
            <w:shd w:val="clear" w:color="auto" w:fill="33CCCC"/>
          </w:tcPr>
          <w:p w:rsidR="00EE0C8C" w:rsidRPr="00EE0C8C" w:rsidRDefault="00EE0C8C" w:rsidP="00EE0C8C">
            <w:pPr>
              <w:tabs>
                <w:tab w:val="center" w:pos="4536"/>
                <w:tab w:val="right" w:pos="9072"/>
              </w:tabs>
              <w:jc w:val="center"/>
              <w:rPr>
                <w:rFonts w:ascii="Calibri" w:eastAsiaTheme="minorHAnsi" w:hAnsi="Calibri"/>
                <w:color w:val="000000"/>
              </w:rPr>
            </w:pPr>
            <w:r w:rsidRPr="00EE0C8C">
              <w:rPr>
                <w:rFonts w:ascii="Calibri" w:eastAsiaTheme="minorHAnsi" w:hAnsi="Calibri"/>
                <w:color w:val="000000"/>
              </w:rPr>
              <w:t>Gmina Mirzec</w:t>
            </w:r>
          </w:p>
        </w:tc>
        <w:tc>
          <w:tcPr>
            <w:tcW w:w="3907" w:type="dxa"/>
            <w:gridSpan w:val="2"/>
            <w:shd w:val="clear" w:color="auto" w:fill="33CCCC"/>
          </w:tcPr>
          <w:p w:rsidR="00EE0C8C" w:rsidRPr="00EE0C8C" w:rsidRDefault="00EE0C8C" w:rsidP="00EE0C8C">
            <w:pPr>
              <w:tabs>
                <w:tab w:val="center" w:pos="4536"/>
                <w:tab w:val="right" w:pos="9072"/>
              </w:tabs>
              <w:jc w:val="center"/>
              <w:rPr>
                <w:rFonts w:ascii="Calibri" w:eastAsiaTheme="minorHAnsi" w:hAnsi="Calibri"/>
                <w:color w:val="000000"/>
              </w:rPr>
            </w:pPr>
            <w:r w:rsidRPr="00EE0C8C">
              <w:rPr>
                <w:rFonts w:ascii="Calibri" w:eastAsiaTheme="minorHAnsi" w:hAnsi="Calibri"/>
                <w:color w:val="000000"/>
              </w:rPr>
              <w:t>Mirzec I</w:t>
            </w:r>
          </w:p>
        </w:tc>
        <w:tc>
          <w:tcPr>
            <w:tcW w:w="3708" w:type="dxa"/>
            <w:gridSpan w:val="2"/>
            <w:shd w:val="clear" w:color="auto" w:fill="33CCCC"/>
          </w:tcPr>
          <w:p w:rsidR="00EE0C8C" w:rsidRPr="00EE0C8C" w:rsidRDefault="00EE0C8C" w:rsidP="00EE0C8C">
            <w:pPr>
              <w:tabs>
                <w:tab w:val="center" w:pos="4536"/>
                <w:tab w:val="right" w:pos="9072"/>
              </w:tabs>
              <w:jc w:val="center"/>
              <w:rPr>
                <w:rFonts w:ascii="Calibri" w:eastAsiaTheme="minorHAnsi" w:hAnsi="Calibri"/>
                <w:color w:val="000000"/>
              </w:rPr>
            </w:pPr>
            <w:r w:rsidRPr="00EE0C8C">
              <w:rPr>
                <w:rFonts w:ascii="Calibri" w:eastAsiaTheme="minorHAnsi" w:hAnsi="Calibri"/>
                <w:color w:val="000000"/>
              </w:rPr>
              <w:t>Mirzec II</w:t>
            </w:r>
          </w:p>
        </w:tc>
      </w:tr>
      <w:tr w:rsidR="00EE0C8C" w:rsidRPr="00EE0C8C" w:rsidTr="00A76BDB">
        <w:trPr>
          <w:jc w:val="center"/>
        </w:trPr>
        <w:tc>
          <w:tcPr>
            <w:tcW w:w="1673" w:type="dxa"/>
          </w:tcPr>
          <w:p w:rsidR="00EE0C8C" w:rsidRPr="00EE0C8C" w:rsidRDefault="00EE0C8C" w:rsidP="00EE0C8C">
            <w:pPr>
              <w:tabs>
                <w:tab w:val="center" w:pos="4536"/>
                <w:tab w:val="right" w:pos="9072"/>
              </w:tabs>
              <w:jc w:val="center"/>
              <w:rPr>
                <w:rFonts w:ascii="Calibri" w:eastAsiaTheme="minorHAnsi" w:hAnsi="Calibri"/>
              </w:rPr>
            </w:pPr>
            <w:r w:rsidRPr="00EE0C8C">
              <w:rPr>
                <w:rFonts w:ascii="Calibri" w:eastAsiaTheme="minorHAnsi" w:hAnsi="Calibri"/>
              </w:rPr>
              <w:t>100%</w:t>
            </w:r>
          </w:p>
        </w:tc>
        <w:tc>
          <w:tcPr>
            <w:tcW w:w="7615" w:type="dxa"/>
            <w:gridSpan w:val="4"/>
          </w:tcPr>
          <w:p w:rsidR="00EE0C8C" w:rsidRPr="00EE0C8C" w:rsidRDefault="00EE0C8C" w:rsidP="00EE0C8C">
            <w:pPr>
              <w:tabs>
                <w:tab w:val="center" w:pos="4536"/>
                <w:tab w:val="right" w:pos="9072"/>
              </w:tabs>
              <w:jc w:val="center"/>
              <w:rPr>
                <w:rFonts w:ascii="Calibri" w:eastAsiaTheme="minorHAnsi" w:hAnsi="Calibri"/>
              </w:rPr>
            </w:pPr>
            <w:r w:rsidRPr="00EE0C8C">
              <w:rPr>
                <w:rFonts w:ascii="Calibri" w:eastAsiaTheme="minorHAnsi" w:hAnsi="Calibri"/>
              </w:rPr>
              <w:t>22,3%</w:t>
            </w:r>
          </w:p>
        </w:tc>
      </w:tr>
      <w:tr w:rsidR="00EE0C8C" w:rsidRPr="00EE0C8C" w:rsidTr="00A76BDB">
        <w:trPr>
          <w:jc w:val="center"/>
        </w:trPr>
        <w:tc>
          <w:tcPr>
            <w:tcW w:w="1673" w:type="dxa"/>
          </w:tcPr>
          <w:p w:rsidR="00EE0C8C" w:rsidRPr="00EE0C8C" w:rsidRDefault="00EE0C8C" w:rsidP="00EE0C8C">
            <w:pPr>
              <w:tabs>
                <w:tab w:val="center" w:pos="4536"/>
                <w:tab w:val="right" w:pos="9072"/>
              </w:tabs>
              <w:jc w:val="center"/>
              <w:rPr>
                <w:rFonts w:ascii="Calibri" w:eastAsiaTheme="minorHAnsi" w:hAnsi="Calibri"/>
              </w:rPr>
            </w:pPr>
            <w:r w:rsidRPr="00EE0C8C">
              <w:rPr>
                <w:rFonts w:ascii="Calibri" w:eastAsiaTheme="minorHAnsi" w:hAnsi="Calibri"/>
              </w:rPr>
              <w:t>360</w:t>
            </w:r>
          </w:p>
        </w:tc>
        <w:tc>
          <w:tcPr>
            <w:tcW w:w="3907" w:type="dxa"/>
            <w:gridSpan w:val="2"/>
            <w:shd w:val="clear" w:color="auto" w:fill="B6DDE8" w:themeFill="accent5" w:themeFillTint="66"/>
          </w:tcPr>
          <w:p w:rsidR="00EE0C8C" w:rsidRPr="00EE0C8C" w:rsidRDefault="00EE0C8C" w:rsidP="00EE0C8C">
            <w:pPr>
              <w:tabs>
                <w:tab w:val="center" w:pos="4536"/>
                <w:tab w:val="right" w:pos="9072"/>
              </w:tabs>
              <w:jc w:val="center"/>
              <w:rPr>
                <w:rFonts w:ascii="Calibri" w:eastAsiaTheme="minorHAnsi" w:hAnsi="Calibri"/>
              </w:rPr>
            </w:pPr>
            <w:r w:rsidRPr="00EE0C8C">
              <w:rPr>
                <w:rFonts w:ascii="Calibri" w:eastAsiaTheme="minorHAnsi" w:hAnsi="Calibri"/>
              </w:rPr>
              <w:t>37</w:t>
            </w:r>
          </w:p>
        </w:tc>
        <w:tc>
          <w:tcPr>
            <w:tcW w:w="3708" w:type="dxa"/>
            <w:gridSpan w:val="2"/>
            <w:shd w:val="clear" w:color="auto" w:fill="DAEEF3" w:themeFill="accent5" w:themeFillTint="33"/>
          </w:tcPr>
          <w:p w:rsidR="00EE0C8C" w:rsidRPr="00EE0C8C" w:rsidRDefault="00EE0C8C" w:rsidP="00EE0C8C">
            <w:pPr>
              <w:tabs>
                <w:tab w:val="center" w:pos="4536"/>
                <w:tab w:val="right" w:pos="9072"/>
              </w:tabs>
              <w:jc w:val="center"/>
              <w:rPr>
                <w:rFonts w:ascii="Calibri" w:eastAsiaTheme="minorHAnsi" w:hAnsi="Calibri"/>
              </w:rPr>
            </w:pPr>
            <w:r w:rsidRPr="00EE0C8C">
              <w:rPr>
                <w:rFonts w:ascii="Calibri" w:eastAsiaTheme="minorHAnsi" w:hAnsi="Calibri"/>
              </w:rPr>
              <w:t>43</w:t>
            </w:r>
          </w:p>
        </w:tc>
      </w:tr>
      <w:tr w:rsidR="00EE0C8C" w:rsidRPr="00EE0C8C" w:rsidTr="00A76BDB">
        <w:trPr>
          <w:jc w:val="center"/>
        </w:trPr>
        <w:tc>
          <w:tcPr>
            <w:tcW w:w="1673" w:type="dxa"/>
          </w:tcPr>
          <w:p w:rsidR="00EE0C8C" w:rsidRPr="00EE0C8C" w:rsidRDefault="00EE0C8C" w:rsidP="00EE0C8C">
            <w:pPr>
              <w:tabs>
                <w:tab w:val="center" w:pos="4536"/>
                <w:tab w:val="right" w:pos="9072"/>
              </w:tabs>
              <w:rPr>
                <w:rFonts w:ascii="Calibri" w:eastAsiaTheme="minorHAnsi" w:hAnsi="Calibri"/>
              </w:rPr>
            </w:pPr>
          </w:p>
        </w:tc>
        <w:tc>
          <w:tcPr>
            <w:tcW w:w="2087" w:type="dxa"/>
            <w:shd w:val="clear" w:color="auto" w:fill="B6DDE8" w:themeFill="accent5" w:themeFillTint="66"/>
          </w:tcPr>
          <w:p w:rsidR="00EE0C8C" w:rsidRPr="00EE0C8C" w:rsidRDefault="00EE0C8C" w:rsidP="00EE0C8C">
            <w:pPr>
              <w:tabs>
                <w:tab w:val="center" w:pos="4536"/>
                <w:tab w:val="right" w:pos="9072"/>
              </w:tabs>
              <w:rPr>
                <w:rFonts w:ascii="Calibri" w:eastAsiaTheme="minorHAnsi" w:hAnsi="Calibri"/>
              </w:rPr>
            </w:pPr>
            <w:r w:rsidRPr="00EE0C8C">
              <w:rPr>
                <w:rFonts w:ascii="Calibri" w:eastAsiaTheme="minorHAnsi" w:hAnsi="Calibri"/>
              </w:rPr>
              <w:t>Usługi (w tym fryzjerskie, informatyczne, medyczne, leśne, budowlane, geodezyjne, samochodowe)</w:t>
            </w:r>
          </w:p>
        </w:tc>
        <w:tc>
          <w:tcPr>
            <w:tcW w:w="1820" w:type="dxa"/>
            <w:shd w:val="clear" w:color="auto" w:fill="B6DDE8" w:themeFill="accent5" w:themeFillTint="66"/>
          </w:tcPr>
          <w:p w:rsidR="00EE0C8C" w:rsidRPr="00EE0C8C" w:rsidRDefault="00EE0C8C" w:rsidP="00EE0C8C">
            <w:pPr>
              <w:tabs>
                <w:tab w:val="center" w:pos="4536"/>
                <w:tab w:val="right" w:pos="9072"/>
              </w:tabs>
              <w:jc w:val="right"/>
              <w:rPr>
                <w:rFonts w:ascii="Calibri" w:eastAsiaTheme="minorHAnsi" w:hAnsi="Calibri"/>
              </w:rPr>
            </w:pPr>
            <w:r w:rsidRPr="00EE0C8C">
              <w:rPr>
                <w:rFonts w:ascii="Calibri" w:eastAsiaTheme="minorHAnsi" w:hAnsi="Calibri"/>
              </w:rPr>
              <w:t>14</w:t>
            </w:r>
          </w:p>
        </w:tc>
        <w:tc>
          <w:tcPr>
            <w:tcW w:w="1854" w:type="dxa"/>
            <w:shd w:val="clear" w:color="auto" w:fill="DAEEF3" w:themeFill="accent5" w:themeFillTint="33"/>
          </w:tcPr>
          <w:p w:rsidR="00EE0C8C" w:rsidRPr="00EE0C8C" w:rsidRDefault="00EE0C8C" w:rsidP="00EE0C8C">
            <w:pPr>
              <w:tabs>
                <w:tab w:val="center" w:pos="4536"/>
                <w:tab w:val="right" w:pos="9072"/>
              </w:tabs>
              <w:jc w:val="both"/>
              <w:rPr>
                <w:rFonts w:ascii="Calibri" w:eastAsiaTheme="minorHAnsi" w:hAnsi="Calibri"/>
              </w:rPr>
            </w:pPr>
            <w:r w:rsidRPr="00EE0C8C">
              <w:rPr>
                <w:rFonts w:ascii="Calibri" w:eastAsiaTheme="minorHAnsi" w:hAnsi="Calibri"/>
              </w:rPr>
              <w:t>Usługi budowlane</w:t>
            </w:r>
          </w:p>
        </w:tc>
        <w:tc>
          <w:tcPr>
            <w:tcW w:w="1854" w:type="dxa"/>
            <w:shd w:val="clear" w:color="auto" w:fill="DAEEF3" w:themeFill="accent5" w:themeFillTint="33"/>
          </w:tcPr>
          <w:p w:rsidR="00EE0C8C" w:rsidRPr="00EE0C8C" w:rsidRDefault="00EE0C8C" w:rsidP="00EE0C8C">
            <w:pPr>
              <w:tabs>
                <w:tab w:val="center" w:pos="4536"/>
                <w:tab w:val="right" w:pos="9072"/>
              </w:tabs>
              <w:jc w:val="right"/>
              <w:rPr>
                <w:rFonts w:ascii="Calibri" w:eastAsiaTheme="minorHAnsi" w:hAnsi="Calibri"/>
              </w:rPr>
            </w:pPr>
            <w:r w:rsidRPr="00EE0C8C">
              <w:rPr>
                <w:rFonts w:ascii="Calibri" w:eastAsiaTheme="minorHAnsi" w:hAnsi="Calibri"/>
              </w:rPr>
              <w:t>6</w:t>
            </w:r>
          </w:p>
        </w:tc>
      </w:tr>
      <w:tr w:rsidR="00EE0C8C" w:rsidRPr="00EE0C8C" w:rsidTr="00A76BDB">
        <w:trPr>
          <w:jc w:val="center"/>
        </w:trPr>
        <w:tc>
          <w:tcPr>
            <w:tcW w:w="1673" w:type="dxa"/>
          </w:tcPr>
          <w:p w:rsidR="00EE0C8C" w:rsidRPr="00EE0C8C" w:rsidRDefault="00EE0C8C" w:rsidP="00EE0C8C">
            <w:pPr>
              <w:tabs>
                <w:tab w:val="center" w:pos="4536"/>
                <w:tab w:val="right" w:pos="9072"/>
              </w:tabs>
              <w:jc w:val="both"/>
              <w:rPr>
                <w:rFonts w:ascii="Calibri" w:eastAsiaTheme="minorHAnsi" w:hAnsi="Calibri"/>
              </w:rPr>
            </w:pPr>
          </w:p>
        </w:tc>
        <w:tc>
          <w:tcPr>
            <w:tcW w:w="2087" w:type="dxa"/>
            <w:shd w:val="clear" w:color="auto" w:fill="B6DDE8" w:themeFill="accent5" w:themeFillTint="66"/>
          </w:tcPr>
          <w:p w:rsidR="00EE0C8C" w:rsidRPr="00EE0C8C" w:rsidRDefault="00EE0C8C" w:rsidP="00EE0C8C">
            <w:pPr>
              <w:tabs>
                <w:tab w:val="center" w:pos="4536"/>
                <w:tab w:val="right" w:pos="9072"/>
              </w:tabs>
              <w:jc w:val="both"/>
              <w:rPr>
                <w:rFonts w:ascii="Calibri" w:eastAsiaTheme="minorHAnsi" w:hAnsi="Calibri"/>
              </w:rPr>
            </w:pPr>
            <w:r w:rsidRPr="00EE0C8C">
              <w:rPr>
                <w:rFonts w:ascii="Calibri" w:eastAsiaTheme="minorHAnsi" w:hAnsi="Calibri"/>
              </w:rPr>
              <w:t>Działalność handlowa</w:t>
            </w:r>
          </w:p>
        </w:tc>
        <w:tc>
          <w:tcPr>
            <w:tcW w:w="1820" w:type="dxa"/>
            <w:shd w:val="clear" w:color="auto" w:fill="B6DDE8" w:themeFill="accent5" w:themeFillTint="66"/>
          </w:tcPr>
          <w:p w:rsidR="00EE0C8C" w:rsidRPr="00EE0C8C" w:rsidRDefault="00EE0C8C" w:rsidP="00EE0C8C">
            <w:pPr>
              <w:tabs>
                <w:tab w:val="center" w:pos="4536"/>
                <w:tab w:val="right" w:pos="9072"/>
              </w:tabs>
              <w:jc w:val="right"/>
              <w:rPr>
                <w:rFonts w:ascii="Calibri" w:eastAsiaTheme="minorHAnsi" w:hAnsi="Calibri"/>
              </w:rPr>
            </w:pPr>
            <w:r w:rsidRPr="00EE0C8C">
              <w:rPr>
                <w:rFonts w:ascii="Calibri" w:eastAsiaTheme="minorHAnsi" w:hAnsi="Calibri"/>
              </w:rPr>
              <w:t>10</w:t>
            </w:r>
          </w:p>
        </w:tc>
        <w:tc>
          <w:tcPr>
            <w:tcW w:w="1854" w:type="dxa"/>
            <w:shd w:val="clear" w:color="auto" w:fill="DAEEF3" w:themeFill="accent5" w:themeFillTint="33"/>
          </w:tcPr>
          <w:p w:rsidR="00EE0C8C" w:rsidRPr="00EE0C8C" w:rsidRDefault="00EE0C8C" w:rsidP="00EE0C8C">
            <w:pPr>
              <w:tabs>
                <w:tab w:val="center" w:pos="4536"/>
                <w:tab w:val="right" w:pos="9072"/>
              </w:tabs>
              <w:jc w:val="both"/>
              <w:rPr>
                <w:rFonts w:ascii="Calibri" w:eastAsiaTheme="minorHAnsi" w:hAnsi="Calibri"/>
              </w:rPr>
            </w:pPr>
            <w:r w:rsidRPr="00EE0C8C">
              <w:rPr>
                <w:rFonts w:ascii="Calibri" w:eastAsiaTheme="minorHAnsi" w:hAnsi="Calibri"/>
              </w:rPr>
              <w:t>Działalność handlowa</w:t>
            </w:r>
          </w:p>
        </w:tc>
        <w:tc>
          <w:tcPr>
            <w:tcW w:w="1854" w:type="dxa"/>
            <w:shd w:val="clear" w:color="auto" w:fill="DAEEF3" w:themeFill="accent5" w:themeFillTint="33"/>
          </w:tcPr>
          <w:p w:rsidR="00EE0C8C" w:rsidRPr="00EE0C8C" w:rsidRDefault="00EE0C8C" w:rsidP="00EE0C8C">
            <w:pPr>
              <w:tabs>
                <w:tab w:val="center" w:pos="4536"/>
                <w:tab w:val="right" w:pos="9072"/>
              </w:tabs>
              <w:jc w:val="right"/>
              <w:rPr>
                <w:rFonts w:ascii="Calibri" w:eastAsiaTheme="minorHAnsi" w:hAnsi="Calibri"/>
              </w:rPr>
            </w:pPr>
            <w:r w:rsidRPr="00EE0C8C">
              <w:rPr>
                <w:rFonts w:ascii="Calibri" w:eastAsiaTheme="minorHAnsi" w:hAnsi="Calibri"/>
              </w:rPr>
              <w:t>13</w:t>
            </w:r>
          </w:p>
        </w:tc>
      </w:tr>
      <w:tr w:rsidR="00EE0C8C" w:rsidRPr="00EE0C8C" w:rsidTr="00A76BDB">
        <w:trPr>
          <w:jc w:val="center"/>
        </w:trPr>
        <w:tc>
          <w:tcPr>
            <w:tcW w:w="1673" w:type="dxa"/>
          </w:tcPr>
          <w:p w:rsidR="00EE0C8C" w:rsidRPr="00EE0C8C" w:rsidRDefault="00EE0C8C" w:rsidP="00EE0C8C">
            <w:pPr>
              <w:tabs>
                <w:tab w:val="center" w:pos="4536"/>
                <w:tab w:val="right" w:pos="9072"/>
              </w:tabs>
              <w:jc w:val="both"/>
              <w:rPr>
                <w:rFonts w:ascii="Calibri" w:eastAsiaTheme="minorHAnsi" w:hAnsi="Calibri"/>
              </w:rPr>
            </w:pPr>
          </w:p>
        </w:tc>
        <w:tc>
          <w:tcPr>
            <w:tcW w:w="2087" w:type="dxa"/>
            <w:shd w:val="clear" w:color="auto" w:fill="B6DDE8" w:themeFill="accent5" w:themeFillTint="66"/>
          </w:tcPr>
          <w:p w:rsidR="00EE0C8C" w:rsidRPr="00EE0C8C" w:rsidRDefault="00EE0C8C" w:rsidP="00EE0C8C">
            <w:pPr>
              <w:tabs>
                <w:tab w:val="center" w:pos="4536"/>
                <w:tab w:val="right" w:pos="9072"/>
              </w:tabs>
              <w:jc w:val="both"/>
              <w:rPr>
                <w:rFonts w:ascii="Calibri" w:eastAsiaTheme="minorHAnsi" w:hAnsi="Calibri"/>
              </w:rPr>
            </w:pPr>
            <w:r w:rsidRPr="00EE0C8C">
              <w:rPr>
                <w:rFonts w:ascii="Calibri" w:eastAsiaTheme="minorHAnsi" w:hAnsi="Calibri"/>
              </w:rPr>
              <w:t>Inne</w:t>
            </w:r>
          </w:p>
        </w:tc>
        <w:tc>
          <w:tcPr>
            <w:tcW w:w="1820" w:type="dxa"/>
            <w:shd w:val="clear" w:color="auto" w:fill="B6DDE8" w:themeFill="accent5" w:themeFillTint="66"/>
          </w:tcPr>
          <w:p w:rsidR="00EE0C8C" w:rsidRPr="00EE0C8C" w:rsidRDefault="00EE0C8C" w:rsidP="00EE0C8C">
            <w:pPr>
              <w:tabs>
                <w:tab w:val="center" w:pos="4536"/>
                <w:tab w:val="right" w:pos="9072"/>
              </w:tabs>
              <w:jc w:val="right"/>
              <w:rPr>
                <w:rFonts w:ascii="Calibri" w:eastAsiaTheme="minorHAnsi" w:hAnsi="Calibri"/>
              </w:rPr>
            </w:pPr>
            <w:r w:rsidRPr="00EE0C8C">
              <w:rPr>
                <w:rFonts w:ascii="Calibri" w:eastAsiaTheme="minorHAnsi" w:hAnsi="Calibri"/>
              </w:rPr>
              <w:t>13</w:t>
            </w:r>
          </w:p>
        </w:tc>
        <w:tc>
          <w:tcPr>
            <w:tcW w:w="1854" w:type="dxa"/>
            <w:shd w:val="clear" w:color="auto" w:fill="DAEEF3" w:themeFill="accent5" w:themeFillTint="33"/>
          </w:tcPr>
          <w:p w:rsidR="00EE0C8C" w:rsidRPr="00EE0C8C" w:rsidRDefault="00EE0C8C" w:rsidP="00EE0C8C">
            <w:pPr>
              <w:tabs>
                <w:tab w:val="center" w:pos="4536"/>
                <w:tab w:val="right" w:pos="9072"/>
              </w:tabs>
              <w:jc w:val="both"/>
              <w:rPr>
                <w:rFonts w:ascii="Calibri" w:eastAsiaTheme="minorHAnsi" w:hAnsi="Calibri"/>
              </w:rPr>
            </w:pPr>
            <w:r w:rsidRPr="00EE0C8C">
              <w:rPr>
                <w:rFonts w:ascii="Calibri" w:eastAsiaTheme="minorHAnsi" w:hAnsi="Calibri"/>
              </w:rPr>
              <w:t>Usługi fryzjerskie</w:t>
            </w:r>
          </w:p>
        </w:tc>
        <w:tc>
          <w:tcPr>
            <w:tcW w:w="1854" w:type="dxa"/>
            <w:shd w:val="clear" w:color="auto" w:fill="DAEEF3" w:themeFill="accent5" w:themeFillTint="33"/>
          </w:tcPr>
          <w:p w:rsidR="00EE0C8C" w:rsidRPr="00EE0C8C" w:rsidRDefault="00EE0C8C" w:rsidP="00EE0C8C">
            <w:pPr>
              <w:tabs>
                <w:tab w:val="center" w:pos="4536"/>
                <w:tab w:val="right" w:pos="9072"/>
              </w:tabs>
              <w:jc w:val="right"/>
              <w:rPr>
                <w:rFonts w:ascii="Calibri" w:eastAsiaTheme="minorHAnsi" w:hAnsi="Calibri"/>
              </w:rPr>
            </w:pPr>
            <w:r w:rsidRPr="00EE0C8C">
              <w:rPr>
                <w:rFonts w:ascii="Calibri" w:eastAsiaTheme="minorHAnsi" w:hAnsi="Calibri"/>
              </w:rPr>
              <w:t>3</w:t>
            </w:r>
          </w:p>
        </w:tc>
      </w:tr>
      <w:tr w:rsidR="00EE0C8C" w:rsidRPr="00EE0C8C" w:rsidTr="00A76BDB">
        <w:trPr>
          <w:jc w:val="center"/>
        </w:trPr>
        <w:tc>
          <w:tcPr>
            <w:tcW w:w="1673" w:type="dxa"/>
          </w:tcPr>
          <w:p w:rsidR="00EE0C8C" w:rsidRPr="00EE0C8C" w:rsidRDefault="00EE0C8C" w:rsidP="00EE0C8C">
            <w:pPr>
              <w:tabs>
                <w:tab w:val="center" w:pos="4536"/>
                <w:tab w:val="right" w:pos="9072"/>
              </w:tabs>
              <w:jc w:val="both"/>
              <w:rPr>
                <w:rFonts w:ascii="Calibri" w:eastAsiaTheme="minorHAnsi" w:hAnsi="Calibri"/>
              </w:rPr>
            </w:pPr>
          </w:p>
        </w:tc>
        <w:tc>
          <w:tcPr>
            <w:tcW w:w="2087" w:type="dxa"/>
          </w:tcPr>
          <w:p w:rsidR="00EE0C8C" w:rsidRPr="00EE0C8C" w:rsidRDefault="00EE0C8C" w:rsidP="00EE0C8C">
            <w:pPr>
              <w:tabs>
                <w:tab w:val="center" w:pos="4536"/>
                <w:tab w:val="right" w:pos="9072"/>
              </w:tabs>
              <w:jc w:val="both"/>
              <w:rPr>
                <w:rFonts w:ascii="Calibri" w:eastAsiaTheme="minorHAnsi" w:hAnsi="Calibri"/>
              </w:rPr>
            </w:pPr>
          </w:p>
        </w:tc>
        <w:tc>
          <w:tcPr>
            <w:tcW w:w="1820" w:type="dxa"/>
          </w:tcPr>
          <w:p w:rsidR="00EE0C8C" w:rsidRPr="00EE0C8C" w:rsidRDefault="00EE0C8C" w:rsidP="00EE0C8C">
            <w:pPr>
              <w:tabs>
                <w:tab w:val="center" w:pos="4536"/>
                <w:tab w:val="right" w:pos="9072"/>
              </w:tabs>
              <w:jc w:val="right"/>
              <w:rPr>
                <w:rFonts w:ascii="Calibri" w:eastAsiaTheme="minorHAnsi" w:hAnsi="Calibri"/>
              </w:rPr>
            </w:pPr>
          </w:p>
        </w:tc>
        <w:tc>
          <w:tcPr>
            <w:tcW w:w="1854" w:type="dxa"/>
            <w:shd w:val="clear" w:color="auto" w:fill="DAEEF3" w:themeFill="accent5" w:themeFillTint="33"/>
          </w:tcPr>
          <w:p w:rsidR="00EE0C8C" w:rsidRPr="00EE0C8C" w:rsidRDefault="00EE0C8C" w:rsidP="00EE0C8C">
            <w:pPr>
              <w:tabs>
                <w:tab w:val="center" w:pos="4536"/>
                <w:tab w:val="right" w:pos="9072"/>
              </w:tabs>
              <w:jc w:val="both"/>
              <w:rPr>
                <w:rFonts w:ascii="Calibri" w:eastAsiaTheme="minorHAnsi" w:hAnsi="Calibri"/>
              </w:rPr>
            </w:pPr>
            <w:r w:rsidRPr="00EE0C8C">
              <w:rPr>
                <w:rFonts w:ascii="Calibri" w:eastAsiaTheme="minorHAnsi" w:hAnsi="Calibri"/>
              </w:rPr>
              <w:t>Usługi fotograficzne</w:t>
            </w:r>
          </w:p>
        </w:tc>
        <w:tc>
          <w:tcPr>
            <w:tcW w:w="1854" w:type="dxa"/>
            <w:shd w:val="clear" w:color="auto" w:fill="DAEEF3" w:themeFill="accent5" w:themeFillTint="33"/>
          </w:tcPr>
          <w:p w:rsidR="00EE0C8C" w:rsidRPr="00EE0C8C" w:rsidRDefault="00EE0C8C" w:rsidP="00EE0C8C">
            <w:pPr>
              <w:tabs>
                <w:tab w:val="center" w:pos="4536"/>
                <w:tab w:val="right" w:pos="9072"/>
              </w:tabs>
              <w:jc w:val="right"/>
              <w:rPr>
                <w:rFonts w:ascii="Calibri" w:eastAsiaTheme="minorHAnsi" w:hAnsi="Calibri"/>
              </w:rPr>
            </w:pPr>
            <w:r w:rsidRPr="00EE0C8C">
              <w:rPr>
                <w:rFonts w:ascii="Calibri" w:eastAsiaTheme="minorHAnsi" w:hAnsi="Calibri"/>
              </w:rPr>
              <w:t>2</w:t>
            </w:r>
          </w:p>
        </w:tc>
      </w:tr>
      <w:tr w:rsidR="00EE0C8C" w:rsidRPr="00EE0C8C" w:rsidTr="00A76BDB">
        <w:trPr>
          <w:jc w:val="center"/>
        </w:trPr>
        <w:tc>
          <w:tcPr>
            <w:tcW w:w="1673" w:type="dxa"/>
          </w:tcPr>
          <w:p w:rsidR="00EE0C8C" w:rsidRPr="00EE0C8C" w:rsidRDefault="00EE0C8C" w:rsidP="00EE0C8C">
            <w:pPr>
              <w:tabs>
                <w:tab w:val="center" w:pos="4536"/>
                <w:tab w:val="right" w:pos="9072"/>
              </w:tabs>
              <w:jc w:val="both"/>
              <w:rPr>
                <w:rFonts w:ascii="Calibri" w:eastAsiaTheme="minorHAnsi" w:hAnsi="Calibri"/>
              </w:rPr>
            </w:pPr>
          </w:p>
        </w:tc>
        <w:tc>
          <w:tcPr>
            <w:tcW w:w="2087" w:type="dxa"/>
          </w:tcPr>
          <w:p w:rsidR="00EE0C8C" w:rsidRPr="00EE0C8C" w:rsidRDefault="00EE0C8C" w:rsidP="00EE0C8C">
            <w:pPr>
              <w:tabs>
                <w:tab w:val="center" w:pos="4536"/>
                <w:tab w:val="right" w:pos="9072"/>
              </w:tabs>
              <w:jc w:val="both"/>
              <w:rPr>
                <w:rFonts w:ascii="Calibri" w:eastAsiaTheme="minorHAnsi" w:hAnsi="Calibri"/>
              </w:rPr>
            </w:pPr>
          </w:p>
        </w:tc>
        <w:tc>
          <w:tcPr>
            <w:tcW w:w="1820" w:type="dxa"/>
          </w:tcPr>
          <w:p w:rsidR="00EE0C8C" w:rsidRPr="00EE0C8C" w:rsidRDefault="00EE0C8C" w:rsidP="00EE0C8C">
            <w:pPr>
              <w:tabs>
                <w:tab w:val="center" w:pos="4536"/>
                <w:tab w:val="right" w:pos="9072"/>
              </w:tabs>
              <w:jc w:val="right"/>
              <w:rPr>
                <w:rFonts w:ascii="Calibri" w:eastAsiaTheme="minorHAnsi" w:hAnsi="Calibri"/>
              </w:rPr>
            </w:pPr>
          </w:p>
        </w:tc>
        <w:tc>
          <w:tcPr>
            <w:tcW w:w="1854" w:type="dxa"/>
            <w:shd w:val="clear" w:color="auto" w:fill="DAEEF3" w:themeFill="accent5" w:themeFillTint="33"/>
          </w:tcPr>
          <w:p w:rsidR="00EE0C8C" w:rsidRPr="00EE0C8C" w:rsidRDefault="00EE0C8C" w:rsidP="00EE0C8C">
            <w:pPr>
              <w:tabs>
                <w:tab w:val="center" w:pos="4536"/>
                <w:tab w:val="right" w:pos="9072"/>
              </w:tabs>
              <w:jc w:val="both"/>
              <w:rPr>
                <w:rFonts w:ascii="Calibri" w:eastAsiaTheme="minorHAnsi" w:hAnsi="Calibri"/>
              </w:rPr>
            </w:pPr>
            <w:r w:rsidRPr="00EE0C8C">
              <w:rPr>
                <w:rFonts w:ascii="Calibri" w:eastAsiaTheme="minorHAnsi" w:hAnsi="Calibri"/>
              </w:rPr>
              <w:t>Usługi (w tym medyczne, samochodowe, betoniarskie, ceramiczne)</w:t>
            </w:r>
          </w:p>
        </w:tc>
        <w:tc>
          <w:tcPr>
            <w:tcW w:w="1854" w:type="dxa"/>
            <w:shd w:val="clear" w:color="auto" w:fill="DAEEF3" w:themeFill="accent5" w:themeFillTint="33"/>
          </w:tcPr>
          <w:p w:rsidR="00EE0C8C" w:rsidRPr="00EE0C8C" w:rsidRDefault="00EE0C8C" w:rsidP="00EE0C8C">
            <w:pPr>
              <w:tabs>
                <w:tab w:val="center" w:pos="4536"/>
                <w:tab w:val="right" w:pos="9072"/>
              </w:tabs>
              <w:jc w:val="right"/>
              <w:rPr>
                <w:rFonts w:ascii="Calibri" w:eastAsiaTheme="minorHAnsi" w:hAnsi="Calibri"/>
              </w:rPr>
            </w:pPr>
            <w:r w:rsidRPr="00EE0C8C">
              <w:rPr>
                <w:rFonts w:ascii="Calibri" w:eastAsiaTheme="minorHAnsi" w:hAnsi="Calibri"/>
              </w:rPr>
              <w:t>12</w:t>
            </w:r>
          </w:p>
        </w:tc>
      </w:tr>
      <w:tr w:rsidR="00EE0C8C" w:rsidRPr="00EE0C8C" w:rsidTr="00A76BDB">
        <w:trPr>
          <w:jc w:val="center"/>
        </w:trPr>
        <w:tc>
          <w:tcPr>
            <w:tcW w:w="1673" w:type="dxa"/>
          </w:tcPr>
          <w:p w:rsidR="00EE0C8C" w:rsidRPr="00EE0C8C" w:rsidRDefault="00EE0C8C" w:rsidP="00EE0C8C">
            <w:pPr>
              <w:tabs>
                <w:tab w:val="center" w:pos="4536"/>
                <w:tab w:val="right" w:pos="9072"/>
              </w:tabs>
              <w:jc w:val="both"/>
              <w:rPr>
                <w:rFonts w:ascii="Calibri" w:eastAsiaTheme="minorHAnsi" w:hAnsi="Calibri"/>
              </w:rPr>
            </w:pPr>
          </w:p>
        </w:tc>
        <w:tc>
          <w:tcPr>
            <w:tcW w:w="2087" w:type="dxa"/>
          </w:tcPr>
          <w:p w:rsidR="00EE0C8C" w:rsidRPr="00EE0C8C" w:rsidRDefault="00EE0C8C" w:rsidP="00EE0C8C">
            <w:pPr>
              <w:tabs>
                <w:tab w:val="center" w:pos="4536"/>
                <w:tab w:val="right" w:pos="9072"/>
              </w:tabs>
              <w:jc w:val="both"/>
              <w:rPr>
                <w:rFonts w:ascii="Calibri" w:eastAsiaTheme="minorHAnsi" w:hAnsi="Calibri"/>
              </w:rPr>
            </w:pPr>
          </w:p>
        </w:tc>
        <w:tc>
          <w:tcPr>
            <w:tcW w:w="1820" w:type="dxa"/>
          </w:tcPr>
          <w:p w:rsidR="00EE0C8C" w:rsidRPr="00EE0C8C" w:rsidRDefault="00EE0C8C" w:rsidP="00EE0C8C">
            <w:pPr>
              <w:tabs>
                <w:tab w:val="center" w:pos="4536"/>
                <w:tab w:val="right" w:pos="9072"/>
              </w:tabs>
              <w:jc w:val="right"/>
              <w:rPr>
                <w:rFonts w:ascii="Calibri" w:eastAsiaTheme="minorHAnsi" w:hAnsi="Calibri"/>
              </w:rPr>
            </w:pPr>
          </w:p>
        </w:tc>
        <w:tc>
          <w:tcPr>
            <w:tcW w:w="1854" w:type="dxa"/>
            <w:shd w:val="clear" w:color="auto" w:fill="DAEEF3" w:themeFill="accent5" w:themeFillTint="33"/>
          </w:tcPr>
          <w:p w:rsidR="00EE0C8C" w:rsidRPr="00EE0C8C" w:rsidRDefault="00EE0C8C" w:rsidP="00EE0C8C">
            <w:pPr>
              <w:tabs>
                <w:tab w:val="center" w:pos="4536"/>
                <w:tab w:val="right" w:pos="9072"/>
              </w:tabs>
              <w:jc w:val="both"/>
              <w:rPr>
                <w:rFonts w:ascii="Calibri" w:eastAsiaTheme="minorHAnsi" w:hAnsi="Calibri"/>
              </w:rPr>
            </w:pPr>
            <w:r w:rsidRPr="00EE0C8C">
              <w:rPr>
                <w:rFonts w:ascii="Calibri" w:eastAsiaTheme="minorHAnsi" w:hAnsi="Calibri"/>
              </w:rPr>
              <w:t>Inne</w:t>
            </w:r>
          </w:p>
        </w:tc>
        <w:tc>
          <w:tcPr>
            <w:tcW w:w="1854" w:type="dxa"/>
            <w:shd w:val="clear" w:color="auto" w:fill="DAEEF3" w:themeFill="accent5" w:themeFillTint="33"/>
          </w:tcPr>
          <w:p w:rsidR="00EE0C8C" w:rsidRPr="00EE0C8C" w:rsidRDefault="00EE0C8C" w:rsidP="00EE0C8C">
            <w:pPr>
              <w:tabs>
                <w:tab w:val="center" w:pos="4536"/>
                <w:tab w:val="right" w:pos="9072"/>
              </w:tabs>
              <w:jc w:val="right"/>
              <w:rPr>
                <w:rFonts w:ascii="Calibri" w:eastAsiaTheme="minorHAnsi" w:hAnsi="Calibri"/>
              </w:rPr>
            </w:pPr>
            <w:r w:rsidRPr="00EE0C8C">
              <w:rPr>
                <w:rFonts w:ascii="Calibri" w:eastAsiaTheme="minorHAnsi" w:hAnsi="Calibri"/>
              </w:rPr>
              <w:t>7</w:t>
            </w:r>
          </w:p>
        </w:tc>
      </w:tr>
      <w:tr w:rsidR="00EE0C8C" w:rsidRPr="00EE0C8C" w:rsidTr="00A76BDB">
        <w:trPr>
          <w:jc w:val="center"/>
        </w:trPr>
        <w:tc>
          <w:tcPr>
            <w:tcW w:w="9288" w:type="dxa"/>
            <w:gridSpan w:val="5"/>
            <w:shd w:val="clear" w:color="auto" w:fill="FDE9D9" w:themeFill="accent6" w:themeFillTint="33"/>
          </w:tcPr>
          <w:p w:rsidR="00EE0C8C" w:rsidRPr="00EE0C8C" w:rsidRDefault="00EE0C8C" w:rsidP="00EE0C8C">
            <w:pPr>
              <w:tabs>
                <w:tab w:val="center" w:pos="4536"/>
                <w:tab w:val="right" w:pos="9072"/>
              </w:tabs>
              <w:jc w:val="center"/>
              <w:rPr>
                <w:rFonts w:ascii="Calibri" w:eastAsiaTheme="minorHAnsi" w:hAnsi="Calibri"/>
              </w:rPr>
            </w:pPr>
            <w:r w:rsidRPr="00EE0C8C">
              <w:rPr>
                <w:rFonts w:ascii="Calibri" w:eastAsiaTheme="minorHAnsi" w:hAnsi="Calibri"/>
              </w:rPr>
              <w:t>Brak: Stolarstwo, ślusarstwo, transport, murarstwo, ubezpieczenia i doradztwo finansowe</w:t>
            </w:r>
          </w:p>
        </w:tc>
      </w:tr>
    </w:tbl>
    <w:p w:rsidR="00EE0C8C" w:rsidRPr="00EE0C8C" w:rsidRDefault="00EE0C8C" w:rsidP="00EE0C8C">
      <w:pPr>
        <w:jc w:val="center"/>
        <w:rPr>
          <w:rFonts w:ascii="Calibri" w:eastAsia="Times New Roman" w:hAnsi="Calibri" w:cs="Times New Roman"/>
          <w:lang w:eastAsia="pl-PL"/>
        </w:rPr>
      </w:pPr>
      <w:r w:rsidRPr="00EE0C8C">
        <w:rPr>
          <w:rFonts w:ascii="Calibri" w:eastAsia="Times New Roman" w:hAnsi="Calibri" w:cs="Times New Roman"/>
          <w:lang w:eastAsia="pl-PL"/>
        </w:rPr>
        <w:t>(Źródło: Urząd Gminy w Mircu)</w:t>
      </w:r>
    </w:p>
    <w:p w:rsidR="00EE0C8C" w:rsidRPr="00EE0C8C" w:rsidRDefault="00EE0C8C" w:rsidP="00EE0C8C">
      <w:pPr>
        <w:spacing w:after="0"/>
        <w:jc w:val="both"/>
        <w:rPr>
          <w:rFonts w:ascii="Calibri" w:eastAsia="Times New Roman" w:hAnsi="Calibri" w:cs="Times New Roman"/>
          <w:lang w:eastAsia="pl-PL"/>
        </w:rPr>
      </w:pPr>
    </w:p>
    <w:p w:rsidR="00EE0C8C" w:rsidRPr="00EE0C8C" w:rsidRDefault="00EE0C8C" w:rsidP="00EE0C8C">
      <w:pPr>
        <w:spacing w:after="0"/>
        <w:jc w:val="both"/>
        <w:rPr>
          <w:rFonts w:ascii="Calibri" w:eastAsia="Times New Roman" w:hAnsi="Calibri" w:cs="Times New Roman"/>
          <w:lang w:eastAsia="pl-PL"/>
        </w:rPr>
      </w:pPr>
      <w:r w:rsidRPr="00EE0C8C">
        <w:rPr>
          <w:rFonts w:ascii="Calibri" w:eastAsia="Times New Roman" w:hAnsi="Calibri" w:cs="Times New Roman"/>
          <w:lang w:eastAsia="pl-PL"/>
        </w:rPr>
        <w:t>Obszar rewitalizacji posiada charakter centro twórczy. Niestety obszar centrum Mirca – strategiczny dla rozwoju  gminy jest  w stanie specyficznie  kryzysowym.  Wprawdzie posiada potencjał i zasoby ( kapitał , praca)  ale nie  są one  wykorzystywane  w sposób wystarczający do potrzeb. W aspekcie społecznym bolączką jest bezrobocie, ubóstwo, wandalizm, niż demograficzny brak oferty zagospodarowania czasu wolnego, niewystarczający poziom uczestnictwa w życiu publicznym. W materii gospodarczej lokalne podmioty są niedoinwestowane bez  technologii, zaś sektor handlu i usług wymaga doinwestowania( rozbudowa infrastruktury towarzyszącej np. w  miejsca integracji ), albo stworzenia nowej oferty (targowisko). W zakresie środowiska  naturalnego obszar centrum Mirca cechuje zanieczyszczenie pewnych części terenów i degradacja obiektów oraz  obszarów gminnych. W aspekcie przestrzenno- funkcjonalnym obszar stolicy gminy wyróżnia się  słabym wyposażeniem  w infrastrukturę techniczną, społeczną i prozdrowotną( gimnastyka korekcyjna) oraz  co jest piętą achillesową stolicy gminy – brak dostępu do podstawowych usług(  rekreacja,) albo ich niska jakość (turystyka, wypoczynek, zdrowie, edukacja, kultura) , niezadowalający poziom obsługi komunikacyjnej( brak połączeń); deficyt i niska jakość terenów publicznych ( szczególnie za Dworkiem Modrzewiowym w obszarze parku podworskiego i nieczynnego boiska piłkarskiego w kierunku kompleksu Orlik).  Dysfunkcjonalny jest też brak zagospodarowania terenów publicznych w elementy małej architektury w tym alejki spacerowe, miejsca wypoczynku, biesiady itp. Mankamentem jest też degradacja substancji  mieszkaniowej  i budynków użyteczności publicznej (budynek szkoły podstawowej w Mircu z 1938r., budynek administracji gminy, zabytkowy kościół św. Leonarda w Mircu, budynek gminnej biblioteki publicznej, remiza OSP itp.) oraz słabe wykorzystanie rozwiązań w zakresie energooszczędności i ochrony środowiska. Słabą stroną tego obszaru jest też brak ładu przestrzennego co widać poprzez zdegradowany obszar przestrzeni publicznej centrum Mirca.</w:t>
      </w:r>
    </w:p>
    <w:p w:rsidR="00EE0C8C" w:rsidRPr="00EE0C8C" w:rsidRDefault="00EE0C8C" w:rsidP="00EE0C8C">
      <w:pPr>
        <w:spacing w:after="0"/>
        <w:jc w:val="both"/>
        <w:rPr>
          <w:rFonts w:ascii="Calibri" w:eastAsia="Times New Roman" w:hAnsi="Calibri" w:cs="Times New Roman"/>
          <w:lang w:eastAsia="pl-PL"/>
        </w:rPr>
      </w:pPr>
    </w:p>
    <w:p w:rsidR="00EE0C8C" w:rsidRPr="00EE0C8C" w:rsidRDefault="00EE0C8C" w:rsidP="00EE0C8C">
      <w:pPr>
        <w:spacing w:after="0"/>
        <w:jc w:val="both"/>
        <w:rPr>
          <w:rFonts w:ascii="Calibri" w:eastAsia="Times New Roman" w:hAnsi="Calibri" w:cs="Times New Roman"/>
          <w:lang w:eastAsia="pl-PL"/>
        </w:rPr>
      </w:pPr>
      <w:r w:rsidRPr="00EE0C8C">
        <w:rPr>
          <w:rFonts w:ascii="Calibri" w:eastAsia="Times New Roman" w:hAnsi="Calibri" w:cs="Times New Roman"/>
          <w:lang w:eastAsia="pl-PL"/>
        </w:rPr>
        <w:t xml:space="preserve">Cały obszar rewitalizacji jest skorodowany, z niską jakością i dostępem do usług publicznych, zanika charakter centro twórczy, niektóre obszary są dysfunkcjonalne i nieestetyczne , natomiast użyteczność niektórych obiektów nie spełnia oczekiwań mieszkańców. Uwidaczniane są deficyty w dostępie do dziennej i całodobowej opieki pielęgnacyjnej i rehabilitacyjnej z uwagi na zwiększoną liczbę osób w wieku poprodukcyjnym ( proces starzenia się społeczeństwa i brak kompleksowego wsparcia geriatrycznego) .   Zarówno młodzież , osoby w wieku produkcyjnym jak i seniorzy nie mają dostatecznie dobrej oferty spędzenia czasu wolnego. </w:t>
      </w:r>
    </w:p>
    <w:p w:rsidR="00EE0C8C" w:rsidRPr="00EE0C8C" w:rsidRDefault="00EE0C8C" w:rsidP="00EE0C8C">
      <w:pPr>
        <w:jc w:val="both"/>
        <w:rPr>
          <w:rFonts w:ascii="Calibri" w:eastAsia="Times New Roman" w:hAnsi="Calibri" w:cs="Times New Roman"/>
          <w:bCs/>
          <w:lang w:eastAsia="pl-PL"/>
        </w:rPr>
      </w:pPr>
      <w:r w:rsidRPr="00EE0C8C">
        <w:rPr>
          <w:rFonts w:ascii="Calibri" w:eastAsia="Times New Roman" w:hAnsi="Calibri" w:cs="Times New Roman"/>
          <w:b/>
          <w:lang w:eastAsia="pl-PL"/>
        </w:rPr>
        <w:t xml:space="preserve">Wobec niniejszego obszar centrum Mirca obejmujący sołectwo Mirzec I oraz  Mirzec II z wyłączeniem obszarów leśnych zaliczono do obszaru rewitalizacji . </w:t>
      </w:r>
      <w:r w:rsidRPr="00EE0C8C">
        <w:rPr>
          <w:rFonts w:ascii="Calibri" w:eastAsia="Times New Roman" w:hAnsi="Calibri" w:cs="Times New Roman"/>
          <w:bCs/>
          <w:lang w:eastAsia="pl-PL"/>
        </w:rPr>
        <w:t>Wielkość obszaru rewitalizacji wynosi ok. 1487,1 ha ( ok. 13,51 % powierzchni całkowitej gminy) , który zamieszkuje ponad 2162 mieszkańców (ok. 25,67 % wszystkich mieszkańców gminy).</w:t>
      </w:r>
    </w:p>
    <w:p w:rsidR="00EE0C8C" w:rsidRPr="00EE0C8C" w:rsidRDefault="00EE0C8C" w:rsidP="00EE0C8C">
      <w:pPr>
        <w:jc w:val="both"/>
        <w:rPr>
          <w:rFonts w:ascii="Calibri" w:eastAsia="Times New Roman" w:hAnsi="Calibri" w:cs="Times New Roman"/>
          <w:bCs/>
          <w:lang w:eastAsia="pl-PL"/>
        </w:rPr>
      </w:pPr>
    </w:p>
    <w:p w:rsidR="00EE0C8C" w:rsidRPr="00EE0C8C" w:rsidRDefault="00EE0C8C" w:rsidP="00EE0C8C">
      <w:pPr>
        <w:rPr>
          <w:rFonts w:ascii="Calibri" w:eastAsia="Times New Roman" w:hAnsi="Calibri" w:cs="Times New Roman"/>
          <w:b/>
          <w:sz w:val="18"/>
          <w:szCs w:val="18"/>
          <w:lang w:eastAsia="pl-PL"/>
        </w:rPr>
      </w:pPr>
      <w:r w:rsidRPr="00EE0C8C">
        <w:rPr>
          <w:rFonts w:ascii="Calibri" w:eastAsia="Times New Roman" w:hAnsi="Calibri" w:cs="Times New Roman"/>
          <w:i/>
          <w:lang w:eastAsia="pl-PL"/>
        </w:rPr>
        <w:t>Mapa pomocnicza dotycząca wyznaczenia obszaru zdegradowanego i obszaru rewitalizacji gminy Mirzec.</w:t>
      </w:r>
    </w:p>
    <w:p w:rsidR="00EE0C8C" w:rsidRPr="00EE0C8C" w:rsidRDefault="00EE0C8C" w:rsidP="00EE0C8C">
      <w:pPr>
        <w:spacing w:after="0"/>
        <w:rPr>
          <w:rFonts w:ascii="Calibri" w:eastAsia="Times New Roman" w:hAnsi="Calibri" w:cs="Times New Roman"/>
          <w:b/>
          <w:sz w:val="18"/>
          <w:szCs w:val="18"/>
          <w:lang w:eastAsia="pl-PL"/>
        </w:rPr>
      </w:pPr>
    </w:p>
    <w:p w:rsidR="00EE0C8C" w:rsidRPr="00EE0C8C" w:rsidRDefault="00EE0C8C" w:rsidP="00EE0C8C">
      <w:pPr>
        <w:spacing w:after="0"/>
        <w:rPr>
          <w:rFonts w:ascii="Calibri" w:eastAsia="Times New Roman" w:hAnsi="Calibri" w:cs="Times New Roman"/>
          <w:b/>
          <w:sz w:val="18"/>
          <w:szCs w:val="18"/>
          <w:lang w:eastAsia="pl-PL"/>
        </w:rPr>
      </w:pPr>
    </w:p>
    <w:p w:rsidR="00EE0C8C" w:rsidRPr="00EE0C8C" w:rsidRDefault="00EE0C8C" w:rsidP="00EE0C8C">
      <w:pPr>
        <w:spacing w:after="0"/>
        <w:rPr>
          <w:rFonts w:ascii="Calibri" w:eastAsia="Times New Roman" w:hAnsi="Calibri" w:cs="Times New Roman"/>
          <w:b/>
          <w:sz w:val="18"/>
          <w:szCs w:val="18"/>
          <w:lang w:eastAsia="pl-PL"/>
        </w:rPr>
      </w:pPr>
    </w:p>
    <w:p w:rsidR="00EE0C8C" w:rsidRPr="00EE0C8C" w:rsidRDefault="00EE0C8C" w:rsidP="00EE0C8C">
      <w:pPr>
        <w:spacing w:after="0"/>
        <w:rPr>
          <w:rFonts w:ascii="Calibri" w:eastAsia="Times New Roman" w:hAnsi="Calibri" w:cs="Times New Roman"/>
          <w:i/>
          <w:sz w:val="18"/>
          <w:szCs w:val="18"/>
          <w:lang w:eastAsia="pl-PL"/>
        </w:rPr>
      </w:pPr>
    </w:p>
    <w:p w:rsidR="00EE0C8C" w:rsidRPr="00EE0C8C" w:rsidRDefault="00EE0C8C" w:rsidP="00EE0C8C">
      <w:pPr>
        <w:keepNext/>
        <w:keepLines/>
        <w:spacing w:before="200" w:after="0"/>
        <w:outlineLvl w:val="2"/>
        <w:rPr>
          <w:rFonts w:ascii="Cambria" w:eastAsia="Times New Roman" w:hAnsi="Cambria" w:cs="Times New Roman"/>
          <w:b/>
          <w:bCs/>
          <w:color w:val="4F81BD"/>
          <w:sz w:val="26"/>
          <w:szCs w:val="26"/>
          <w:lang w:eastAsia="pl-PL"/>
        </w:rPr>
        <w:sectPr w:rsidR="00EE0C8C" w:rsidRPr="00EE0C8C" w:rsidSect="00A76BDB">
          <w:pgSz w:w="11906" w:h="16838"/>
          <w:pgMar w:top="1417" w:right="1417" w:bottom="1417" w:left="1417" w:header="708" w:footer="708" w:gutter="0"/>
          <w:cols w:space="708"/>
          <w:docGrid w:linePitch="360"/>
        </w:sectPr>
      </w:pPr>
      <w:bookmarkStart w:id="109" w:name="_Toc439157966"/>
    </w:p>
    <w:bookmarkEnd w:id="109"/>
    <w:p w:rsidR="00EE0C8C" w:rsidRPr="00EE0C8C" w:rsidRDefault="00EE0C8C" w:rsidP="00EE0C8C">
      <w:pPr>
        <w:rPr>
          <w:rFonts w:ascii="Calibri" w:eastAsia="Times New Roman" w:hAnsi="Calibri" w:cs="Times New Roman"/>
          <w:lang w:eastAsia="pl-PL"/>
        </w:rPr>
      </w:pPr>
      <w:r w:rsidRPr="00EE0C8C">
        <w:rPr>
          <w:rFonts w:ascii="Calibri" w:eastAsia="Times New Roman" w:hAnsi="Calibri" w:cs="Times New Roman"/>
          <w:noProof/>
          <w:lang w:eastAsia="pl-PL"/>
        </w:rPr>
        <w:lastRenderedPageBreak/>
        <w:drawing>
          <wp:anchor distT="0" distB="0" distL="114300" distR="114300" simplePos="0" relativeHeight="251670528" behindDoc="0" locked="0" layoutInCell="1" allowOverlap="1" wp14:anchorId="47D36DB1" wp14:editId="15240967">
            <wp:simplePos x="0" y="0"/>
            <wp:positionH relativeFrom="margin">
              <wp:posOffset>-2540000</wp:posOffset>
            </wp:positionH>
            <wp:positionV relativeFrom="margin">
              <wp:posOffset>408940</wp:posOffset>
            </wp:positionV>
            <wp:extent cx="10908665" cy="7583805"/>
            <wp:effectExtent l="5080" t="0" r="0" b="0"/>
            <wp:wrapSquare wrapText="bothSides"/>
            <wp:docPr id="37" name="Obraz 1" descr="E:\Zespół ds Konsultacji\Mapy 18.02.2016\Mapa 1-50000 18.02.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Zespół ds Konsultacji\Mapy 18.02.2016\Mapa 1-50000 18.02.2016.JPG"/>
                    <pic:cNvPicPr>
                      <a:picLocks noChangeAspect="1" noChangeArrowheads="1"/>
                    </pic:cNvPicPr>
                  </pic:nvPicPr>
                  <pic:blipFill>
                    <a:blip r:embed="rId50" cstate="print"/>
                    <a:srcRect/>
                    <a:stretch>
                      <a:fillRect/>
                    </a:stretch>
                  </pic:blipFill>
                  <pic:spPr bwMode="auto">
                    <a:xfrm rot="16200000">
                      <a:off x="0" y="0"/>
                      <a:ext cx="10908665" cy="7583805"/>
                    </a:xfrm>
                    <a:prstGeom prst="rect">
                      <a:avLst/>
                    </a:prstGeom>
                    <a:noFill/>
                    <a:ln w="9525">
                      <a:noFill/>
                      <a:miter lim="800000"/>
                      <a:headEnd/>
                      <a:tailEnd/>
                    </a:ln>
                  </pic:spPr>
                </pic:pic>
              </a:graphicData>
            </a:graphic>
          </wp:anchor>
        </w:drawing>
      </w:r>
    </w:p>
    <w:p w:rsidR="00EE0C8C" w:rsidRPr="00EE0C8C" w:rsidRDefault="00EE0C8C" w:rsidP="00EE0C8C">
      <w:pPr>
        <w:jc w:val="both"/>
        <w:rPr>
          <w:rFonts w:ascii="Calibri" w:eastAsia="Times New Roman" w:hAnsi="Calibri" w:cs="Times New Roman"/>
          <w:lang w:eastAsia="pl-PL"/>
        </w:rPr>
      </w:pPr>
    </w:p>
    <w:p w:rsidR="00EE0C8C" w:rsidRPr="00EE0C8C" w:rsidRDefault="00EE0C8C" w:rsidP="00EE0C8C">
      <w:pPr>
        <w:jc w:val="both"/>
        <w:rPr>
          <w:rFonts w:ascii="Calibri" w:eastAsia="Times New Roman" w:hAnsi="Calibri" w:cs="Times New Roman"/>
          <w:lang w:eastAsia="pl-PL"/>
        </w:rPr>
      </w:pPr>
      <w:r w:rsidRPr="00EE0C8C">
        <w:rPr>
          <w:rFonts w:ascii="Calibri" w:eastAsia="Times New Roman" w:hAnsi="Calibri" w:cs="Times New Roman"/>
          <w:lang w:eastAsia="pl-PL"/>
        </w:rPr>
        <w:t xml:space="preserve">Mapa  głównych obszarów problemowych  w Plan zagospodarowania przestrzennego województwa świętokrzyskiego( 42) ze str. 199 ; </w:t>
      </w:r>
    </w:p>
    <w:p w:rsidR="00EE0C8C" w:rsidRPr="00EE0C8C" w:rsidRDefault="00EE0C8C" w:rsidP="00A76BDB">
      <w:pPr>
        <w:pStyle w:val="Nagwek2"/>
        <w:rPr>
          <w:lang w:eastAsia="pl-PL"/>
        </w:rPr>
      </w:pPr>
      <w:bookmarkStart w:id="110" w:name="_Toc447110780"/>
      <w:bookmarkStart w:id="111" w:name="_Toc450562515"/>
      <w:r w:rsidRPr="00EE0C8C">
        <w:rPr>
          <w:noProof/>
          <w:lang w:eastAsia="pl-PL"/>
        </w:rPr>
        <w:lastRenderedPageBreak/>
        <w:drawing>
          <wp:anchor distT="0" distB="0" distL="114300" distR="114300" simplePos="0" relativeHeight="251669504" behindDoc="0" locked="0" layoutInCell="1" allowOverlap="1" wp14:anchorId="22896FB0" wp14:editId="0D8E806B">
            <wp:simplePos x="0" y="0"/>
            <wp:positionH relativeFrom="margin">
              <wp:posOffset>-2475230</wp:posOffset>
            </wp:positionH>
            <wp:positionV relativeFrom="margin">
              <wp:posOffset>499110</wp:posOffset>
            </wp:positionV>
            <wp:extent cx="10718165" cy="7567295"/>
            <wp:effectExtent l="0" t="5715" r="1270" b="1270"/>
            <wp:wrapSquare wrapText="bothSides"/>
            <wp:docPr id="3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srcRect/>
                    <a:stretch>
                      <a:fillRect/>
                    </a:stretch>
                  </pic:blipFill>
                  <pic:spPr bwMode="auto">
                    <a:xfrm rot="5400000" flipH="1" flipV="1">
                      <a:off x="0" y="0"/>
                      <a:ext cx="10718165" cy="7567295"/>
                    </a:xfrm>
                    <a:prstGeom prst="rect">
                      <a:avLst/>
                    </a:prstGeom>
                    <a:noFill/>
                    <a:ln w="9525">
                      <a:noFill/>
                      <a:miter lim="800000"/>
                      <a:headEnd/>
                      <a:tailEnd/>
                    </a:ln>
                  </pic:spPr>
                </pic:pic>
              </a:graphicData>
            </a:graphic>
          </wp:anchor>
        </w:drawing>
      </w:r>
      <w:bookmarkEnd w:id="110"/>
      <w:bookmarkEnd w:id="111"/>
    </w:p>
    <w:p w:rsidR="00EE0C8C" w:rsidRPr="00B1561B" w:rsidRDefault="00EE0C8C" w:rsidP="00B1561B">
      <w:pPr>
        <w:pStyle w:val="Nagwek2"/>
      </w:pPr>
      <w:bookmarkStart w:id="112" w:name="_Toc450562516"/>
      <w:r w:rsidRPr="00B1561B">
        <w:t>5.7. OPIS OBSZARÓW KRYZYSOWYCH WRAZ Z UZASADNIENIEM WYBORU.</w:t>
      </w:r>
      <w:bookmarkEnd w:id="112"/>
    </w:p>
    <w:p w:rsidR="00A76BDB" w:rsidRPr="00A76BDB" w:rsidRDefault="00A76BDB" w:rsidP="00A76BDB"/>
    <w:p w:rsidR="00EE0C8C" w:rsidRPr="00EE0C8C" w:rsidRDefault="00EE0C8C" w:rsidP="00EE0C8C">
      <w:pPr>
        <w:contextualSpacing/>
        <w:jc w:val="both"/>
      </w:pPr>
      <w:r w:rsidRPr="00EE0C8C">
        <w:lastRenderedPageBreak/>
        <w:t>Na terenie miejscowości Mirzec w wyniku przeprowadzonej delimitacji został określony obszar kryzysowy cechujący się koncentracją negatywnych zjawisk, wśród których wymienić należy:</w:t>
      </w:r>
    </w:p>
    <w:p w:rsidR="00EE0C8C" w:rsidRPr="00EE0C8C" w:rsidRDefault="00EE0C8C" w:rsidP="00EE0C8C">
      <w:pPr>
        <w:ind w:firstLine="1134"/>
        <w:contextualSpacing/>
      </w:pPr>
      <w:r w:rsidRPr="00EE0C8C">
        <w:t>•</w:t>
      </w:r>
      <w:r w:rsidRPr="00EE0C8C">
        <w:tab/>
        <w:t>zły stan dróg na obszarze rewitalizowanym,</w:t>
      </w:r>
    </w:p>
    <w:p w:rsidR="00EE0C8C" w:rsidRPr="00EE0C8C" w:rsidRDefault="00EE0C8C" w:rsidP="00EE0C8C">
      <w:pPr>
        <w:ind w:firstLine="1134"/>
        <w:contextualSpacing/>
      </w:pPr>
      <w:r w:rsidRPr="00EE0C8C">
        <w:t>•</w:t>
      </w:r>
      <w:r w:rsidRPr="00EE0C8C">
        <w:tab/>
        <w:t>mała liczba miejsc parkingowych na obszarze rewitalizowanym,</w:t>
      </w:r>
    </w:p>
    <w:p w:rsidR="00EE0C8C" w:rsidRPr="00EE0C8C" w:rsidRDefault="00EE0C8C" w:rsidP="00EE0C8C">
      <w:pPr>
        <w:ind w:firstLine="1134"/>
        <w:contextualSpacing/>
      </w:pPr>
      <w:r w:rsidRPr="00EE0C8C">
        <w:t>•</w:t>
      </w:r>
      <w:r w:rsidRPr="00EE0C8C">
        <w:tab/>
        <w:t>degradacja stanu technicznego obiektów użyteczności publicznej,</w:t>
      </w:r>
    </w:p>
    <w:p w:rsidR="00EE0C8C" w:rsidRPr="00EE0C8C" w:rsidRDefault="00EE0C8C" w:rsidP="00EE0C8C">
      <w:pPr>
        <w:ind w:firstLine="1134"/>
        <w:contextualSpacing/>
      </w:pPr>
      <w:r w:rsidRPr="00EE0C8C">
        <w:t>•</w:t>
      </w:r>
      <w:r w:rsidRPr="00EE0C8C">
        <w:tab/>
        <w:t>mała ilość infrastruktury kulturalnej – problem spędzania wolnego czasu przez mieszkańców, turystów,</w:t>
      </w:r>
    </w:p>
    <w:p w:rsidR="00EE0C8C" w:rsidRPr="00EE0C8C" w:rsidRDefault="00EE0C8C" w:rsidP="00EE0C8C">
      <w:pPr>
        <w:ind w:firstLine="1134"/>
        <w:contextualSpacing/>
      </w:pPr>
      <w:r w:rsidRPr="00EE0C8C">
        <w:t>•</w:t>
      </w:r>
      <w:r w:rsidRPr="00EE0C8C">
        <w:tab/>
        <w:t>mała liczba miejsc na obszarze rewitalizowanym pełniącym funkcje integracyjne dla mieszkańców,</w:t>
      </w:r>
    </w:p>
    <w:p w:rsidR="00EE0C8C" w:rsidRPr="00EE0C8C" w:rsidRDefault="00EE0C8C" w:rsidP="00EE0C8C">
      <w:pPr>
        <w:ind w:firstLine="1134"/>
        <w:contextualSpacing/>
      </w:pPr>
      <w:r w:rsidRPr="00EE0C8C">
        <w:t>•</w:t>
      </w:r>
      <w:r w:rsidRPr="00EE0C8C">
        <w:tab/>
        <w:t>mała ilość infrastruktury turystycznej na obszarze rewitalizowanym, co hamuje rozwój tego sektora,</w:t>
      </w:r>
    </w:p>
    <w:p w:rsidR="00EE0C8C" w:rsidRPr="00EE0C8C" w:rsidRDefault="00EE0C8C" w:rsidP="00EE0C8C">
      <w:pPr>
        <w:ind w:firstLine="1134"/>
        <w:contextualSpacing/>
        <w:jc w:val="both"/>
      </w:pPr>
      <w:r w:rsidRPr="00EE0C8C">
        <w:t>•</w:t>
      </w:r>
      <w:r w:rsidRPr="00EE0C8C">
        <w:tab/>
        <w:t>mała ilość infrastruktury rekreacyjnej lub jej zły stan na obszarze rewitalizowanym – niemożność rozwoju sektorów tzw. około-rekreacyjnych np. gastronomia, baza noclegowa,</w:t>
      </w:r>
    </w:p>
    <w:p w:rsidR="00EE0C8C" w:rsidRPr="00EE0C8C" w:rsidRDefault="00EE0C8C" w:rsidP="00EE0C8C">
      <w:pPr>
        <w:ind w:firstLine="1134"/>
        <w:contextualSpacing/>
      </w:pPr>
      <w:r w:rsidRPr="00EE0C8C">
        <w:t>•</w:t>
      </w:r>
      <w:r w:rsidRPr="00EE0C8C">
        <w:tab/>
        <w:t>niedostateczna infrastruktura sportowa na obszarze rewitalizowanym,</w:t>
      </w:r>
    </w:p>
    <w:p w:rsidR="00EE0C8C" w:rsidRPr="00EE0C8C" w:rsidRDefault="00EE0C8C" w:rsidP="00EE0C8C">
      <w:pPr>
        <w:ind w:firstLine="1134"/>
        <w:contextualSpacing/>
      </w:pPr>
      <w:r w:rsidRPr="00EE0C8C">
        <w:t>•</w:t>
      </w:r>
      <w:r w:rsidRPr="00EE0C8C">
        <w:tab/>
        <w:t>rosnąca liczba osób bezrobotnych w wieku produkcyjnym,</w:t>
      </w:r>
    </w:p>
    <w:p w:rsidR="00EE0C8C" w:rsidRPr="00EE0C8C" w:rsidRDefault="00EE0C8C" w:rsidP="00EE0C8C">
      <w:pPr>
        <w:ind w:firstLine="1134"/>
        <w:contextualSpacing/>
      </w:pPr>
      <w:r w:rsidRPr="00EE0C8C">
        <w:t>•</w:t>
      </w:r>
      <w:r w:rsidRPr="00EE0C8C">
        <w:tab/>
        <w:t>mała liczba inwestorów, także z udziałem wkładu zagranicznego,</w:t>
      </w:r>
    </w:p>
    <w:p w:rsidR="00EE0C8C" w:rsidRPr="00EE0C8C" w:rsidRDefault="00EE0C8C" w:rsidP="00EE0C8C">
      <w:pPr>
        <w:ind w:firstLine="1134"/>
        <w:contextualSpacing/>
      </w:pPr>
      <w:r w:rsidRPr="00EE0C8C">
        <w:t>•</w:t>
      </w:r>
      <w:r w:rsidRPr="00EE0C8C">
        <w:tab/>
        <w:t>spadek liczby przedsiębiorstw na terenie Gminy,</w:t>
      </w:r>
    </w:p>
    <w:p w:rsidR="00EE0C8C" w:rsidRPr="00EE0C8C" w:rsidRDefault="00EE0C8C" w:rsidP="00EE0C8C">
      <w:pPr>
        <w:ind w:firstLine="1134"/>
        <w:contextualSpacing/>
        <w:jc w:val="both"/>
      </w:pPr>
      <w:r w:rsidRPr="00EE0C8C">
        <w:t>•</w:t>
      </w:r>
      <w:r w:rsidRPr="00EE0C8C">
        <w:tab/>
        <w:t>niedostateczny rozwój gospodarczy powodujący konieczność podejmowania pracy poza Gminą Mirzec i związane z tym negatywne zjawiska społeczne,</w:t>
      </w:r>
    </w:p>
    <w:p w:rsidR="00EE0C8C" w:rsidRPr="00EE0C8C" w:rsidRDefault="00EE0C8C" w:rsidP="00EE0C8C">
      <w:pPr>
        <w:ind w:firstLine="1134"/>
        <w:contextualSpacing/>
      </w:pPr>
      <w:r w:rsidRPr="00EE0C8C">
        <w:t>•</w:t>
      </w:r>
      <w:r w:rsidRPr="00EE0C8C">
        <w:tab/>
        <w:t>rosnące zagrożenie występowania patologii społecznych,</w:t>
      </w:r>
    </w:p>
    <w:p w:rsidR="00EE0C8C" w:rsidRPr="00EE0C8C" w:rsidRDefault="00EE0C8C" w:rsidP="00EE0C8C">
      <w:pPr>
        <w:ind w:firstLine="1134"/>
        <w:contextualSpacing/>
      </w:pPr>
      <w:r w:rsidRPr="00EE0C8C">
        <w:t>•</w:t>
      </w:r>
      <w:r w:rsidRPr="00EE0C8C">
        <w:tab/>
        <w:t>mała liczba działań skierowanych do osób młodych,</w:t>
      </w:r>
    </w:p>
    <w:p w:rsidR="00EE0C8C" w:rsidRPr="00EE0C8C" w:rsidRDefault="00EE0C8C" w:rsidP="00EE0C8C">
      <w:pPr>
        <w:ind w:firstLine="1134"/>
        <w:contextualSpacing/>
      </w:pPr>
      <w:r w:rsidRPr="00EE0C8C">
        <w:t>•</w:t>
      </w:r>
      <w:r w:rsidRPr="00EE0C8C">
        <w:tab/>
        <w:t>utrudniony dostęp do specjalistycznej opieki zdrowotnej,</w:t>
      </w:r>
    </w:p>
    <w:p w:rsidR="00EE0C8C" w:rsidRPr="00EE0C8C" w:rsidRDefault="00EE0C8C" w:rsidP="00EE0C8C">
      <w:pPr>
        <w:ind w:firstLine="1134"/>
        <w:contextualSpacing/>
        <w:jc w:val="both"/>
      </w:pPr>
      <w:r w:rsidRPr="00EE0C8C">
        <w:t>•</w:t>
      </w:r>
      <w:r w:rsidRPr="00EE0C8C">
        <w:tab/>
        <w:t>wzrost ilości zdiagnozowanych osób z wadami postawy a utrudniony dostęp do rehabilitacji.</w:t>
      </w:r>
    </w:p>
    <w:p w:rsidR="00EE0C8C" w:rsidRPr="00EE0C8C" w:rsidRDefault="00EE0C8C" w:rsidP="00EE0C8C">
      <w:pPr>
        <w:ind w:left="720" w:firstLine="1134"/>
        <w:contextualSpacing/>
      </w:pPr>
    </w:p>
    <w:p w:rsidR="00EE0C8C" w:rsidRPr="00EE0C8C" w:rsidRDefault="00EE0C8C" w:rsidP="00EE0C8C">
      <w:pPr>
        <w:contextualSpacing/>
        <w:jc w:val="both"/>
      </w:pPr>
      <w:r w:rsidRPr="00EE0C8C">
        <w:t>Wspólnymi cechami obszarów kryzysowych miejscowości Mirzec są między innymi: utrzymujące się długotrwałe bezrobocie, niskie dochody mieszkańców, w których część stanowi pomoc socjalna, niewystarczające wyposażenie w infrastrukturę dydaktyczną. Poza tym występuje niski poziom przedsiębiorczości, brak czynników wzrostu, a ludność zamieszkująca te tereny charakteryzuje się niedostosowaniem kwalifikacji do zmieniającego się rynku pracy. Infrastruktura techniczna znajdująca się na tych terenach, wymaga znacznych nakładów na modernizację ze względu na swój wiek i stopień zużycia. Problemy wymieniane powyżej wykazują potrzebę stworzenia kompleksowego podejścia do kwestii trwałej peryferyzacji obszarów i marginalizacji dużych grup mieszkańców zdegradowanych społecznie i ekonomicznie sołectw poprzez działania inspirujące rozwój nowych funkcji obszarów problemowych oraz przywrócenie terenom zdegradowanym utraconych funkcji społeczno-gospodarczych.</w:t>
      </w:r>
    </w:p>
    <w:p w:rsidR="00EE0C8C" w:rsidRPr="00EE0C8C" w:rsidRDefault="00EE0C8C" w:rsidP="00EE0C8C">
      <w:pPr>
        <w:contextualSpacing/>
        <w:jc w:val="both"/>
      </w:pPr>
    </w:p>
    <w:p w:rsidR="00EE0C8C" w:rsidRPr="00EE0C8C" w:rsidRDefault="00EE0C8C" w:rsidP="00EE0C8C">
      <w:pPr>
        <w:contextualSpacing/>
        <w:jc w:val="both"/>
      </w:pPr>
      <w:r w:rsidRPr="00EE0C8C">
        <w:t xml:space="preserve">Zasadniczym celem działań Programu Rewitalizacji jest ożywienie gospodarcze </w:t>
      </w:r>
      <w:r w:rsidRPr="00EE0C8C">
        <w:br/>
        <w:t xml:space="preserve">i społeczne, a także zwiększenie potencjału turystycznego i kulturalnego, w tym nadanie obiektom </w:t>
      </w:r>
      <w:r w:rsidRPr="00EE0C8C">
        <w:br/>
        <w:t xml:space="preserve">i terenom zdegradowanym nowych funkcji społeczno-gospodarczych poprzez: odnowę zdegradowanych obszarów przez zmianę dotychczasowych funkcji na gospodarcze, społeczne, edukacyjne, zdrowotne, rekreacyjne i turystyczne, a także powiązane z nimi  i przeprowadzane w tym samym czasie: rozwiązywanie problemów społecznych oraz podniesienie atrakcyjności inwestycyjnej terenów rewitalizowanych. Oznacza to, iż projekty realizowane w ramach Programów Rewitalizacji </w:t>
      </w:r>
      <w:r w:rsidRPr="00EE0C8C">
        <w:lastRenderedPageBreak/>
        <w:t>powinny przyczyniać się do tworzenia miejsc pracy oraz przeciwdziałania wykluczeniu społecznemu. Rewitalizacja to połączenie działań technicznych jak np. remonty z programami ożywienia gospodarczego i działaniem na rzecz rozwiązywania problemów społecznych, występujących na tym obszarze. Jest to kompleksowy, kilkuletni proces, który odnosi się do wybranych przez samorząd terytorialny obszarów podupadłych na terenie Gminy. Proces ten jest realizowany za pomocą zaplanowanych przez władze lokalne we współpracy z różnymi partnerami działań technicznych, gospodarczych i społecznych. Ze względu na wielość i częstotliwość występowania problemów społecznych w całej Gminie istotne jest, aby założenia Programu Rewitalizacji były systematycznie realizowane.</w:t>
      </w:r>
    </w:p>
    <w:p w:rsidR="00EE0C8C" w:rsidRPr="00EE0C8C" w:rsidRDefault="00EE0C8C" w:rsidP="00EE0C8C">
      <w:pPr>
        <w:contextualSpacing/>
        <w:jc w:val="both"/>
      </w:pPr>
    </w:p>
    <w:p w:rsidR="00EE0C8C" w:rsidRPr="00EE0C8C" w:rsidRDefault="00EE0C8C" w:rsidP="00EE0C8C">
      <w:pPr>
        <w:contextualSpacing/>
        <w:jc w:val="both"/>
      </w:pPr>
      <w:r w:rsidRPr="00EE0C8C">
        <w:t xml:space="preserve">W celu dokonania wyboru obszarów problemowych, na terenie których realizowany będzie  Program Rewitalizacji, przeanalizowano sytuację sołectw Gminy Mirzec poprzez badanie wskaźników i porównanie ich ze sobą. Analiza ta dotyczyła przede wszystkim zagrożeń, degradacji infrastruktury technicznej oraz problemów społecznych, świadczących o długotrwałej degradacji tych obszarów. Dlatego do wyznaczenia granic obszarów rewitalizacji zastosowano następujące kryteria: struktura demograficzna mieszkańców, poziom bezrobocia, poziom ubóstwa, poziom przestępczości, poziom przedsiębiorczości, poziom wykształcenia, poziom degradacji technicznej infrastruktury </w:t>
      </w:r>
      <w:r w:rsidRPr="00EE0C8C">
        <w:br/>
        <w:t xml:space="preserve">i budynków, stan środowiska naturalnego. Porównanie sytuacji w sołectwach w oparciu </w:t>
      </w:r>
      <w:r w:rsidRPr="00EE0C8C">
        <w:br/>
        <w:t xml:space="preserve">o wymienione kryteria wykazała, na jakich obszarach występuje najwięcej problemów i w jakim natężeniu. Na tej podstawie zostały wybrane obszary, na których wdrożony zostanie Gminny Program </w:t>
      </w:r>
      <w:r w:rsidR="00547550">
        <w:t>r</w:t>
      </w:r>
      <w:r w:rsidRPr="00EE0C8C">
        <w:t xml:space="preserve">ewitalizacji, czyli zestaw niezbędnych działań potrzebnych dla rozwoju przestrzennego </w:t>
      </w:r>
      <w:r w:rsidRPr="00EE0C8C">
        <w:br/>
        <w:t xml:space="preserve">i gospodarczego, oraz rozwiązywania występujących tam problemów społecznych, gospodarczych </w:t>
      </w:r>
      <w:r w:rsidRPr="00EE0C8C">
        <w:br/>
        <w:t>i przestrzennych.</w:t>
      </w:r>
      <w:bookmarkStart w:id="113" w:name="_Toc439157976"/>
    </w:p>
    <w:p w:rsidR="00EE0C8C" w:rsidRPr="00EE0C8C" w:rsidRDefault="00EE0C8C" w:rsidP="00A76BDB">
      <w:pPr>
        <w:pStyle w:val="Nagwek2"/>
      </w:pPr>
    </w:p>
    <w:p w:rsidR="00EE0C8C" w:rsidRPr="00EE0C8C" w:rsidRDefault="00EE0C8C" w:rsidP="00A76BDB">
      <w:pPr>
        <w:pStyle w:val="Nagwek2"/>
        <w:rPr>
          <w:rFonts w:asciiTheme="majorHAnsi" w:eastAsiaTheme="majorEastAsia" w:hAnsiTheme="majorHAnsi" w:cstheme="majorBidi"/>
          <w:color w:val="4F81BD" w:themeColor="accent1"/>
          <w:sz w:val="28"/>
          <w:szCs w:val="28"/>
        </w:rPr>
      </w:pPr>
      <w:bookmarkStart w:id="114" w:name="_Toc450562517"/>
      <w:r w:rsidRPr="00EE0C8C">
        <w:rPr>
          <w:rFonts w:asciiTheme="majorHAnsi" w:eastAsiaTheme="majorEastAsia" w:hAnsiTheme="majorHAnsi" w:cstheme="majorBidi"/>
          <w:color w:val="4F81BD" w:themeColor="accent1"/>
          <w:sz w:val="28"/>
          <w:szCs w:val="28"/>
        </w:rPr>
        <w:t>5.8 POZOSTAŁE RODZAJE PRZEDSIĘWZIĘĆ REWITALIZACYJNYCH REALIZUJĄCYCH KIERUNKI DZIAŁAŃ, MAJĄCYCH NA CELU ELIMINACJĘ LUB OGRANICZENIE NEGATYWNYCH ZJAWISK POWODUJĄCYCH SYTUACJĘ KRYZYSOWĄ</w:t>
      </w:r>
      <w:bookmarkEnd w:id="113"/>
      <w:bookmarkEnd w:id="114"/>
      <w:r w:rsidRPr="00EE0C8C">
        <w:rPr>
          <w:rFonts w:asciiTheme="majorHAnsi" w:eastAsiaTheme="majorEastAsia" w:hAnsiTheme="majorHAnsi" w:cstheme="majorBidi"/>
          <w:color w:val="4F81BD" w:themeColor="accent1"/>
          <w:sz w:val="28"/>
          <w:szCs w:val="28"/>
        </w:rPr>
        <w:t xml:space="preserve"> </w:t>
      </w:r>
    </w:p>
    <w:p w:rsidR="00EE0C8C" w:rsidRPr="00EE0C8C" w:rsidRDefault="00EE0C8C" w:rsidP="00EE0C8C"/>
    <w:p w:rsidR="00EE0C8C" w:rsidRPr="00EE0C8C" w:rsidRDefault="00EE0C8C" w:rsidP="004140DA">
      <w:pPr>
        <w:jc w:val="both"/>
      </w:pPr>
      <w:r w:rsidRPr="00EE0C8C">
        <w:t>Realizacje działań inwestycyjnych w polach interwencji objętych LPR winny służyć przede wszystkim poprawie jakości życia mieszkańców oraz ożywieniu gospodarczemu i społecznemu całej Gminy Mirzec.</w:t>
      </w:r>
    </w:p>
    <w:p w:rsidR="00EE0C8C" w:rsidRPr="00EE0C8C" w:rsidRDefault="00EE0C8C" w:rsidP="004140DA">
      <w:pPr>
        <w:jc w:val="both"/>
      </w:pPr>
      <w:r w:rsidRPr="00EE0C8C">
        <w:t>Projekty z zakresu rewitalizacji muszą być realizowane jako kompleksowe przedsięwzięcia dotyczące wszystkich aspektów wpływających na sytuację kryzysową rewitalizowanego obszaru. Dotyczy to w szczególności następujących działań:</w:t>
      </w:r>
    </w:p>
    <w:p w:rsidR="00EE0C8C" w:rsidRPr="00EE0C8C" w:rsidRDefault="00EE0C8C" w:rsidP="004140DA">
      <w:pPr>
        <w:jc w:val="both"/>
      </w:pPr>
      <w:r w:rsidRPr="00EE0C8C">
        <w:t xml:space="preserve">1. przebudowa, rozbudowa, modernizacja i adaptacja obiektów infrastrukturalnych </w:t>
      </w:r>
      <w:r w:rsidRPr="00EE0C8C">
        <w:br/>
        <w:t xml:space="preserve">z przeznaczeniem na cele społeczne, obejmujące: </w:t>
      </w:r>
    </w:p>
    <w:p w:rsidR="00EE0C8C" w:rsidRPr="00EE0C8C" w:rsidRDefault="00EE0C8C" w:rsidP="004140DA">
      <w:pPr>
        <w:jc w:val="both"/>
      </w:pPr>
      <w:r w:rsidRPr="00EE0C8C">
        <w:t xml:space="preserve">• placówki oferujące wsparcie dzienne dla dzieci i młodzieży (np. żłobki, przedszkola </w:t>
      </w:r>
      <w:r w:rsidRPr="00EE0C8C">
        <w:br/>
        <w:t xml:space="preserve">i inne formy wychowania przedszkolnego, szkoły, świetlice, w tym środowiskowe); </w:t>
      </w:r>
    </w:p>
    <w:p w:rsidR="00EE0C8C" w:rsidRPr="00EE0C8C" w:rsidRDefault="00EE0C8C" w:rsidP="004140DA">
      <w:pPr>
        <w:jc w:val="both"/>
      </w:pPr>
      <w:r w:rsidRPr="00EE0C8C">
        <w:lastRenderedPageBreak/>
        <w:t xml:space="preserve">• obiekty rekreacyjne (np. ścieżki zdrowia, place zabaw, boiska); </w:t>
      </w:r>
    </w:p>
    <w:p w:rsidR="00EE0C8C" w:rsidRPr="00EE0C8C" w:rsidRDefault="00EE0C8C" w:rsidP="004140DA">
      <w:pPr>
        <w:jc w:val="both"/>
      </w:pPr>
      <w:r w:rsidRPr="00EE0C8C">
        <w:t>• obiekty infrastruktury kulturalnej (maksymalna kwota kosztów kwalifikowanych projektu w zakresie kultury nie może przekroczyć 2 mln EUR);</w:t>
      </w:r>
    </w:p>
    <w:p w:rsidR="00EE0C8C" w:rsidRPr="00EE0C8C" w:rsidRDefault="00EE0C8C" w:rsidP="004140DA">
      <w:pPr>
        <w:jc w:val="both"/>
      </w:pPr>
      <w:r w:rsidRPr="00EE0C8C">
        <w:t xml:space="preserve">• obiekty, w których świadczone są usługi służące aktywizacji społecznej i zawodowej mieszkańców; </w:t>
      </w:r>
    </w:p>
    <w:p w:rsidR="00EE0C8C" w:rsidRPr="00EE0C8C" w:rsidRDefault="00EE0C8C" w:rsidP="004140DA">
      <w:pPr>
        <w:jc w:val="both"/>
      </w:pPr>
      <w:r w:rsidRPr="00EE0C8C">
        <w:t xml:space="preserve">• obiekty wielofunkcyjne, w których łączone są różne funkcje społeczne; </w:t>
      </w:r>
    </w:p>
    <w:p w:rsidR="00EE0C8C" w:rsidRPr="00EE0C8C" w:rsidRDefault="00EE0C8C" w:rsidP="004140DA">
      <w:pPr>
        <w:jc w:val="both"/>
      </w:pPr>
      <w:r w:rsidRPr="00EE0C8C">
        <w:t xml:space="preserve">2. działania prowadzące do ożywienia gospodarczego rewitalizowanych obszarów (np. zagospodarowanie przestrzeni na cele gospodarcze); </w:t>
      </w:r>
    </w:p>
    <w:p w:rsidR="00EE0C8C" w:rsidRPr="00EE0C8C" w:rsidRDefault="00EE0C8C" w:rsidP="004140DA">
      <w:pPr>
        <w:jc w:val="both"/>
      </w:pPr>
      <w:r w:rsidRPr="00EE0C8C">
        <w:t xml:space="preserve">3. zagospodarowanie (przebudowa, rozbudowa, modernizacja i adaptacja) przestrzeni na cele publiczne lub społeczne (np. place, skwery, parki); </w:t>
      </w:r>
    </w:p>
    <w:p w:rsidR="00EE0C8C" w:rsidRPr="00EE0C8C" w:rsidRDefault="00EE0C8C" w:rsidP="004140DA">
      <w:pPr>
        <w:jc w:val="both"/>
      </w:pPr>
      <w:r w:rsidRPr="00EE0C8C">
        <w:t>4. modernizacje, renowacje budynków użyteczności publicznej poprawiające ich estetykę zewnętrzną; przedsięwzięcia w ramach powyższego typu projektu, o ile przewidują modernizację energetyczną budynków, muszą mieć uzasadnienie w audycie energetycznym;</w:t>
      </w:r>
    </w:p>
    <w:p w:rsidR="00EE0C8C" w:rsidRPr="00EE0C8C" w:rsidRDefault="00EE0C8C" w:rsidP="004140DA">
      <w:pPr>
        <w:jc w:val="both"/>
      </w:pPr>
      <w:r w:rsidRPr="00EE0C8C">
        <w:t xml:space="preserve"> 5. modernizacje, renowacje części wspólnych wielorodzinnych budynków mieszkalnych, tj. odnowienie elementów strukturalnych budynku (dachy, fasady, okna i drzwi w fasadzie, klatki schodowe i korytarze, windy). Projekty z zakresu mieszkalnictwa w zakresie modernizacji energetycznej budynków muszą mieć uzasadnienie w audycie energetycznym. Jeżeli to wynika </w:t>
      </w:r>
      <w:r w:rsidRPr="00EE0C8C">
        <w:br/>
        <w:t>z audytu energetycznego – możliwa jest ingerencja w substancję budynku w szerszym zakresie niż przywołany powyżej.</w:t>
      </w:r>
    </w:p>
    <w:p w:rsidR="00EE0C8C" w:rsidRPr="00EE0C8C" w:rsidRDefault="00EE0C8C" w:rsidP="004140DA">
      <w:pPr>
        <w:jc w:val="both"/>
      </w:pPr>
      <w:r w:rsidRPr="00EE0C8C">
        <w:t xml:space="preserve">W ramach wskazanych powyżej typów projektów (wyłącznie jako element projektu) możliwa jest: </w:t>
      </w:r>
    </w:p>
    <w:p w:rsidR="00EE0C8C" w:rsidRPr="00EE0C8C" w:rsidRDefault="00EE0C8C" w:rsidP="004140DA">
      <w:pPr>
        <w:jc w:val="both"/>
      </w:pPr>
      <w:r w:rsidRPr="00EE0C8C">
        <w:t xml:space="preserve">• budowa, przebudowa, rozbudowa i modernizacja podstawowej infrastruktury komunalnej (np. sieci i urządzeń wodociągowych, kanalizacyjnych, gazowych, ciepłowniczych, elektrycznych, telekomunikacyjnych) na obszarze objętym projektem, w celu zapewnienia dostępu rewitalizowanym obiektom i terenom do podstawowych usług komunalnych – w wysokości nie więcej niż 50% kosztów kwalifikowalnych projektu; </w:t>
      </w:r>
    </w:p>
    <w:p w:rsidR="00EE0C8C" w:rsidRPr="00EE0C8C" w:rsidRDefault="00EE0C8C" w:rsidP="004140DA">
      <w:pPr>
        <w:jc w:val="both"/>
      </w:pPr>
      <w:r w:rsidRPr="00EE0C8C">
        <w:t>• budowa, przebudowa, rozbudowa i modernizacja infrastruktury drogowej poprawiającej dostępność do rewitalizowanych obiektów i terenów – w wysokości nie więcej niż 50% kosztów kwalifikowalnych projektu.</w:t>
      </w:r>
    </w:p>
    <w:p w:rsidR="00EE0C8C" w:rsidRPr="00EE0C8C" w:rsidRDefault="00EE0C8C" w:rsidP="004140DA">
      <w:pPr>
        <w:jc w:val="both"/>
      </w:pPr>
      <w:r w:rsidRPr="00EE0C8C">
        <w:t xml:space="preserve">Głównym celem podejmowanych działań będzie zmiana dotychczasowych funkcji </w:t>
      </w:r>
      <w:r w:rsidRPr="00EE0C8C">
        <w:br/>
        <w:t xml:space="preserve">i dostosowania terenu oraz znajdujących się tam obiektów do nowych potrzeb w zakresie usług, turystyki, rekreacji, kultury, zdrowia i oświaty. Realizacja pozostałych zamierzeń rewitalizacyjnych przyczyni się także do zmniejszenia dysproporcji występujących pomiędzy rozwojem wskazanego obszaru zdegradowanego Gminy Mirzec w odniesieniu do ośrodków o podobnym potencjale społeczno-gospodarczym w regionie. Pilną koniecznością staje się również rozwiązanie szeregu trudnych problemów społecznych. Zjawiska te związane są ze sferą ubóstwa, uzależnień, przestępczości, wykluczenia osób starszych i niepełnosprawnych. Działania zaplanowane na obszarze rewitalizowanym zorientowane są przede wszystkim na aktywizację społeczności lokalnej poprzez rozszerzenie pracy socjalnej, współpracę różnych instytucji i organizacji pozarządowych, zajmujących </w:t>
      </w:r>
      <w:r w:rsidRPr="00EE0C8C">
        <w:lastRenderedPageBreak/>
        <w:t xml:space="preserve">się działalnością społeczną w Gminie oraz instytucji działających w szerszym obszarze polityki społecznej, takich jak: kultura, oświata, służba zdrowia i bezpieczeństwo. Działania o charakterze społecznym polegać będą zatem na umocnieniu postaw aktywnych w sferze społecznej </w:t>
      </w:r>
      <w:r w:rsidRPr="00EE0C8C">
        <w:br/>
        <w:t xml:space="preserve">i indywidualnej, tworzeniu systemu wsparcia, poradnictwo m.in. prawne, pedagogiczne, terapię, wyspecjalizowaną pracę socjalną połączoną ze stymulowaniem postaw przedsiębiorczych </w:t>
      </w:r>
      <w:r w:rsidRPr="00EE0C8C">
        <w:br/>
        <w:t>i prospołecznych wśród lokalnej społeczności.</w:t>
      </w:r>
    </w:p>
    <w:p w:rsidR="00EE0C8C" w:rsidRPr="00EE0C8C" w:rsidRDefault="00EE0C8C" w:rsidP="00EE0C8C">
      <w:pPr>
        <w:rPr>
          <w:b/>
          <w:bCs/>
          <w:iCs/>
          <w:color w:val="4F81BD" w:themeColor="accent1"/>
          <w:sz w:val="28"/>
          <w:szCs w:val="28"/>
        </w:rPr>
      </w:pPr>
    </w:p>
    <w:p w:rsidR="00EE0C8C" w:rsidRPr="00EE0C8C" w:rsidRDefault="00EE0C8C" w:rsidP="00EE0C8C">
      <w:pPr>
        <w:jc w:val="both"/>
      </w:pPr>
    </w:p>
    <w:p w:rsidR="00EE0C8C" w:rsidRDefault="00EE0C8C" w:rsidP="00EE0C8C">
      <w:pPr>
        <w:rPr>
          <w:rFonts w:ascii="Calibri" w:eastAsia="Times New Roman" w:hAnsi="Calibri" w:cs="Times New Roman"/>
          <w:lang w:eastAsia="pl-PL"/>
        </w:rPr>
      </w:pPr>
    </w:p>
    <w:p w:rsidR="00EE0C8C" w:rsidRDefault="00EE0C8C" w:rsidP="00EE0C8C">
      <w:pPr>
        <w:rPr>
          <w:lang w:eastAsia="pl-PL"/>
        </w:rPr>
      </w:pPr>
      <w:r>
        <w:rPr>
          <w:lang w:eastAsia="pl-PL"/>
        </w:rPr>
        <w:br w:type="page"/>
      </w:r>
    </w:p>
    <w:p w:rsidR="0035770A" w:rsidRDefault="0035770A" w:rsidP="008903A4">
      <w:pPr>
        <w:pStyle w:val="Nagwek2"/>
        <w:rPr>
          <w:rFonts w:eastAsiaTheme="majorEastAsia"/>
          <w:sz w:val="56"/>
          <w:u w:val="single"/>
        </w:rPr>
        <w:sectPr w:rsidR="0035770A" w:rsidSect="00EE0C8C">
          <w:headerReference w:type="default" r:id="rId52"/>
          <w:footerReference w:type="default" r:id="rId53"/>
          <w:pgSz w:w="11906" w:h="16838"/>
          <w:pgMar w:top="1417" w:right="1417" w:bottom="1417" w:left="1417" w:header="708" w:footer="708" w:gutter="0"/>
          <w:cols w:space="708"/>
          <w:docGrid w:linePitch="360"/>
        </w:sectPr>
      </w:pPr>
    </w:p>
    <w:p w:rsidR="0035770A" w:rsidRDefault="0035770A" w:rsidP="008903A4">
      <w:pPr>
        <w:pStyle w:val="Nagwek2"/>
        <w:rPr>
          <w:rFonts w:eastAsiaTheme="majorEastAsia"/>
          <w:sz w:val="56"/>
          <w:u w:val="single"/>
        </w:rPr>
        <w:sectPr w:rsidR="0035770A" w:rsidSect="00EE0C8C">
          <w:pgSz w:w="11906" w:h="16838"/>
          <w:pgMar w:top="1417" w:right="1417" w:bottom="1417" w:left="1417" w:header="708" w:footer="708" w:gutter="0"/>
          <w:cols w:space="708"/>
          <w:docGrid w:linePitch="360"/>
        </w:sectPr>
      </w:pPr>
    </w:p>
    <w:p w:rsidR="00EE0C8C" w:rsidRPr="008903A4" w:rsidRDefault="00EE0C8C" w:rsidP="008903A4">
      <w:pPr>
        <w:pStyle w:val="Nagwek2"/>
        <w:rPr>
          <w:rFonts w:eastAsiaTheme="majorEastAsia"/>
          <w:sz w:val="56"/>
          <w:u w:val="single"/>
        </w:rPr>
      </w:pPr>
      <w:bookmarkStart w:id="115" w:name="_Toc450562518"/>
      <w:r w:rsidRPr="008903A4">
        <w:rPr>
          <w:rFonts w:eastAsiaTheme="majorEastAsia"/>
          <w:sz w:val="56"/>
          <w:u w:val="single"/>
        </w:rPr>
        <w:lastRenderedPageBreak/>
        <w:t>ROZDZIAŁ VI</w:t>
      </w:r>
      <w:bookmarkEnd w:id="115"/>
    </w:p>
    <w:p w:rsidR="00EE0C8C" w:rsidRPr="00EE0C8C" w:rsidRDefault="00EE0C8C" w:rsidP="00A76BDB">
      <w:pPr>
        <w:pStyle w:val="Nagwek2"/>
      </w:pPr>
      <w:bookmarkStart w:id="116" w:name="_Toc450562519"/>
      <w:r w:rsidRPr="00EE0C8C">
        <w:t xml:space="preserve">ZADANIA REWITALIZACYJNE W SFERZE PRZESTRZENNEJ, GOSPODARCZEJ </w:t>
      </w:r>
      <w:r w:rsidRPr="00EE0C8C">
        <w:br/>
        <w:t>I SPOŁECZNEJ.</w:t>
      </w:r>
      <w:bookmarkEnd w:id="116"/>
    </w:p>
    <w:p w:rsidR="00EE0C8C" w:rsidRPr="00EE0C8C" w:rsidRDefault="00EE0C8C" w:rsidP="00A76BDB">
      <w:pPr>
        <w:pStyle w:val="Nagwek2"/>
      </w:pPr>
      <w:bookmarkStart w:id="117" w:name="_Toc450562520"/>
      <w:r w:rsidRPr="00EE0C8C">
        <w:t>6.1. ZADANIA INWESTYCYJNE.</w:t>
      </w:r>
      <w:bookmarkEnd w:id="117"/>
    </w:p>
    <w:p w:rsidR="00EE0C8C" w:rsidRPr="00EE0C8C" w:rsidRDefault="00EE0C8C" w:rsidP="00EE0C8C">
      <w:pPr>
        <w:rPr>
          <w:b/>
          <w:bCs/>
          <w:iCs/>
          <w:color w:val="4F81BD" w:themeColor="accent1"/>
          <w:sz w:val="28"/>
          <w:szCs w:val="28"/>
        </w:rPr>
      </w:pPr>
    </w:p>
    <w:p w:rsidR="00EE0C8C" w:rsidRPr="00EE0C8C" w:rsidRDefault="00EE0C8C" w:rsidP="00EE0C8C">
      <w:pPr>
        <w:rPr>
          <w:b/>
          <w:bCs/>
          <w:iCs/>
          <w:color w:val="4F81BD" w:themeColor="accent1"/>
          <w:sz w:val="28"/>
          <w:szCs w:val="28"/>
        </w:rPr>
      </w:pPr>
    </w:p>
    <w:p w:rsidR="00EE0C8C" w:rsidRPr="00EE0C8C" w:rsidRDefault="00EE0C8C" w:rsidP="00EE0C8C">
      <w:pPr>
        <w:rPr>
          <w:b/>
          <w:bCs/>
          <w:iCs/>
          <w:color w:val="4F81BD" w:themeColor="accent1"/>
          <w:sz w:val="28"/>
          <w:szCs w:val="28"/>
        </w:rPr>
      </w:pPr>
    </w:p>
    <w:p w:rsidR="00EE0C8C" w:rsidRPr="00EE0C8C" w:rsidRDefault="00EE0C8C" w:rsidP="00EE0C8C">
      <w:pPr>
        <w:rPr>
          <w:sz w:val="28"/>
          <w:szCs w:val="28"/>
        </w:rPr>
      </w:pPr>
    </w:p>
    <w:p w:rsidR="00EE0C8C" w:rsidRPr="00EE0C8C" w:rsidRDefault="00EE0C8C" w:rsidP="00EE0C8C">
      <w:pPr>
        <w:tabs>
          <w:tab w:val="left" w:pos="6022"/>
        </w:tabs>
        <w:rPr>
          <w:sz w:val="28"/>
          <w:szCs w:val="28"/>
        </w:rPr>
      </w:pPr>
      <w:r w:rsidRPr="00EE0C8C">
        <w:rPr>
          <w:sz w:val="28"/>
          <w:szCs w:val="28"/>
        </w:rPr>
        <w:tab/>
      </w:r>
    </w:p>
    <w:p w:rsidR="00EE0C8C" w:rsidRPr="00EE0C8C" w:rsidRDefault="00EE0C8C" w:rsidP="00EE0C8C">
      <w:pPr>
        <w:rPr>
          <w:sz w:val="28"/>
          <w:szCs w:val="28"/>
        </w:rPr>
      </w:pPr>
    </w:p>
    <w:p w:rsidR="00EE0C8C" w:rsidRPr="00EE0C8C" w:rsidRDefault="00EE0C8C" w:rsidP="00EE0C8C">
      <w:pPr>
        <w:rPr>
          <w:sz w:val="28"/>
          <w:szCs w:val="28"/>
        </w:rPr>
        <w:sectPr w:rsidR="00EE0C8C" w:rsidRPr="00EE0C8C" w:rsidSect="00EE0C8C">
          <w:pgSz w:w="11906" w:h="16838"/>
          <w:pgMar w:top="1417" w:right="1417" w:bottom="1417" w:left="1417" w:header="708" w:footer="708" w:gutter="0"/>
          <w:cols w:space="708"/>
          <w:docGrid w:linePitch="360"/>
        </w:sectPr>
      </w:pPr>
    </w:p>
    <w:p w:rsidR="00EE0C8C" w:rsidRPr="00EE0C8C" w:rsidRDefault="00EE0C8C" w:rsidP="00EE0C8C">
      <w:pPr>
        <w:rPr>
          <w:b/>
          <w:bCs/>
          <w:iCs/>
          <w:color w:val="4F81BD" w:themeColor="accent1"/>
          <w:sz w:val="28"/>
          <w:szCs w:val="28"/>
        </w:rPr>
        <w:sectPr w:rsidR="00EE0C8C" w:rsidRPr="00EE0C8C" w:rsidSect="00A76BDB">
          <w:type w:val="continuous"/>
          <w:pgSz w:w="16838" w:h="11906" w:orient="landscape"/>
          <w:pgMar w:top="1417" w:right="1417" w:bottom="1417" w:left="1417" w:header="709" w:footer="709" w:gutter="0"/>
          <w:cols w:space="708"/>
          <w:docGrid w:linePitch="360"/>
        </w:sectPr>
      </w:pPr>
    </w:p>
    <w:p w:rsidR="00EE0C8C" w:rsidRPr="00EE0C8C" w:rsidRDefault="00EE0C8C" w:rsidP="00EE0C8C">
      <w:pPr>
        <w:rPr>
          <w:b/>
          <w:bCs/>
          <w:iCs/>
          <w:color w:val="4F81BD" w:themeColor="accent1"/>
          <w:sz w:val="28"/>
          <w:szCs w:val="28"/>
        </w:rPr>
      </w:pPr>
    </w:p>
    <w:tbl>
      <w:tblPr>
        <w:tblStyle w:val="Tabela-Siatka61"/>
        <w:tblpPr w:leftFromText="141" w:rightFromText="141" w:vertAnchor="text" w:horzAnchor="margin" w:tblpXSpec="center" w:tblpY="8"/>
        <w:tblW w:w="15630" w:type="dxa"/>
        <w:tblInd w:w="0" w:type="dxa"/>
        <w:tblLayout w:type="fixed"/>
        <w:tblLook w:val="04A0" w:firstRow="1" w:lastRow="0" w:firstColumn="1" w:lastColumn="0" w:noHBand="0" w:noVBand="1"/>
      </w:tblPr>
      <w:tblGrid>
        <w:gridCol w:w="529"/>
        <w:gridCol w:w="6"/>
        <w:gridCol w:w="1983"/>
        <w:gridCol w:w="3684"/>
        <w:gridCol w:w="2692"/>
        <w:gridCol w:w="1558"/>
        <w:gridCol w:w="3400"/>
        <w:gridCol w:w="1778"/>
      </w:tblGrid>
      <w:tr w:rsidR="00170743" w:rsidRPr="00170743" w:rsidTr="00170743">
        <w:trPr>
          <w:trHeight w:val="313"/>
        </w:trPr>
        <w:tc>
          <w:tcPr>
            <w:tcW w:w="529" w:type="dxa"/>
            <w:vMerge w:val="restart"/>
            <w:tcBorders>
              <w:top w:val="single" w:sz="4" w:space="0" w:color="auto"/>
              <w:left w:val="single" w:sz="4" w:space="0" w:color="auto"/>
              <w:bottom w:val="single" w:sz="4" w:space="0" w:color="auto"/>
              <w:right w:val="single" w:sz="4" w:space="0" w:color="auto"/>
            </w:tcBorders>
            <w:hideMark/>
          </w:tcPr>
          <w:p w:rsidR="00170743" w:rsidRPr="00170743" w:rsidRDefault="00170743" w:rsidP="00170743">
            <w:pPr>
              <w:spacing w:after="200" w:line="276" w:lineRule="auto"/>
              <w:jc w:val="center"/>
              <w:rPr>
                <w:rFonts w:eastAsia="Times New Roman"/>
                <w:b/>
                <w:bCs/>
                <w:iCs/>
                <w:color w:val="4F81BD"/>
                <w:sz w:val="24"/>
                <w:szCs w:val="24"/>
                <w:lang w:eastAsia="pl-PL"/>
              </w:rPr>
            </w:pPr>
            <w:r w:rsidRPr="00170743">
              <w:rPr>
                <w:rFonts w:eastAsia="Times New Roman"/>
                <w:b/>
                <w:bCs/>
                <w:iCs/>
                <w:color w:val="4F81BD"/>
                <w:sz w:val="24"/>
                <w:szCs w:val="24"/>
                <w:lang w:eastAsia="pl-PL"/>
              </w:rPr>
              <w:t>LP</w:t>
            </w:r>
          </w:p>
        </w:tc>
        <w:tc>
          <w:tcPr>
            <w:tcW w:w="1989" w:type="dxa"/>
            <w:gridSpan w:val="2"/>
            <w:vMerge w:val="restart"/>
            <w:tcBorders>
              <w:top w:val="single" w:sz="4" w:space="0" w:color="auto"/>
              <w:left w:val="single" w:sz="4" w:space="0" w:color="auto"/>
              <w:bottom w:val="single" w:sz="4" w:space="0" w:color="auto"/>
              <w:right w:val="single" w:sz="4" w:space="0" w:color="auto"/>
            </w:tcBorders>
            <w:hideMark/>
          </w:tcPr>
          <w:p w:rsidR="00170743" w:rsidRPr="00170743" w:rsidRDefault="00170743" w:rsidP="00170743">
            <w:pPr>
              <w:spacing w:after="200" w:line="276" w:lineRule="auto"/>
              <w:jc w:val="center"/>
              <w:rPr>
                <w:rFonts w:eastAsia="Times New Roman"/>
                <w:b/>
                <w:bCs/>
                <w:iCs/>
                <w:color w:val="4F81BD"/>
                <w:sz w:val="24"/>
                <w:szCs w:val="24"/>
                <w:lang w:eastAsia="pl-PL"/>
              </w:rPr>
            </w:pPr>
            <w:r w:rsidRPr="00170743">
              <w:rPr>
                <w:rFonts w:eastAsia="Times New Roman"/>
                <w:b/>
                <w:bCs/>
                <w:iCs/>
                <w:color w:val="4F81BD"/>
                <w:sz w:val="24"/>
                <w:szCs w:val="24"/>
                <w:lang w:eastAsia="pl-PL"/>
              </w:rPr>
              <w:t>Nazwa zadania</w:t>
            </w:r>
          </w:p>
        </w:tc>
        <w:tc>
          <w:tcPr>
            <w:tcW w:w="3684" w:type="dxa"/>
            <w:vMerge w:val="restart"/>
            <w:tcBorders>
              <w:top w:val="single" w:sz="4" w:space="0" w:color="auto"/>
              <w:left w:val="single" w:sz="4" w:space="0" w:color="auto"/>
              <w:bottom w:val="single" w:sz="4" w:space="0" w:color="auto"/>
              <w:right w:val="single" w:sz="4" w:space="0" w:color="auto"/>
            </w:tcBorders>
            <w:hideMark/>
          </w:tcPr>
          <w:p w:rsidR="00170743" w:rsidRPr="00170743" w:rsidRDefault="00170743" w:rsidP="00170743">
            <w:pPr>
              <w:spacing w:after="200" w:line="276" w:lineRule="auto"/>
              <w:jc w:val="center"/>
              <w:rPr>
                <w:rFonts w:eastAsia="Times New Roman"/>
                <w:b/>
                <w:bCs/>
                <w:iCs/>
                <w:color w:val="4F81BD"/>
                <w:sz w:val="24"/>
                <w:szCs w:val="24"/>
                <w:lang w:eastAsia="pl-PL"/>
              </w:rPr>
            </w:pPr>
            <w:r w:rsidRPr="00170743">
              <w:rPr>
                <w:rFonts w:eastAsia="Times New Roman"/>
                <w:b/>
                <w:bCs/>
                <w:iCs/>
                <w:color w:val="4F81BD"/>
                <w:sz w:val="24"/>
                <w:szCs w:val="24"/>
                <w:lang w:eastAsia="pl-PL"/>
              </w:rPr>
              <w:t>Zakres rzeczowy</w:t>
            </w:r>
          </w:p>
        </w:tc>
        <w:tc>
          <w:tcPr>
            <w:tcW w:w="2692" w:type="dxa"/>
            <w:vMerge w:val="restart"/>
            <w:tcBorders>
              <w:top w:val="single" w:sz="4" w:space="0" w:color="auto"/>
              <w:left w:val="single" w:sz="4" w:space="0" w:color="auto"/>
              <w:bottom w:val="single" w:sz="4" w:space="0" w:color="auto"/>
              <w:right w:val="single" w:sz="4" w:space="0" w:color="auto"/>
            </w:tcBorders>
            <w:hideMark/>
          </w:tcPr>
          <w:p w:rsidR="00170743" w:rsidRPr="00170743" w:rsidRDefault="00170743" w:rsidP="00170743">
            <w:pPr>
              <w:spacing w:after="200" w:line="276" w:lineRule="auto"/>
              <w:jc w:val="center"/>
              <w:rPr>
                <w:rFonts w:eastAsia="Times New Roman"/>
                <w:b/>
                <w:bCs/>
                <w:iCs/>
                <w:color w:val="4F81BD"/>
                <w:sz w:val="24"/>
                <w:szCs w:val="24"/>
                <w:lang w:eastAsia="pl-PL"/>
              </w:rPr>
            </w:pPr>
            <w:r w:rsidRPr="00170743">
              <w:rPr>
                <w:rFonts w:eastAsia="Times New Roman"/>
                <w:b/>
                <w:bCs/>
                <w:iCs/>
                <w:color w:val="4F81BD"/>
                <w:sz w:val="24"/>
                <w:szCs w:val="24"/>
                <w:lang w:eastAsia="pl-PL"/>
              </w:rPr>
              <w:t>Lokalizacja</w:t>
            </w:r>
          </w:p>
        </w:tc>
        <w:tc>
          <w:tcPr>
            <w:tcW w:w="1558" w:type="dxa"/>
            <w:vMerge w:val="restart"/>
            <w:tcBorders>
              <w:top w:val="single" w:sz="4" w:space="0" w:color="auto"/>
              <w:left w:val="single" w:sz="4" w:space="0" w:color="auto"/>
              <w:bottom w:val="single" w:sz="4" w:space="0" w:color="auto"/>
              <w:right w:val="single" w:sz="4" w:space="0" w:color="auto"/>
            </w:tcBorders>
            <w:hideMark/>
          </w:tcPr>
          <w:p w:rsidR="00170743" w:rsidRPr="00170743" w:rsidRDefault="00170743" w:rsidP="00170743">
            <w:pPr>
              <w:spacing w:after="200" w:line="276" w:lineRule="auto"/>
              <w:jc w:val="center"/>
              <w:rPr>
                <w:rFonts w:eastAsia="Times New Roman"/>
                <w:b/>
                <w:bCs/>
                <w:iCs/>
                <w:color w:val="4F81BD"/>
                <w:sz w:val="24"/>
                <w:szCs w:val="24"/>
                <w:lang w:eastAsia="pl-PL"/>
              </w:rPr>
            </w:pPr>
            <w:r w:rsidRPr="00170743">
              <w:rPr>
                <w:rFonts w:eastAsia="Times New Roman"/>
                <w:b/>
                <w:bCs/>
                <w:iCs/>
                <w:color w:val="4F81BD"/>
                <w:sz w:val="24"/>
                <w:szCs w:val="24"/>
                <w:lang w:eastAsia="pl-PL"/>
              </w:rPr>
              <w:t>Szacunkowa wartość w zł</w:t>
            </w:r>
          </w:p>
        </w:tc>
        <w:tc>
          <w:tcPr>
            <w:tcW w:w="3400" w:type="dxa"/>
            <w:vMerge w:val="restart"/>
            <w:tcBorders>
              <w:top w:val="single" w:sz="4" w:space="0" w:color="auto"/>
              <w:left w:val="single" w:sz="4" w:space="0" w:color="auto"/>
              <w:bottom w:val="single" w:sz="4" w:space="0" w:color="auto"/>
              <w:right w:val="single" w:sz="4" w:space="0" w:color="auto"/>
            </w:tcBorders>
            <w:hideMark/>
          </w:tcPr>
          <w:p w:rsidR="00170743" w:rsidRPr="00170743" w:rsidRDefault="00170743" w:rsidP="00170743">
            <w:pPr>
              <w:spacing w:after="200" w:line="276" w:lineRule="auto"/>
              <w:jc w:val="center"/>
              <w:rPr>
                <w:rFonts w:eastAsia="Times New Roman"/>
                <w:b/>
                <w:bCs/>
                <w:iCs/>
                <w:color w:val="4F81BD"/>
                <w:sz w:val="24"/>
                <w:szCs w:val="24"/>
                <w:lang w:eastAsia="pl-PL"/>
              </w:rPr>
            </w:pPr>
            <w:r w:rsidRPr="00170743">
              <w:rPr>
                <w:rFonts w:eastAsia="Times New Roman"/>
                <w:b/>
                <w:bCs/>
                <w:iCs/>
                <w:color w:val="4F81BD"/>
                <w:sz w:val="24"/>
                <w:szCs w:val="24"/>
                <w:lang w:eastAsia="pl-PL"/>
              </w:rPr>
              <w:t>Rezultaty</w:t>
            </w:r>
          </w:p>
        </w:tc>
        <w:tc>
          <w:tcPr>
            <w:tcW w:w="1778" w:type="dxa"/>
            <w:tcBorders>
              <w:top w:val="single" w:sz="4" w:space="0" w:color="auto"/>
              <w:left w:val="single" w:sz="4" w:space="0" w:color="auto"/>
              <w:bottom w:val="single" w:sz="4" w:space="0" w:color="auto"/>
              <w:right w:val="single" w:sz="4" w:space="0" w:color="auto"/>
            </w:tcBorders>
            <w:hideMark/>
          </w:tcPr>
          <w:p w:rsidR="00170743" w:rsidRPr="00170743" w:rsidRDefault="00170743" w:rsidP="00170743">
            <w:pPr>
              <w:spacing w:after="200" w:line="276" w:lineRule="auto"/>
              <w:jc w:val="center"/>
              <w:rPr>
                <w:rFonts w:eastAsia="Times New Roman"/>
                <w:b/>
                <w:bCs/>
                <w:iCs/>
                <w:color w:val="4F81BD"/>
                <w:sz w:val="24"/>
                <w:szCs w:val="24"/>
                <w:lang w:eastAsia="pl-PL"/>
              </w:rPr>
            </w:pPr>
            <w:r w:rsidRPr="00170743">
              <w:rPr>
                <w:rFonts w:eastAsia="Times New Roman"/>
                <w:b/>
                <w:bCs/>
                <w:iCs/>
                <w:color w:val="4F81BD"/>
                <w:sz w:val="24"/>
                <w:szCs w:val="24"/>
                <w:lang w:eastAsia="pl-PL"/>
              </w:rPr>
              <w:t>Realizator</w:t>
            </w:r>
          </w:p>
        </w:tc>
      </w:tr>
      <w:tr w:rsidR="00170743" w:rsidRPr="00170743" w:rsidTr="00170743">
        <w:trPr>
          <w:trHeight w:val="312"/>
        </w:trPr>
        <w:tc>
          <w:tcPr>
            <w:tcW w:w="529" w:type="dxa"/>
            <w:vMerge/>
            <w:tcBorders>
              <w:top w:val="single" w:sz="4" w:space="0" w:color="auto"/>
              <w:left w:val="single" w:sz="4" w:space="0" w:color="auto"/>
              <w:bottom w:val="single" w:sz="4" w:space="0" w:color="auto"/>
              <w:right w:val="single" w:sz="4" w:space="0" w:color="auto"/>
            </w:tcBorders>
            <w:vAlign w:val="center"/>
            <w:hideMark/>
          </w:tcPr>
          <w:p w:rsidR="00170743" w:rsidRPr="00170743" w:rsidRDefault="00170743" w:rsidP="00170743">
            <w:pPr>
              <w:rPr>
                <w:b/>
                <w:bCs/>
                <w:iCs/>
                <w:color w:val="4F81BD"/>
                <w:sz w:val="24"/>
                <w:szCs w:val="24"/>
              </w:rPr>
            </w:pPr>
          </w:p>
        </w:tc>
        <w:tc>
          <w:tcPr>
            <w:tcW w:w="1989" w:type="dxa"/>
            <w:gridSpan w:val="2"/>
            <w:vMerge/>
            <w:tcBorders>
              <w:top w:val="single" w:sz="4" w:space="0" w:color="auto"/>
              <w:left w:val="single" w:sz="4" w:space="0" w:color="auto"/>
              <w:bottom w:val="single" w:sz="4" w:space="0" w:color="auto"/>
              <w:right w:val="single" w:sz="4" w:space="0" w:color="auto"/>
            </w:tcBorders>
            <w:vAlign w:val="center"/>
            <w:hideMark/>
          </w:tcPr>
          <w:p w:rsidR="00170743" w:rsidRPr="00170743" w:rsidRDefault="00170743" w:rsidP="00170743">
            <w:pPr>
              <w:rPr>
                <w:b/>
                <w:bCs/>
                <w:iCs/>
                <w:color w:val="4F81BD"/>
                <w:sz w:val="24"/>
                <w:szCs w:val="24"/>
              </w:rPr>
            </w:pPr>
          </w:p>
        </w:tc>
        <w:tc>
          <w:tcPr>
            <w:tcW w:w="3684" w:type="dxa"/>
            <w:vMerge/>
            <w:tcBorders>
              <w:top w:val="single" w:sz="4" w:space="0" w:color="auto"/>
              <w:left w:val="single" w:sz="4" w:space="0" w:color="auto"/>
              <w:bottom w:val="single" w:sz="4" w:space="0" w:color="auto"/>
              <w:right w:val="single" w:sz="4" w:space="0" w:color="auto"/>
            </w:tcBorders>
            <w:vAlign w:val="center"/>
            <w:hideMark/>
          </w:tcPr>
          <w:p w:rsidR="00170743" w:rsidRPr="00170743" w:rsidRDefault="00170743" w:rsidP="00170743">
            <w:pPr>
              <w:rPr>
                <w:b/>
                <w:bCs/>
                <w:iCs/>
                <w:color w:val="4F81BD"/>
                <w:sz w:val="24"/>
                <w:szCs w:val="24"/>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rsidR="00170743" w:rsidRPr="00170743" w:rsidRDefault="00170743" w:rsidP="00170743">
            <w:pPr>
              <w:rPr>
                <w:b/>
                <w:bCs/>
                <w:iCs/>
                <w:color w:val="4F81BD"/>
                <w:sz w:val="24"/>
                <w:szCs w:val="24"/>
              </w:rPr>
            </w:pPr>
          </w:p>
        </w:tc>
        <w:tc>
          <w:tcPr>
            <w:tcW w:w="1558" w:type="dxa"/>
            <w:vMerge/>
            <w:tcBorders>
              <w:top w:val="single" w:sz="4" w:space="0" w:color="auto"/>
              <w:left w:val="single" w:sz="4" w:space="0" w:color="auto"/>
              <w:bottom w:val="single" w:sz="4" w:space="0" w:color="auto"/>
              <w:right w:val="single" w:sz="4" w:space="0" w:color="auto"/>
            </w:tcBorders>
            <w:vAlign w:val="center"/>
            <w:hideMark/>
          </w:tcPr>
          <w:p w:rsidR="00170743" w:rsidRPr="00170743" w:rsidRDefault="00170743" w:rsidP="00170743">
            <w:pPr>
              <w:rPr>
                <w:b/>
                <w:bCs/>
                <w:iCs/>
                <w:color w:val="4F81BD"/>
                <w:sz w:val="24"/>
                <w:szCs w:val="24"/>
              </w:rPr>
            </w:pPr>
          </w:p>
        </w:tc>
        <w:tc>
          <w:tcPr>
            <w:tcW w:w="3400" w:type="dxa"/>
            <w:vMerge/>
            <w:tcBorders>
              <w:top w:val="single" w:sz="4" w:space="0" w:color="auto"/>
              <w:left w:val="single" w:sz="4" w:space="0" w:color="auto"/>
              <w:bottom w:val="single" w:sz="4" w:space="0" w:color="auto"/>
              <w:right w:val="single" w:sz="4" w:space="0" w:color="auto"/>
            </w:tcBorders>
            <w:vAlign w:val="center"/>
            <w:hideMark/>
          </w:tcPr>
          <w:p w:rsidR="00170743" w:rsidRPr="00170743" w:rsidRDefault="00170743" w:rsidP="00170743">
            <w:pPr>
              <w:rPr>
                <w:b/>
                <w:bCs/>
                <w:iCs/>
                <w:color w:val="4F81BD"/>
                <w:sz w:val="24"/>
                <w:szCs w:val="24"/>
              </w:rPr>
            </w:pPr>
          </w:p>
        </w:tc>
        <w:tc>
          <w:tcPr>
            <w:tcW w:w="1778" w:type="dxa"/>
            <w:tcBorders>
              <w:top w:val="single" w:sz="4" w:space="0" w:color="auto"/>
              <w:left w:val="single" w:sz="4" w:space="0" w:color="auto"/>
              <w:bottom w:val="single" w:sz="4" w:space="0" w:color="auto"/>
              <w:right w:val="single" w:sz="4" w:space="0" w:color="auto"/>
            </w:tcBorders>
            <w:hideMark/>
          </w:tcPr>
          <w:p w:rsidR="00170743" w:rsidRPr="00170743" w:rsidRDefault="00170743" w:rsidP="00170743">
            <w:pPr>
              <w:spacing w:after="200" w:line="276" w:lineRule="auto"/>
              <w:jc w:val="center"/>
              <w:rPr>
                <w:rFonts w:eastAsia="Times New Roman"/>
                <w:b/>
                <w:bCs/>
                <w:iCs/>
                <w:color w:val="4F81BD"/>
                <w:sz w:val="24"/>
                <w:szCs w:val="24"/>
                <w:lang w:eastAsia="pl-PL"/>
              </w:rPr>
            </w:pPr>
            <w:r w:rsidRPr="00170743">
              <w:rPr>
                <w:rFonts w:eastAsia="Times New Roman"/>
                <w:b/>
                <w:bCs/>
                <w:iCs/>
                <w:color w:val="4F81BD"/>
                <w:sz w:val="24"/>
                <w:szCs w:val="24"/>
                <w:lang w:eastAsia="pl-PL"/>
              </w:rPr>
              <w:t>Okres realizacji</w:t>
            </w:r>
          </w:p>
        </w:tc>
      </w:tr>
      <w:tr w:rsidR="00170743" w:rsidRPr="00170743" w:rsidTr="00170743">
        <w:tc>
          <w:tcPr>
            <w:tcW w:w="529" w:type="dxa"/>
            <w:tcBorders>
              <w:top w:val="single" w:sz="4" w:space="0" w:color="auto"/>
              <w:left w:val="single" w:sz="4" w:space="0" w:color="auto"/>
              <w:bottom w:val="single" w:sz="4" w:space="0" w:color="auto"/>
              <w:right w:val="single" w:sz="4" w:space="0" w:color="auto"/>
            </w:tcBorders>
            <w:hideMark/>
          </w:tcPr>
          <w:p w:rsidR="00170743" w:rsidRPr="00170743" w:rsidRDefault="00170743" w:rsidP="00170743">
            <w:pPr>
              <w:spacing w:after="200" w:line="276" w:lineRule="auto"/>
              <w:rPr>
                <w:rFonts w:eastAsia="Times New Roman"/>
                <w:b/>
                <w:bCs/>
                <w:iCs/>
                <w:color w:val="4F81BD"/>
                <w:sz w:val="28"/>
                <w:szCs w:val="28"/>
                <w:lang w:eastAsia="pl-PL"/>
              </w:rPr>
            </w:pPr>
            <w:r w:rsidRPr="00170743">
              <w:rPr>
                <w:rFonts w:eastAsia="Times New Roman"/>
                <w:b/>
                <w:bCs/>
                <w:iCs/>
                <w:color w:val="4F81BD"/>
                <w:sz w:val="28"/>
                <w:szCs w:val="28"/>
                <w:lang w:eastAsia="pl-PL"/>
              </w:rPr>
              <w:t>1</w:t>
            </w:r>
          </w:p>
        </w:tc>
        <w:tc>
          <w:tcPr>
            <w:tcW w:w="1989" w:type="dxa"/>
            <w:gridSpan w:val="2"/>
            <w:tcBorders>
              <w:top w:val="single" w:sz="4" w:space="0" w:color="auto"/>
              <w:left w:val="single" w:sz="4" w:space="0" w:color="auto"/>
              <w:bottom w:val="single" w:sz="4" w:space="0" w:color="auto"/>
              <w:right w:val="single" w:sz="4" w:space="0" w:color="auto"/>
            </w:tcBorders>
            <w:hideMark/>
          </w:tcPr>
          <w:p w:rsidR="00170743" w:rsidRPr="00170743" w:rsidRDefault="00170743" w:rsidP="00170743">
            <w:pPr>
              <w:spacing w:after="200" w:line="276" w:lineRule="auto"/>
              <w:rPr>
                <w:rFonts w:eastAsia="Times New Roman"/>
                <w:b/>
                <w:bCs/>
                <w:iCs/>
                <w:color w:val="4F81BD"/>
                <w:lang w:eastAsia="pl-PL"/>
              </w:rPr>
            </w:pPr>
            <w:r w:rsidRPr="00170743">
              <w:rPr>
                <w:rFonts w:eastAsia="Times New Roman"/>
                <w:b/>
                <w:bCs/>
                <w:iCs/>
                <w:color w:val="000000"/>
                <w:lang w:eastAsia="pl-PL"/>
              </w:rPr>
              <w:t xml:space="preserve">Zintegrowana rewitalizacja centrum Mirca poprzez kompleksową odnowę kryzysowych terenów i obiektów w obszar rozwojowy tworząc strefy: turystyki, relaksu </w:t>
            </w:r>
            <w:r w:rsidRPr="00170743">
              <w:rPr>
                <w:rFonts w:eastAsia="Times New Roman"/>
                <w:b/>
                <w:bCs/>
                <w:iCs/>
                <w:color w:val="000000"/>
                <w:lang w:eastAsia="pl-PL"/>
              </w:rPr>
              <w:br/>
              <w:t xml:space="preserve">i aktywności (II etap rewitalizacji) </w:t>
            </w:r>
          </w:p>
        </w:tc>
        <w:tc>
          <w:tcPr>
            <w:tcW w:w="3684" w:type="dxa"/>
            <w:tcBorders>
              <w:top w:val="single" w:sz="4" w:space="0" w:color="auto"/>
              <w:left w:val="single" w:sz="4" w:space="0" w:color="auto"/>
              <w:bottom w:val="single" w:sz="4" w:space="0" w:color="auto"/>
              <w:right w:val="single" w:sz="4" w:space="0" w:color="auto"/>
            </w:tcBorders>
            <w:hideMark/>
          </w:tcPr>
          <w:p w:rsidR="00170743" w:rsidRPr="00170743" w:rsidRDefault="00170743" w:rsidP="00170743">
            <w:pPr>
              <w:rPr>
                <w:rFonts w:eastAsia="Times New Roman"/>
                <w:bCs/>
                <w:iCs/>
                <w:color w:val="000000"/>
                <w:lang w:eastAsia="pl-PL"/>
              </w:rPr>
            </w:pPr>
            <w:r w:rsidRPr="00170743">
              <w:rPr>
                <w:rFonts w:eastAsia="Times New Roman"/>
                <w:b/>
                <w:bCs/>
                <w:iCs/>
                <w:color w:val="000000"/>
                <w:lang w:eastAsia="pl-PL"/>
              </w:rPr>
              <w:t>Powstanie strefy turystyki(ST)</w:t>
            </w:r>
            <w:r w:rsidRPr="00170743">
              <w:rPr>
                <w:rFonts w:eastAsia="Times New Roman"/>
                <w:bCs/>
                <w:iCs/>
                <w:color w:val="000000"/>
                <w:lang w:eastAsia="pl-PL"/>
              </w:rPr>
              <w:t xml:space="preserve">- Stworzenie głównej stacji turystyki  poprzez uporządkowanie i zagospodarowanie gruntu w tym niwelację i wyrównanie terenu, uporządkowanie zieleni, wykonanie trawników, instalacja miejsc obsługi rowerzystów , grill, ławki drewniane, tablice turystyczne ukazujące wszystkie 10 sołectw – jako drogowskaz dla zwiedzających gminę), atrakcja turystyczna, elewacja OSP </w:t>
            </w:r>
            <w:r w:rsidRPr="00170743">
              <w:rPr>
                <w:rFonts w:eastAsia="Times New Roman"/>
                <w:bCs/>
                <w:iCs/>
                <w:color w:val="000000"/>
                <w:lang w:eastAsia="pl-PL"/>
              </w:rPr>
              <w:br/>
              <w:t>(postulowany punkt informacji turystycznej). Restauracja pozostałości parku podworskiego poprzez uporządkowanie i zagospodarowanie terenu w zieleń osłonową, (preferowany ogród kompozycji roślinnych). Estetyczne wyeksponowanie i zagospodarowanie terenu wokół pomnika ofiar II Wojny Światowej w centrum Mirca.</w:t>
            </w:r>
          </w:p>
          <w:p w:rsidR="00170743" w:rsidRPr="00170743" w:rsidRDefault="00170743" w:rsidP="00170743">
            <w:pPr>
              <w:rPr>
                <w:rFonts w:eastAsia="Times New Roman"/>
                <w:bCs/>
                <w:iCs/>
                <w:color w:val="000000"/>
                <w:lang w:eastAsia="pl-PL"/>
              </w:rPr>
            </w:pPr>
            <w:r w:rsidRPr="00170743">
              <w:rPr>
                <w:rFonts w:eastAsia="Times New Roman"/>
                <w:b/>
                <w:bCs/>
                <w:iCs/>
                <w:color w:val="000000"/>
                <w:lang w:eastAsia="pl-PL"/>
              </w:rPr>
              <w:t>Powstanie strefy relaksu</w:t>
            </w:r>
            <w:r w:rsidRPr="00170743">
              <w:rPr>
                <w:rFonts w:eastAsia="Times New Roman"/>
                <w:bCs/>
                <w:iCs/>
                <w:color w:val="000000"/>
                <w:lang w:eastAsia="pl-PL"/>
              </w:rPr>
              <w:t>(</w:t>
            </w:r>
            <w:r w:rsidRPr="00170743">
              <w:rPr>
                <w:rFonts w:eastAsia="Times New Roman"/>
                <w:b/>
                <w:bCs/>
                <w:iCs/>
                <w:color w:val="000000"/>
                <w:lang w:eastAsia="pl-PL"/>
              </w:rPr>
              <w:t>SR)-</w:t>
            </w:r>
            <w:r w:rsidRPr="00170743">
              <w:rPr>
                <w:rFonts w:eastAsia="Times New Roman"/>
                <w:bCs/>
                <w:iCs/>
                <w:color w:val="000000"/>
                <w:lang w:eastAsia="pl-PL"/>
              </w:rPr>
              <w:t xml:space="preserve">Budowa zbiornika wodnego o charakterze </w:t>
            </w:r>
            <w:r w:rsidRPr="00170743">
              <w:rPr>
                <w:rFonts w:eastAsia="Times New Roman"/>
                <w:bCs/>
                <w:iCs/>
                <w:color w:val="000000"/>
                <w:lang w:eastAsia="pl-PL"/>
              </w:rPr>
              <w:lastRenderedPageBreak/>
              <w:t>rekreacyjnym o pow. max. do 0,40 ha z głębokością max. do 2,5 m wraz z niezbędną infrastrukturą techniczną (w tym wykonanie oświetlenia) i drogową.</w:t>
            </w:r>
          </w:p>
          <w:p w:rsidR="00170743" w:rsidRPr="00170743" w:rsidRDefault="00170743" w:rsidP="00170743">
            <w:pPr>
              <w:rPr>
                <w:rFonts w:eastAsia="Times New Roman"/>
                <w:bCs/>
                <w:iCs/>
                <w:color w:val="000000"/>
                <w:lang w:eastAsia="pl-PL"/>
              </w:rPr>
            </w:pPr>
            <w:r w:rsidRPr="00170743">
              <w:rPr>
                <w:rFonts w:eastAsia="Times New Roman"/>
                <w:b/>
                <w:bCs/>
                <w:iCs/>
                <w:color w:val="000000"/>
                <w:lang w:eastAsia="pl-PL"/>
              </w:rPr>
              <w:t>Powstanie strefy aktywności (SA)</w:t>
            </w:r>
            <w:r w:rsidRPr="00170743">
              <w:rPr>
                <w:rFonts w:eastAsia="Times New Roman"/>
                <w:bCs/>
                <w:iCs/>
                <w:color w:val="000000"/>
                <w:lang w:eastAsia="pl-PL"/>
              </w:rPr>
              <w:t xml:space="preserve">. Wzniesienie obiektów miejsc aktywnej rekreacji w tym wielofunkcyjnej siłowni w plenerze ze ścieżką zdrowia dla potrzeb m.in. gimnastyki korekcyjnej. </w:t>
            </w:r>
          </w:p>
          <w:p w:rsidR="00170743" w:rsidRPr="00170743" w:rsidRDefault="00170743" w:rsidP="00170743">
            <w:pPr>
              <w:rPr>
                <w:rFonts w:eastAsia="Times New Roman"/>
                <w:bCs/>
                <w:iCs/>
                <w:color w:val="000000"/>
                <w:lang w:eastAsia="pl-PL"/>
              </w:rPr>
            </w:pPr>
            <w:r w:rsidRPr="00170743">
              <w:rPr>
                <w:rFonts w:eastAsia="Times New Roman"/>
                <w:b/>
                <w:bCs/>
                <w:iCs/>
                <w:color w:val="000000"/>
                <w:lang w:eastAsia="pl-PL"/>
              </w:rPr>
              <w:t>Wykonanie elementów małej architektury na poszczególnych strefach</w:t>
            </w:r>
            <w:r w:rsidRPr="00170743">
              <w:rPr>
                <w:rFonts w:eastAsia="Times New Roman"/>
                <w:bCs/>
                <w:iCs/>
                <w:color w:val="000000"/>
                <w:lang w:eastAsia="pl-PL"/>
              </w:rPr>
              <w:t xml:space="preserve"> jak: monitoring wizyjny obszaru, wykonanie oświetlenia ulicznego( w tym energooszczędnego) i alejek spacerowych (trasa spacerowa ). Docelowo wykonania ciągu pieszo-rowerowego, altany ogrodowej/biesiadnej itp. </w:t>
            </w:r>
          </w:p>
          <w:p w:rsidR="00170743" w:rsidRPr="00170743" w:rsidRDefault="00170743" w:rsidP="00170743">
            <w:pPr>
              <w:rPr>
                <w:rFonts w:eastAsia="Times New Roman"/>
                <w:bCs/>
                <w:iCs/>
                <w:color w:val="000000"/>
                <w:lang w:eastAsia="pl-PL"/>
              </w:rPr>
            </w:pPr>
            <w:r w:rsidRPr="00170743">
              <w:rPr>
                <w:rFonts w:eastAsia="Times New Roman"/>
                <w:bCs/>
                <w:iCs/>
                <w:color w:val="000000"/>
                <w:lang w:eastAsia="pl-PL"/>
              </w:rPr>
              <w:t>Infrastruktura drogowa modernizacja części drogi gminnej G-22, wykonanie chodnika, przy drodze wojewódzkiej nr 744, powstanie  miejsc parkingowych przy kompleksie ORLIK.</w:t>
            </w:r>
          </w:p>
          <w:p w:rsidR="00170743" w:rsidRPr="00170743" w:rsidRDefault="00170743" w:rsidP="00170743">
            <w:pPr>
              <w:spacing w:after="200" w:line="276" w:lineRule="auto"/>
              <w:rPr>
                <w:rFonts w:eastAsia="Times New Roman"/>
                <w:bCs/>
                <w:iCs/>
                <w:color w:val="000000"/>
                <w:lang w:eastAsia="pl-PL"/>
              </w:rPr>
            </w:pPr>
            <w:r w:rsidRPr="00170743">
              <w:rPr>
                <w:rFonts w:eastAsia="Times New Roman"/>
                <w:bCs/>
                <w:iCs/>
                <w:color w:val="000000"/>
                <w:lang w:eastAsia="pl-PL"/>
              </w:rPr>
              <w:t>Niniejsze elementy będą dostosowane dla osób niepełnosprawnych z wykorzystaniem efektywności energetycznej przy iluminacji świetlnej( preferowane oświetlenie uliczne/ parkowe) .</w:t>
            </w:r>
          </w:p>
        </w:tc>
        <w:tc>
          <w:tcPr>
            <w:tcW w:w="2692" w:type="dxa"/>
            <w:tcBorders>
              <w:top w:val="single" w:sz="4" w:space="0" w:color="auto"/>
              <w:left w:val="single" w:sz="4" w:space="0" w:color="auto"/>
              <w:bottom w:val="single" w:sz="4" w:space="0" w:color="auto"/>
              <w:right w:val="single" w:sz="4" w:space="0" w:color="auto"/>
            </w:tcBorders>
            <w:hideMark/>
          </w:tcPr>
          <w:p w:rsidR="00170743" w:rsidRPr="00170743" w:rsidRDefault="00170743" w:rsidP="00170743">
            <w:pPr>
              <w:rPr>
                <w:rFonts w:eastAsia="Times New Roman"/>
                <w:bCs/>
                <w:iCs/>
                <w:color w:val="000000"/>
                <w:lang w:eastAsia="pl-PL"/>
              </w:rPr>
            </w:pPr>
            <w:r w:rsidRPr="00170743">
              <w:rPr>
                <w:rFonts w:eastAsia="Times New Roman"/>
                <w:bCs/>
                <w:iCs/>
                <w:color w:val="000000"/>
                <w:lang w:eastAsia="pl-PL"/>
              </w:rPr>
              <w:lastRenderedPageBreak/>
              <w:t xml:space="preserve">1) działka 2656/6 </w:t>
            </w:r>
            <w:r w:rsidRPr="00170743">
              <w:rPr>
                <w:rFonts w:eastAsia="Times New Roman"/>
                <w:bCs/>
                <w:iCs/>
                <w:color w:val="000000"/>
                <w:lang w:eastAsia="pl-PL"/>
              </w:rPr>
              <w:br/>
              <w:t>(sołectwo Mirzec II); SR</w:t>
            </w:r>
          </w:p>
          <w:p w:rsidR="00170743" w:rsidRPr="00170743" w:rsidRDefault="00170743" w:rsidP="00170743">
            <w:pPr>
              <w:rPr>
                <w:rFonts w:eastAsia="Times New Roman"/>
                <w:bCs/>
                <w:iCs/>
                <w:color w:val="000000"/>
                <w:lang w:eastAsia="pl-PL"/>
              </w:rPr>
            </w:pPr>
            <w:r w:rsidRPr="00170743">
              <w:rPr>
                <w:rFonts w:eastAsia="Times New Roman"/>
                <w:bCs/>
                <w:iCs/>
                <w:color w:val="000000"/>
                <w:lang w:eastAsia="pl-PL"/>
              </w:rPr>
              <w:t>2) działka 2656/29 (sołectwo Mirzec II); SA</w:t>
            </w:r>
          </w:p>
          <w:p w:rsidR="00170743" w:rsidRPr="00170743" w:rsidRDefault="00170743" w:rsidP="00170743">
            <w:pPr>
              <w:rPr>
                <w:rFonts w:eastAsia="Times New Roman"/>
                <w:bCs/>
                <w:iCs/>
                <w:color w:val="000000"/>
                <w:lang w:eastAsia="pl-PL"/>
              </w:rPr>
            </w:pPr>
            <w:r w:rsidRPr="00170743">
              <w:rPr>
                <w:rFonts w:eastAsia="Times New Roman"/>
                <w:bCs/>
                <w:iCs/>
                <w:color w:val="000000"/>
                <w:lang w:eastAsia="pl-PL"/>
              </w:rPr>
              <w:t>3) nr działki 130/9 (sołectwo Mirzec I); ST</w:t>
            </w:r>
          </w:p>
          <w:p w:rsidR="00170743" w:rsidRPr="00170743" w:rsidRDefault="00170743" w:rsidP="00170743">
            <w:pPr>
              <w:rPr>
                <w:rFonts w:eastAsia="Times New Roman"/>
                <w:bCs/>
                <w:iCs/>
                <w:color w:val="000000"/>
                <w:lang w:eastAsia="pl-PL"/>
              </w:rPr>
            </w:pPr>
            <w:r w:rsidRPr="00170743">
              <w:rPr>
                <w:rFonts w:eastAsia="Times New Roman"/>
                <w:bCs/>
                <w:iCs/>
                <w:color w:val="000000"/>
                <w:lang w:eastAsia="pl-PL"/>
              </w:rPr>
              <w:t>4) działka 228/3 (sołectwo Mirzec I); ST</w:t>
            </w:r>
          </w:p>
          <w:p w:rsidR="00170743" w:rsidRPr="00170743" w:rsidRDefault="00170743" w:rsidP="00170743">
            <w:pPr>
              <w:rPr>
                <w:rFonts w:eastAsia="Times New Roman"/>
                <w:bCs/>
                <w:iCs/>
                <w:color w:val="000000"/>
                <w:lang w:eastAsia="pl-PL"/>
              </w:rPr>
            </w:pPr>
            <w:r w:rsidRPr="00170743">
              <w:rPr>
                <w:rFonts w:eastAsia="Times New Roman"/>
                <w:bCs/>
                <w:iCs/>
                <w:color w:val="000000"/>
                <w:lang w:eastAsia="pl-PL"/>
              </w:rPr>
              <w:t>5) działka 130/7 sołectwo Mirzec I); ST</w:t>
            </w:r>
          </w:p>
          <w:p w:rsidR="00170743" w:rsidRPr="00170743" w:rsidRDefault="00170743" w:rsidP="00170743">
            <w:pPr>
              <w:rPr>
                <w:rFonts w:eastAsia="Times New Roman"/>
                <w:bCs/>
                <w:iCs/>
                <w:color w:val="000000"/>
                <w:lang w:eastAsia="pl-PL"/>
              </w:rPr>
            </w:pPr>
            <w:r w:rsidRPr="00170743">
              <w:rPr>
                <w:rFonts w:eastAsia="Times New Roman"/>
                <w:bCs/>
                <w:iCs/>
                <w:color w:val="000000"/>
                <w:lang w:eastAsia="pl-PL"/>
              </w:rPr>
              <w:t xml:space="preserve">6) działka 130/5, </w:t>
            </w:r>
            <w:r w:rsidRPr="00170743">
              <w:rPr>
                <w:rFonts w:eastAsia="Times New Roman"/>
                <w:bCs/>
                <w:iCs/>
                <w:color w:val="000000"/>
                <w:lang w:eastAsia="pl-PL"/>
              </w:rPr>
              <w:br/>
              <w:t>(sołectwo Mirzec I); ST</w:t>
            </w:r>
          </w:p>
          <w:p w:rsidR="00170743" w:rsidRPr="00170743" w:rsidRDefault="00170743" w:rsidP="00170743">
            <w:pPr>
              <w:rPr>
                <w:rFonts w:eastAsia="Times New Roman"/>
                <w:bCs/>
                <w:iCs/>
                <w:color w:val="000000"/>
                <w:lang w:eastAsia="pl-PL"/>
              </w:rPr>
            </w:pPr>
            <w:r w:rsidRPr="00170743">
              <w:rPr>
                <w:rFonts w:eastAsia="Times New Roman"/>
                <w:bCs/>
                <w:iCs/>
                <w:color w:val="000000"/>
                <w:lang w:eastAsia="pl-PL"/>
              </w:rPr>
              <w:t>7) działka 130/4, (sołectwo Mirzec I , współwłasność Gmina Mirzec ); ST</w:t>
            </w:r>
          </w:p>
          <w:p w:rsidR="00170743" w:rsidRPr="00170743" w:rsidRDefault="00170743" w:rsidP="00170743">
            <w:pPr>
              <w:rPr>
                <w:rFonts w:eastAsia="Times New Roman"/>
                <w:bCs/>
                <w:iCs/>
                <w:color w:val="000000"/>
                <w:lang w:eastAsia="pl-PL"/>
              </w:rPr>
            </w:pPr>
            <w:r w:rsidRPr="00170743">
              <w:rPr>
                <w:rFonts w:eastAsia="Times New Roman"/>
                <w:bCs/>
                <w:iCs/>
                <w:color w:val="000000"/>
                <w:lang w:eastAsia="pl-PL"/>
              </w:rPr>
              <w:t xml:space="preserve">8) działka nr 226/21 </w:t>
            </w:r>
            <w:r w:rsidRPr="00170743">
              <w:rPr>
                <w:rFonts w:eastAsia="Times New Roman"/>
                <w:bCs/>
                <w:iCs/>
                <w:color w:val="000000"/>
                <w:lang w:eastAsia="pl-PL"/>
              </w:rPr>
              <w:br/>
              <w:t>(sołectwo Mirzec I ), (współwłasność gmina Mirzec ); ST</w:t>
            </w:r>
          </w:p>
          <w:p w:rsidR="00170743" w:rsidRPr="00170743" w:rsidRDefault="00170743" w:rsidP="00170743">
            <w:pPr>
              <w:rPr>
                <w:rFonts w:eastAsia="Times New Roman"/>
                <w:bCs/>
                <w:iCs/>
                <w:color w:val="000000"/>
                <w:lang w:eastAsia="pl-PL"/>
              </w:rPr>
            </w:pPr>
            <w:r w:rsidRPr="00170743">
              <w:rPr>
                <w:rFonts w:eastAsia="Times New Roman"/>
                <w:bCs/>
                <w:iCs/>
                <w:color w:val="000000"/>
                <w:lang w:eastAsia="pl-PL"/>
              </w:rPr>
              <w:t>9) działka nr 226/20 (sołectwo Mirzec I); ST</w:t>
            </w:r>
          </w:p>
          <w:p w:rsidR="00170743" w:rsidRPr="00170743" w:rsidRDefault="00170743" w:rsidP="00170743">
            <w:pPr>
              <w:rPr>
                <w:rFonts w:eastAsia="Times New Roman"/>
                <w:bCs/>
                <w:iCs/>
                <w:color w:val="000000"/>
                <w:lang w:eastAsia="pl-PL"/>
              </w:rPr>
            </w:pPr>
            <w:r w:rsidRPr="00170743">
              <w:rPr>
                <w:rFonts w:eastAsia="Times New Roman"/>
                <w:bCs/>
                <w:iCs/>
                <w:color w:val="000000"/>
                <w:lang w:eastAsia="pl-PL"/>
              </w:rPr>
              <w:t xml:space="preserve">10) nr działki 223/2 </w:t>
            </w:r>
            <w:r w:rsidRPr="00170743">
              <w:rPr>
                <w:rFonts w:eastAsia="Times New Roman"/>
                <w:bCs/>
                <w:iCs/>
                <w:color w:val="000000"/>
                <w:lang w:eastAsia="pl-PL"/>
              </w:rPr>
              <w:br/>
              <w:t>(sołectwo Mirzec I); ST</w:t>
            </w:r>
          </w:p>
          <w:p w:rsidR="00170743" w:rsidRPr="00170743" w:rsidRDefault="00170743" w:rsidP="00170743">
            <w:pPr>
              <w:rPr>
                <w:rFonts w:eastAsia="Times New Roman"/>
                <w:bCs/>
                <w:iCs/>
                <w:color w:val="000000"/>
                <w:lang w:eastAsia="pl-PL"/>
              </w:rPr>
            </w:pPr>
            <w:r w:rsidRPr="00170743">
              <w:rPr>
                <w:rFonts w:eastAsia="Times New Roman"/>
                <w:bCs/>
                <w:iCs/>
                <w:color w:val="000000"/>
                <w:lang w:eastAsia="pl-PL"/>
              </w:rPr>
              <w:t xml:space="preserve">11) nr działki 226/8 oraz nr </w:t>
            </w:r>
            <w:r w:rsidRPr="00170743">
              <w:rPr>
                <w:rFonts w:eastAsia="Times New Roman"/>
                <w:bCs/>
                <w:iCs/>
                <w:color w:val="000000"/>
                <w:lang w:eastAsia="pl-PL"/>
              </w:rPr>
              <w:lastRenderedPageBreak/>
              <w:t>działki 224/1 (sołectwo Mirzec I); ST</w:t>
            </w:r>
          </w:p>
          <w:p w:rsidR="00170743" w:rsidRPr="00170743" w:rsidRDefault="00170743" w:rsidP="00170743">
            <w:pPr>
              <w:rPr>
                <w:rFonts w:eastAsia="Times New Roman"/>
                <w:bCs/>
                <w:iCs/>
                <w:color w:val="000000"/>
                <w:lang w:eastAsia="pl-PL"/>
              </w:rPr>
            </w:pPr>
            <w:r w:rsidRPr="00170743">
              <w:rPr>
                <w:rFonts w:eastAsia="Times New Roman"/>
                <w:bCs/>
                <w:iCs/>
                <w:color w:val="000000"/>
                <w:lang w:eastAsia="pl-PL"/>
              </w:rPr>
              <w:t>12) działka nr 163 (sołectwo Mirzec I)</w:t>
            </w:r>
          </w:p>
          <w:p w:rsidR="00170743" w:rsidRPr="00170743" w:rsidRDefault="00170743" w:rsidP="00170743">
            <w:pPr>
              <w:rPr>
                <w:rFonts w:eastAsia="Times New Roman"/>
                <w:bCs/>
                <w:iCs/>
                <w:color w:val="000000"/>
                <w:lang w:eastAsia="pl-PL"/>
              </w:rPr>
            </w:pPr>
            <w:r w:rsidRPr="00170743">
              <w:rPr>
                <w:rFonts w:eastAsia="Times New Roman"/>
                <w:bCs/>
                <w:iCs/>
                <w:color w:val="000000"/>
                <w:lang w:eastAsia="pl-PL"/>
              </w:rPr>
              <w:t xml:space="preserve">13) działka 133/1 – sołectwo Mirzec I (droga </w:t>
            </w:r>
            <w:r w:rsidRPr="00170743">
              <w:rPr>
                <w:rFonts w:eastAsia="Times New Roman"/>
                <w:bCs/>
                <w:iCs/>
                <w:color w:val="000000"/>
                <w:lang w:eastAsia="pl-PL"/>
              </w:rPr>
              <w:br/>
              <w:t>G-22)</w:t>
            </w:r>
          </w:p>
          <w:p w:rsidR="00170743" w:rsidRPr="00170743" w:rsidRDefault="00170743" w:rsidP="00170743">
            <w:pPr>
              <w:rPr>
                <w:rFonts w:eastAsia="Times New Roman"/>
                <w:bCs/>
                <w:iCs/>
                <w:color w:val="000000"/>
                <w:lang w:eastAsia="pl-PL"/>
              </w:rPr>
            </w:pPr>
            <w:r w:rsidRPr="00170743">
              <w:rPr>
                <w:rFonts w:eastAsia="Times New Roman"/>
                <w:bCs/>
                <w:iCs/>
                <w:color w:val="000000"/>
                <w:lang w:eastAsia="pl-PL"/>
              </w:rPr>
              <w:t>14) działka nr 1806/1 ( chodnik) – zarządca ŚZDW</w:t>
            </w:r>
          </w:p>
          <w:p w:rsidR="00170743" w:rsidRPr="00170743" w:rsidRDefault="00170743" w:rsidP="00170743">
            <w:pPr>
              <w:spacing w:after="200" w:line="276" w:lineRule="auto"/>
              <w:rPr>
                <w:rFonts w:eastAsia="Times New Roman"/>
                <w:bCs/>
                <w:iCs/>
                <w:color w:val="000000"/>
                <w:lang w:eastAsia="pl-PL"/>
              </w:rPr>
            </w:pPr>
            <w:r w:rsidRPr="00170743">
              <w:rPr>
                <w:rFonts w:eastAsia="Times New Roman"/>
                <w:bCs/>
                <w:iCs/>
                <w:color w:val="000000"/>
                <w:lang w:eastAsia="pl-PL"/>
              </w:rPr>
              <w:t xml:space="preserve">     </w:t>
            </w:r>
            <w:r w:rsidRPr="00170743">
              <w:rPr>
                <w:rFonts w:eastAsia="Times New Roman"/>
                <w:bCs/>
                <w:iCs/>
                <w:color w:val="000000"/>
                <w:u w:val="single"/>
                <w:lang w:eastAsia="pl-PL"/>
              </w:rPr>
              <w:t>Aspekt oświetlenia</w:t>
            </w:r>
            <w:r w:rsidRPr="00170743">
              <w:rPr>
                <w:rFonts w:eastAsia="Times New Roman"/>
                <w:bCs/>
                <w:iCs/>
                <w:color w:val="000000"/>
                <w:lang w:eastAsia="pl-PL"/>
              </w:rPr>
              <w:t xml:space="preserve">   Centrum Mirca – zasilanie ze stacji Mirzec Stary – 45 opraw, Mirzec Podborki I – 45 opraw/Bank, Kaj, Dom Kultury, Lewiatan, Delikatesy Barwin, Parking gminny, Świetlica Środowiskowa, Kościół, Urząd Gminy, Zespół Szkół, Ośrodek Zdrowia, Staw rybny.</w:t>
            </w:r>
          </w:p>
        </w:tc>
        <w:tc>
          <w:tcPr>
            <w:tcW w:w="1558" w:type="dxa"/>
            <w:tcBorders>
              <w:top w:val="single" w:sz="4" w:space="0" w:color="auto"/>
              <w:left w:val="single" w:sz="4" w:space="0" w:color="auto"/>
              <w:bottom w:val="single" w:sz="4" w:space="0" w:color="auto"/>
              <w:right w:val="single" w:sz="4" w:space="0" w:color="auto"/>
            </w:tcBorders>
            <w:hideMark/>
          </w:tcPr>
          <w:p w:rsidR="00170743" w:rsidRPr="00170743" w:rsidRDefault="00170743" w:rsidP="00170743">
            <w:pPr>
              <w:spacing w:after="200" w:line="276" w:lineRule="auto"/>
              <w:jc w:val="center"/>
              <w:rPr>
                <w:rFonts w:eastAsia="Times New Roman"/>
                <w:b/>
                <w:bCs/>
                <w:iCs/>
                <w:color w:val="4F81BD"/>
                <w:lang w:eastAsia="pl-PL"/>
              </w:rPr>
            </w:pPr>
            <w:r w:rsidRPr="00170743">
              <w:rPr>
                <w:rFonts w:eastAsia="Times New Roman"/>
                <w:b/>
                <w:bCs/>
                <w:iCs/>
                <w:color w:val="000000"/>
                <w:lang w:eastAsia="pl-PL"/>
              </w:rPr>
              <w:lastRenderedPageBreak/>
              <w:t xml:space="preserve">1 725 410 </w:t>
            </w:r>
          </w:p>
        </w:tc>
        <w:tc>
          <w:tcPr>
            <w:tcW w:w="3400" w:type="dxa"/>
            <w:tcBorders>
              <w:top w:val="single" w:sz="4" w:space="0" w:color="auto"/>
              <w:left w:val="single" w:sz="4" w:space="0" w:color="auto"/>
              <w:bottom w:val="single" w:sz="4" w:space="0" w:color="auto"/>
              <w:right w:val="single" w:sz="4" w:space="0" w:color="auto"/>
            </w:tcBorders>
            <w:hideMark/>
          </w:tcPr>
          <w:p w:rsidR="00170743" w:rsidRPr="00170743" w:rsidRDefault="00170743" w:rsidP="00170743">
            <w:pPr>
              <w:rPr>
                <w:rFonts w:eastAsia="Times New Roman"/>
                <w:bCs/>
                <w:iCs/>
                <w:color w:val="000000"/>
                <w:lang w:eastAsia="pl-PL"/>
              </w:rPr>
            </w:pPr>
            <w:r w:rsidRPr="00170743">
              <w:rPr>
                <w:rFonts w:eastAsia="Times New Roman"/>
                <w:bCs/>
                <w:iCs/>
                <w:color w:val="000000"/>
                <w:lang w:eastAsia="pl-PL"/>
              </w:rPr>
              <w:t xml:space="preserve">Rewitalizacja ok. 4 ha terenu poprzez nadanie nowych funkcji społeczno-ekonomicznych </w:t>
            </w:r>
            <w:r w:rsidRPr="00170743">
              <w:rPr>
                <w:rFonts w:eastAsia="Times New Roman"/>
                <w:bCs/>
                <w:iCs/>
                <w:color w:val="000000"/>
                <w:lang w:eastAsia="pl-PL"/>
              </w:rPr>
              <w:br/>
              <w:t xml:space="preserve">i turystyczno-rekreacyjnych. Wskutek realizacji działań nastąpi zwiększenie estetyki </w:t>
            </w:r>
            <w:r w:rsidRPr="00170743">
              <w:rPr>
                <w:rFonts w:eastAsia="Times New Roman"/>
                <w:bCs/>
                <w:iCs/>
                <w:color w:val="000000"/>
                <w:lang w:eastAsia="pl-PL"/>
              </w:rPr>
              <w:br/>
              <w:t xml:space="preserve">i użyteczności terenów </w:t>
            </w:r>
            <w:r w:rsidRPr="00170743">
              <w:rPr>
                <w:rFonts w:eastAsia="Times New Roman"/>
                <w:bCs/>
                <w:iCs/>
                <w:color w:val="000000"/>
                <w:lang w:eastAsia="pl-PL"/>
              </w:rPr>
              <w:br/>
              <w:t>i obiektów w centrum Mirca. Nastąpi integracja społeczna, zmniejszanie ubóstwa, promocja zdrowia, promocja aktywizacja społeczna Realizacji inwestycji z pewnością przyczyni się do lepszego dostępu do usług ogólnospołecznych dając tym impuls do ożywienia gospodarczego centrum Mirca i pozytywnych zmian w środowisku naturalnym realizując zrównoważony rozwój i poprawa jakości życia mieszkańców Mirca .</w:t>
            </w:r>
          </w:p>
          <w:p w:rsidR="00170743" w:rsidRPr="00170743" w:rsidRDefault="00170743" w:rsidP="00170743">
            <w:pPr>
              <w:spacing w:after="200" w:line="276" w:lineRule="auto"/>
              <w:rPr>
                <w:rFonts w:eastAsia="Times New Roman"/>
                <w:bCs/>
                <w:iCs/>
                <w:color w:val="000000"/>
                <w:lang w:eastAsia="pl-PL"/>
              </w:rPr>
            </w:pPr>
            <w:r w:rsidRPr="00170743">
              <w:rPr>
                <w:rFonts w:eastAsia="Times New Roman"/>
                <w:bCs/>
                <w:iCs/>
                <w:color w:val="000000"/>
                <w:lang w:eastAsia="pl-PL"/>
              </w:rPr>
              <w:t xml:space="preserve">Zwiększenie i poprawa jakości usług publicznych </w:t>
            </w:r>
            <w:r w:rsidRPr="00170743">
              <w:rPr>
                <w:rFonts w:eastAsia="Times New Roman"/>
                <w:bCs/>
                <w:iCs/>
                <w:color w:val="000000"/>
                <w:lang w:eastAsia="pl-PL"/>
              </w:rPr>
              <w:br/>
            </w:r>
            <w:r w:rsidRPr="00170743">
              <w:rPr>
                <w:rFonts w:eastAsia="Times New Roman"/>
                <w:bCs/>
                <w:iCs/>
                <w:color w:val="000000"/>
                <w:lang w:eastAsia="pl-PL"/>
              </w:rPr>
              <w:lastRenderedPageBreak/>
              <w:t>i społecznych.</w:t>
            </w:r>
          </w:p>
        </w:tc>
        <w:tc>
          <w:tcPr>
            <w:tcW w:w="1778" w:type="dxa"/>
            <w:tcBorders>
              <w:top w:val="single" w:sz="4" w:space="0" w:color="auto"/>
              <w:left w:val="single" w:sz="4" w:space="0" w:color="auto"/>
              <w:bottom w:val="single" w:sz="4" w:space="0" w:color="auto"/>
              <w:right w:val="single" w:sz="4" w:space="0" w:color="auto"/>
            </w:tcBorders>
          </w:tcPr>
          <w:p w:rsidR="00170743" w:rsidRPr="00170743" w:rsidRDefault="00170743" w:rsidP="00170743">
            <w:pPr>
              <w:rPr>
                <w:rFonts w:eastAsia="Times New Roman"/>
                <w:b/>
                <w:bCs/>
                <w:iCs/>
                <w:color w:val="000000"/>
                <w:lang w:eastAsia="pl-PL"/>
              </w:rPr>
            </w:pPr>
            <w:r w:rsidRPr="00170743">
              <w:rPr>
                <w:rFonts w:eastAsia="Times New Roman"/>
                <w:b/>
                <w:bCs/>
                <w:iCs/>
                <w:color w:val="000000"/>
                <w:lang w:eastAsia="pl-PL"/>
              </w:rPr>
              <w:lastRenderedPageBreak/>
              <w:t xml:space="preserve">Urząd Gminy </w:t>
            </w:r>
            <w:r w:rsidRPr="00170743">
              <w:rPr>
                <w:rFonts w:eastAsia="Times New Roman"/>
                <w:b/>
                <w:bCs/>
                <w:iCs/>
                <w:color w:val="000000"/>
                <w:lang w:eastAsia="pl-PL"/>
              </w:rPr>
              <w:br/>
              <w:t>w Mircu.</w:t>
            </w:r>
          </w:p>
          <w:p w:rsidR="00170743" w:rsidRPr="00170743" w:rsidRDefault="00170743" w:rsidP="00170743">
            <w:pPr>
              <w:rPr>
                <w:rFonts w:eastAsia="Times New Roman"/>
                <w:bCs/>
                <w:iCs/>
                <w:color w:val="000000"/>
                <w:lang w:eastAsia="pl-PL"/>
              </w:rPr>
            </w:pPr>
          </w:p>
          <w:p w:rsidR="00170743" w:rsidRPr="00170743" w:rsidRDefault="00170743" w:rsidP="00170743">
            <w:pPr>
              <w:spacing w:after="200" w:line="276" w:lineRule="auto"/>
              <w:rPr>
                <w:rFonts w:eastAsia="Times New Roman"/>
                <w:b/>
                <w:bCs/>
                <w:iCs/>
                <w:color w:val="4F81BD"/>
                <w:sz w:val="28"/>
                <w:szCs w:val="28"/>
                <w:lang w:eastAsia="pl-PL"/>
              </w:rPr>
            </w:pPr>
            <w:r w:rsidRPr="00170743">
              <w:rPr>
                <w:rFonts w:eastAsia="Times New Roman"/>
                <w:bCs/>
                <w:iCs/>
                <w:color w:val="000000"/>
                <w:lang w:eastAsia="pl-PL"/>
              </w:rPr>
              <w:t>2016-2018r.</w:t>
            </w:r>
          </w:p>
        </w:tc>
      </w:tr>
      <w:tr w:rsidR="00170743" w:rsidRPr="00170743" w:rsidTr="00170743">
        <w:tc>
          <w:tcPr>
            <w:tcW w:w="529" w:type="dxa"/>
            <w:tcBorders>
              <w:top w:val="single" w:sz="4" w:space="0" w:color="auto"/>
              <w:left w:val="single" w:sz="4" w:space="0" w:color="auto"/>
              <w:bottom w:val="single" w:sz="4" w:space="0" w:color="auto"/>
              <w:right w:val="single" w:sz="4" w:space="0" w:color="auto"/>
            </w:tcBorders>
            <w:hideMark/>
          </w:tcPr>
          <w:p w:rsidR="00170743" w:rsidRPr="00170743" w:rsidRDefault="00170743" w:rsidP="00170743">
            <w:pPr>
              <w:spacing w:after="200" w:line="276" w:lineRule="auto"/>
              <w:rPr>
                <w:rFonts w:eastAsia="Times New Roman"/>
                <w:b/>
                <w:bCs/>
                <w:iCs/>
                <w:color w:val="4F81BD"/>
                <w:sz w:val="28"/>
                <w:szCs w:val="28"/>
                <w:lang w:eastAsia="pl-PL"/>
              </w:rPr>
            </w:pPr>
            <w:r w:rsidRPr="00170743">
              <w:rPr>
                <w:rFonts w:eastAsia="Times New Roman"/>
                <w:b/>
                <w:bCs/>
                <w:iCs/>
                <w:color w:val="4F81BD"/>
                <w:sz w:val="28"/>
                <w:szCs w:val="28"/>
                <w:lang w:eastAsia="pl-PL"/>
              </w:rPr>
              <w:lastRenderedPageBreak/>
              <w:t>2</w:t>
            </w:r>
          </w:p>
        </w:tc>
        <w:tc>
          <w:tcPr>
            <w:tcW w:w="1989" w:type="dxa"/>
            <w:gridSpan w:val="2"/>
            <w:tcBorders>
              <w:top w:val="single" w:sz="4" w:space="0" w:color="auto"/>
              <w:left w:val="single" w:sz="4" w:space="0" w:color="auto"/>
              <w:bottom w:val="single" w:sz="4" w:space="0" w:color="auto"/>
              <w:right w:val="single" w:sz="4" w:space="0" w:color="auto"/>
            </w:tcBorders>
            <w:hideMark/>
          </w:tcPr>
          <w:p w:rsidR="00170743" w:rsidRPr="00170743" w:rsidRDefault="00170743" w:rsidP="00170743">
            <w:pPr>
              <w:spacing w:after="200" w:line="276" w:lineRule="auto"/>
              <w:rPr>
                <w:rFonts w:eastAsia="Times New Roman"/>
                <w:b/>
                <w:bCs/>
                <w:iCs/>
                <w:color w:val="000000"/>
                <w:lang w:eastAsia="pl-PL"/>
              </w:rPr>
            </w:pPr>
            <w:r w:rsidRPr="00170743">
              <w:rPr>
                <w:rFonts w:eastAsia="Times New Roman"/>
                <w:b/>
                <w:bCs/>
                <w:iCs/>
                <w:color w:val="000000"/>
                <w:lang w:eastAsia="pl-PL"/>
              </w:rPr>
              <w:t xml:space="preserve">Rewitalizacja ośrodka zdrowia </w:t>
            </w:r>
            <w:r w:rsidRPr="00170743">
              <w:rPr>
                <w:rFonts w:eastAsia="Times New Roman"/>
                <w:b/>
                <w:bCs/>
                <w:iCs/>
                <w:color w:val="000000"/>
                <w:lang w:eastAsia="pl-PL"/>
              </w:rPr>
              <w:br/>
              <w:t xml:space="preserve">w Mircu poprzez naprawę </w:t>
            </w:r>
            <w:r w:rsidRPr="00170743">
              <w:rPr>
                <w:rFonts w:eastAsia="Times New Roman"/>
                <w:b/>
                <w:bCs/>
                <w:iCs/>
                <w:color w:val="000000"/>
                <w:lang w:eastAsia="pl-PL"/>
              </w:rPr>
              <w:br/>
              <w:t>i usprawnienie dostępu do podstawowej opieki zdrowotnej.</w:t>
            </w:r>
          </w:p>
        </w:tc>
        <w:tc>
          <w:tcPr>
            <w:tcW w:w="3684" w:type="dxa"/>
            <w:tcBorders>
              <w:top w:val="single" w:sz="4" w:space="0" w:color="auto"/>
              <w:left w:val="single" w:sz="4" w:space="0" w:color="auto"/>
              <w:bottom w:val="single" w:sz="4" w:space="0" w:color="auto"/>
              <w:right w:val="single" w:sz="4" w:space="0" w:color="auto"/>
            </w:tcBorders>
            <w:hideMark/>
          </w:tcPr>
          <w:p w:rsidR="00170743" w:rsidRPr="00170743" w:rsidRDefault="00170743" w:rsidP="00170743">
            <w:pPr>
              <w:rPr>
                <w:rFonts w:eastAsia="Times New Roman"/>
                <w:bCs/>
                <w:iCs/>
                <w:color w:val="000000"/>
                <w:lang w:eastAsia="pl-PL"/>
              </w:rPr>
            </w:pPr>
            <w:r w:rsidRPr="00170743">
              <w:rPr>
                <w:rFonts w:eastAsia="Times New Roman"/>
                <w:b/>
                <w:bCs/>
                <w:iCs/>
                <w:color w:val="000000"/>
                <w:lang w:eastAsia="pl-PL"/>
              </w:rPr>
              <w:t>Prace budowlane</w:t>
            </w:r>
            <w:r w:rsidRPr="00170743">
              <w:rPr>
                <w:rFonts w:eastAsia="Times New Roman"/>
                <w:bCs/>
                <w:iCs/>
                <w:color w:val="000000"/>
                <w:lang w:eastAsia="pl-PL"/>
              </w:rPr>
              <w:t xml:space="preserve">: Zgodnie z kosztorysami inwestorskimi z branży: budowlanej, elektrycznej i teletechnicznej (wymiana instalacji elektrycznej w budynku przychodni) oraz kosztorysu przebudowy instalacji co. Prace budowlane polegać będą m.in. na zainstalowaniu windy, przystosowaniu pomieszczeń na archiwum i szatnie, przebudowy systemu grzewczego, wymianę drzwi (w tym zamontowanie drzwi automatycznych), instalacji elektrycznej, malowaniu wnętrz ośrodka, wyłożenie płytek na ścianach, centralna kartoteka itp. </w:t>
            </w:r>
          </w:p>
          <w:p w:rsidR="00170743" w:rsidRPr="00170743" w:rsidRDefault="00170743" w:rsidP="00170743">
            <w:pPr>
              <w:rPr>
                <w:rFonts w:eastAsia="Times New Roman"/>
                <w:bCs/>
                <w:iCs/>
                <w:color w:val="000000"/>
                <w:lang w:eastAsia="pl-PL"/>
              </w:rPr>
            </w:pPr>
            <w:r w:rsidRPr="00170743">
              <w:rPr>
                <w:rFonts w:eastAsia="Times New Roman"/>
                <w:b/>
                <w:bCs/>
                <w:iCs/>
                <w:color w:val="000000"/>
                <w:lang w:eastAsia="pl-PL"/>
              </w:rPr>
              <w:t>Sprzęt medyczny</w:t>
            </w:r>
            <w:r w:rsidRPr="00170743">
              <w:rPr>
                <w:rFonts w:eastAsia="Times New Roman"/>
                <w:bCs/>
                <w:iCs/>
                <w:color w:val="000000"/>
                <w:lang w:eastAsia="pl-PL"/>
              </w:rPr>
              <w:t xml:space="preserve"> (aparaty USG, EKG, aparat do krioterapii, wirówka laboratoryjna, koagulometr, destylarka, analizator do badania moczu, sterylizator, spirometr, defibrylator, holter ciśnienia, puls oksymetr, kardiomonitor, detektor tętna płodu, wagi lekarskie, torby reanimacyjne, zestawy pielęgniarki, deska ortopedyczna),  zinformatyzowane urządzenia do diagnostyki wad postawy ciała i otyłości.</w:t>
            </w:r>
          </w:p>
          <w:p w:rsidR="00170743" w:rsidRPr="00170743" w:rsidRDefault="00170743" w:rsidP="00170743">
            <w:pPr>
              <w:spacing w:after="200" w:line="276" w:lineRule="auto"/>
              <w:rPr>
                <w:rFonts w:eastAsia="Times New Roman"/>
                <w:bCs/>
                <w:iCs/>
                <w:color w:val="000000"/>
                <w:lang w:eastAsia="pl-PL"/>
              </w:rPr>
            </w:pPr>
            <w:r w:rsidRPr="00170743">
              <w:rPr>
                <w:rFonts w:eastAsia="Times New Roman"/>
                <w:b/>
                <w:bCs/>
                <w:iCs/>
                <w:color w:val="000000"/>
                <w:lang w:eastAsia="pl-PL"/>
              </w:rPr>
              <w:t>Zagadnienia IT</w:t>
            </w:r>
            <w:r w:rsidRPr="00170743">
              <w:rPr>
                <w:rFonts w:eastAsia="Times New Roman"/>
                <w:bCs/>
                <w:iCs/>
                <w:color w:val="000000"/>
                <w:lang w:eastAsia="pl-PL"/>
              </w:rPr>
              <w:t xml:space="preserve"> stworzenie</w:t>
            </w:r>
            <w:r w:rsidRPr="00170743">
              <w:rPr>
                <w:rFonts w:eastAsia="Times New Roman"/>
                <w:bCs/>
                <w:iCs/>
                <w:color w:val="000000"/>
                <w:lang w:eastAsia="pl-PL"/>
              </w:rPr>
              <w:br/>
              <w:t xml:space="preserve">e-rejestracji, e-wyników laboratoryjnych, e-diagnostyka, </w:t>
            </w:r>
            <w:r w:rsidRPr="00170743">
              <w:rPr>
                <w:rFonts w:eastAsia="Times New Roman"/>
                <w:bCs/>
                <w:iCs/>
                <w:color w:val="000000"/>
                <w:lang w:eastAsia="pl-PL"/>
              </w:rPr>
              <w:lastRenderedPageBreak/>
              <w:t xml:space="preserve">nabycie centralnego komputera </w:t>
            </w:r>
            <w:r w:rsidRPr="00170743">
              <w:rPr>
                <w:rFonts w:eastAsia="Times New Roman"/>
                <w:bCs/>
                <w:iCs/>
                <w:color w:val="000000"/>
                <w:lang w:eastAsia="pl-PL"/>
              </w:rPr>
              <w:br/>
              <w:t>z oprogramowaniem, strony internetowe itp.</w:t>
            </w:r>
          </w:p>
        </w:tc>
        <w:tc>
          <w:tcPr>
            <w:tcW w:w="2692" w:type="dxa"/>
            <w:tcBorders>
              <w:top w:val="single" w:sz="4" w:space="0" w:color="auto"/>
              <w:left w:val="single" w:sz="4" w:space="0" w:color="auto"/>
              <w:bottom w:val="single" w:sz="4" w:space="0" w:color="auto"/>
              <w:right w:val="single" w:sz="4" w:space="0" w:color="auto"/>
            </w:tcBorders>
            <w:hideMark/>
          </w:tcPr>
          <w:p w:rsidR="00170743" w:rsidRPr="00170743" w:rsidRDefault="00170743" w:rsidP="00170743">
            <w:pPr>
              <w:spacing w:after="200" w:line="276" w:lineRule="auto"/>
              <w:rPr>
                <w:rFonts w:eastAsia="Times New Roman"/>
                <w:bCs/>
                <w:iCs/>
                <w:color w:val="000000"/>
                <w:lang w:eastAsia="pl-PL"/>
              </w:rPr>
            </w:pPr>
            <w:r w:rsidRPr="00170743">
              <w:rPr>
                <w:rFonts w:eastAsia="Times New Roman"/>
                <w:bCs/>
                <w:iCs/>
                <w:color w:val="000000"/>
                <w:lang w:eastAsia="pl-PL"/>
              </w:rPr>
              <w:lastRenderedPageBreak/>
              <w:t>Działka 2656/9 (ośrodek zdrowia) pow. 0,43 ha – przeznaczenie zgodnie z mpzp - UZ</w:t>
            </w:r>
          </w:p>
        </w:tc>
        <w:tc>
          <w:tcPr>
            <w:tcW w:w="1558" w:type="dxa"/>
            <w:tcBorders>
              <w:top w:val="single" w:sz="4" w:space="0" w:color="auto"/>
              <w:left w:val="single" w:sz="4" w:space="0" w:color="auto"/>
              <w:bottom w:val="single" w:sz="4" w:space="0" w:color="auto"/>
              <w:right w:val="single" w:sz="4" w:space="0" w:color="auto"/>
            </w:tcBorders>
            <w:hideMark/>
          </w:tcPr>
          <w:p w:rsidR="00170743" w:rsidRPr="00170743" w:rsidRDefault="00170743" w:rsidP="00170743">
            <w:pPr>
              <w:spacing w:after="200" w:line="276" w:lineRule="auto"/>
              <w:rPr>
                <w:rFonts w:eastAsia="Times New Roman"/>
                <w:b/>
                <w:bCs/>
                <w:iCs/>
                <w:color w:val="000000"/>
                <w:lang w:eastAsia="pl-PL"/>
              </w:rPr>
            </w:pPr>
            <w:r w:rsidRPr="00170743">
              <w:rPr>
                <w:rFonts w:eastAsia="Times New Roman"/>
                <w:b/>
                <w:bCs/>
                <w:iCs/>
                <w:color w:val="000000"/>
                <w:lang w:eastAsia="pl-PL"/>
              </w:rPr>
              <w:t>1 300 000</w:t>
            </w:r>
          </w:p>
        </w:tc>
        <w:tc>
          <w:tcPr>
            <w:tcW w:w="3400" w:type="dxa"/>
            <w:tcBorders>
              <w:top w:val="single" w:sz="4" w:space="0" w:color="auto"/>
              <w:left w:val="single" w:sz="4" w:space="0" w:color="auto"/>
              <w:bottom w:val="single" w:sz="4" w:space="0" w:color="auto"/>
              <w:right w:val="single" w:sz="4" w:space="0" w:color="auto"/>
            </w:tcBorders>
            <w:hideMark/>
          </w:tcPr>
          <w:p w:rsidR="00170743" w:rsidRPr="00170743" w:rsidRDefault="00170743" w:rsidP="00170743">
            <w:pPr>
              <w:spacing w:after="200" w:line="276" w:lineRule="auto"/>
              <w:rPr>
                <w:rFonts w:eastAsia="Times New Roman"/>
                <w:bCs/>
                <w:iCs/>
                <w:color w:val="000000"/>
                <w:lang w:eastAsia="pl-PL"/>
              </w:rPr>
            </w:pPr>
            <w:r w:rsidRPr="00170743">
              <w:rPr>
                <w:rFonts w:eastAsia="Times New Roman"/>
                <w:bCs/>
                <w:iCs/>
                <w:color w:val="000000"/>
                <w:lang w:eastAsia="pl-PL"/>
              </w:rPr>
              <w:t>Przeciwdziałanie najgorszemu dostępowi do usług publicznych z gmin powiatu starachowickiego. Zwiększenie dostępności i polepszenia  jakości  do podstawowych usług zdrowotnych. Realizacja programów profilaktycznych propagujących prozdrowotny styl życia (niwelowanie chorobom układu  ruchu /krążenia)</w:t>
            </w:r>
          </w:p>
        </w:tc>
        <w:tc>
          <w:tcPr>
            <w:tcW w:w="1778" w:type="dxa"/>
            <w:tcBorders>
              <w:top w:val="single" w:sz="4" w:space="0" w:color="auto"/>
              <w:left w:val="single" w:sz="4" w:space="0" w:color="auto"/>
              <w:bottom w:val="single" w:sz="4" w:space="0" w:color="auto"/>
              <w:right w:val="single" w:sz="4" w:space="0" w:color="auto"/>
            </w:tcBorders>
          </w:tcPr>
          <w:p w:rsidR="00170743" w:rsidRPr="00170743" w:rsidRDefault="00170743" w:rsidP="00170743">
            <w:pPr>
              <w:rPr>
                <w:rFonts w:eastAsia="Times New Roman"/>
                <w:b/>
                <w:bCs/>
                <w:iCs/>
                <w:color w:val="000000"/>
                <w:lang w:eastAsia="pl-PL"/>
              </w:rPr>
            </w:pPr>
            <w:r w:rsidRPr="00170743">
              <w:rPr>
                <w:rFonts w:eastAsia="Times New Roman"/>
                <w:b/>
                <w:bCs/>
                <w:iCs/>
                <w:color w:val="000000"/>
                <w:lang w:eastAsia="pl-PL"/>
              </w:rPr>
              <w:t>SPZOZ w Mircu</w:t>
            </w:r>
          </w:p>
          <w:p w:rsidR="00170743" w:rsidRPr="00170743" w:rsidRDefault="00170743" w:rsidP="00170743">
            <w:pPr>
              <w:rPr>
                <w:rFonts w:eastAsia="Times New Roman"/>
                <w:bCs/>
                <w:iCs/>
                <w:color w:val="000000"/>
                <w:lang w:eastAsia="pl-PL"/>
              </w:rPr>
            </w:pPr>
          </w:p>
          <w:p w:rsidR="00170743" w:rsidRPr="00170743" w:rsidRDefault="00170743" w:rsidP="00170743">
            <w:pPr>
              <w:spacing w:after="200" w:line="276" w:lineRule="auto"/>
              <w:rPr>
                <w:rFonts w:eastAsia="Times New Roman"/>
                <w:bCs/>
                <w:iCs/>
                <w:color w:val="000000"/>
                <w:lang w:eastAsia="pl-PL"/>
              </w:rPr>
            </w:pPr>
            <w:r w:rsidRPr="00170743">
              <w:rPr>
                <w:rFonts w:eastAsia="Times New Roman"/>
                <w:bCs/>
                <w:iCs/>
                <w:color w:val="000000"/>
                <w:lang w:eastAsia="pl-PL"/>
              </w:rPr>
              <w:t>2016-2018r.</w:t>
            </w:r>
          </w:p>
        </w:tc>
      </w:tr>
      <w:tr w:rsidR="00170743" w:rsidRPr="00170743" w:rsidTr="00170743">
        <w:tc>
          <w:tcPr>
            <w:tcW w:w="529" w:type="dxa"/>
            <w:tcBorders>
              <w:top w:val="single" w:sz="4" w:space="0" w:color="auto"/>
              <w:left w:val="single" w:sz="4" w:space="0" w:color="auto"/>
              <w:bottom w:val="single" w:sz="4" w:space="0" w:color="auto"/>
              <w:right w:val="single" w:sz="4" w:space="0" w:color="auto"/>
            </w:tcBorders>
            <w:hideMark/>
          </w:tcPr>
          <w:p w:rsidR="00170743" w:rsidRPr="00170743" w:rsidRDefault="00170743" w:rsidP="00170743">
            <w:pPr>
              <w:spacing w:after="200" w:line="276" w:lineRule="auto"/>
              <w:rPr>
                <w:rFonts w:eastAsia="Times New Roman"/>
                <w:b/>
                <w:bCs/>
                <w:iCs/>
                <w:color w:val="4F81BD"/>
                <w:sz w:val="28"/>
                <w:szCs w:val="28"/>
                <w:lang w:eastAsia="pl-PL"/>
              </w:rPr>
            </w:pPr>
            <w:r w:rsidRPr="00170743">
              <w:rPr>
                <w:rFonts w:eastAsia="Times New Roman"/>
                <w:b/>
                <w:bCs/>
                <w:iCs/>
                <w:color w:val="4F81BD"/>
                <w:sz w:val="28"/>
                <w:szCs w:val="28"/>
                <w:lang w:eastAsia="pl-PL"/>
              </w:rPr>
              <w:lastRenderedPageBreak/>
              <w:t>3</w:t>
            </w:r>
          </w:p>
        </w:tc>
        <w:tc>
          <w:tcPr>
            <w:tcW w:w="1989" w:type="dxa"/>
            <w:gridSpan w:val="2"/>
            <w:tcBorders>
              <w:top w:val="single" w:sz="4" w:space="0" w:color="auto"/>
              <w:left w:val="single" w:sz="4" w:space="0" w:color="auto"/>
              <w:bottom w:val="single" w:sz="4" w:space="0" w:color="auto"/>
              <w:right w:val="single" w:sz="4" w:space="0" w:color="auto"/>
            </w:tcBorders>
            <w:hideMark/>
          </w:tcPr>
          <w:p w:rsidR="00170743" w:rsidRPr="00170743" w:rsidRDefault="00170743" w:rsidP="00170743">
            <w:pPr>
              <w:spacing w:after="200" w:line="276" w:lineRule="auto"/>
              <w:rPr>
                <w:rFonts w:eastAsia="Times New Roman"/>
                <w:b/>
                <w:bCs/>
                <w:iCs/>
                <w:color w:val="000000"/>
                <w:lang w:eastAsia="pl-PL"/>
              </w:rPr>
            </w:pPr>
            <w:r w:rsidRPr="00170743">
              <w:rPr>
                <w:rFonts w:eastAsia="Times New Roman"/>
                <w:b/>
                <w:bCs/>
                <w:iCs/>
                <w:color w:val="000000"/>
                <w:lang w:eastAsia="pl-PL"/>
              </w:rPr>
              <w:t xml:space="preserve">Przebudowa drogi gminnej Nr 347004T – Podborki Majorat </w:t>
            </w:r>
          </w:p>
        </w:tc>
        <w:tc>
          <w:tcPr>
            <w:tcW w:w="3684" w:type="dxa"/>
            <w:tcBorders>
              <w:top w:val="single" w:sz="4" w:space="0" w:color="auto"/>
              <w:left w:val="single" w:sz="4" w:space="0" w:color="auto"/>
              <w:bottom w:val="single" w:sz="4" w:space="0" w:color="auto"/>
              <w:right w:val="single" w:sz="4" w:space="0" w:color="auto"/>
            </w:tcBorders>
            <w:hideMark/>
          </w:tcPr>
          <w:p w:rsidR="00170743" w:rsidRPr="00170743" w:rsidRDefault="00170743" w:rsidP="00170743">
            <w:pPr>
              <w:spacing w:after="200" w:line="276" w:lineRule="auto"/>
              <w:rPr>
                <w:rFonts w:eastAsia="Times New Roman"/>
                <w:bCs/>
                <w:iCs/>
                <w:color w:val="000000"/>
                <w:lang w:eastAsia="pl-PL"/>
              </w:rPr>
            </w:pPr>
            <w:r w:rsidRPr="00170743">
              <w:rPr>
                <w:rFonts w:eastAsia="Times New Roman"/>
                <w:bCs/>
                <w:iCs/>
                <w:color w:val="000000"/>
                <w:lang w:eastAsia="pl-PL"/>
              </w:rPr>
              <w:t>Długość odcinka 1,28 km ,szerokość jezdni 3,5 m , szerokość poboczy 2x75m , przepusty 187 mb, podbudowa z kruszywa naturalnego</w:t>
            </w:r>
          </w:p>
        </w:tc>
        <w:tc>
          <w:tcPr>
            <w:tcW w:w="2692" w:type="dxa"/>
            <w:tcBorders>
              <w:top w:val="single" w:sz="4" w:space="0" w:color="auto"/>
              <w:left w:val="single" w:sz="4" w:space="0" w:color="auto"/>
              <w:bottom w:val="single" w:sz="4" w:space="0" w:color="auto"/>
              <w:right w:val="single" w:sz="4" w:space="0" w:color="auto"/>
            </w:tcBorders>
            <w:hideMark/>
          </w:tcPr>
          <w:p w:rsidR="00170743" w:rsidRPr="00170743" w:rsidRDefault="00170743" w:rsidP="00170743">
            <w:pPr>
              <w:spacing w:after="200" w:line="276" w:lineRule="auto"/>
              <w:rPr>
                <w:rFonts w:eastAsia="Times New Roman"/>
                <w:bCs/>
                <w:iCs/>
                <w:color w:val="000000"/>
                <w:lang w:eastAsia="pl-PL"/>
              </w:rPr>
            </w:pPr>
            <w:r w:rsidRPr="00170743">
              <w:rPr>
                <w:rFonts w:eastAsia="Times New Roman"/>
                <w:bCs/>
                <w:iCs/>
                <w:color w:val="000000"/>
                <w:lang w:eastAsia="pl-PL"/>
              </w:rPr>
              <w:t xml:space="preserve">Obręb Mirzec I </w:t>
            </w:r>
            <w:r w:rsidRPr="00170743">
              <w:rPr>
                <w:rFonts w:eastAsia="Times New Roman"/>
                <w:bCs/>
                <w:iCs/>
                <w:color w:val="000000"/>
                <w:lang w:eastAsia="pl-PL"/>
              </w:rPr>
              <w:br/>
              <w:t>nr działki 31</w:t>
            </w:r>
          </w:p>
        </w:tc>
        <w:tc>
          <w:tcPr>
            <w:tcW w:w="1558" w:type="dxa"/>
            <w:tcBorders>
              <w:top w:val="single" w:sz="4" w:space="0" w:color="auto"/>
              <w:left w:val="single" w:sz="4" w:space="0" w:color="auto"/>
              <w:bottom w:val="single" w:sz="4" w:space="0" w:color="auto"/>
              <w:right w:val="single" w:sz="4" w:space="0" w:color="auto"/>
            </w:tcBorders>
            <w:hideMark/>
          </w:tcPr>
          <w:p w:rsidR="00170743" w:rsidRPr="00170743" w:rsidRDefault="00170743" w:rsidP="00170743">
            <w:pPr>
              <w:spacing w:after="200" w:line="276" w:lineRule="auto"/>
              <w:rPr>
                <w:rFonts w:eastAsia="Times New Roman"/>
                <w:b/>
                <w:bCs/>
                <w:iCs/>
                <w:color w:val="000000"/>
                <w:lang w:eastAsia="pl-PL"/>
              </w:rPr>
            </w:pPr>
            <w:r w:rsidRPr="00170743">
              <w:rPr>
                <w:rFonts w:eastAsia="Times New Roman"/>
                <w:b/>
                <w:bCs/>
                <w:iCs/>
                <w:color w:val="000000"/>
                <w:lang w:eastAsia="pl-PL"/>
              </w:rPr>
              <w:t>817 200</w:t>
            </w:r>
          </w:p>
        </w:tc>
        <w:tc>
          <w:tcPr>
            <w:tcW w:w="3400" w:type="dxa"/>
            <w:tcBorders>
              <w:top w:val="single" w:sz="4" w:space="0" w:color="auto"/>
              <w:left w:val="single" w:sz="4" w:space="0" w:color="auto"/>
              <w:bottom w:val="single" w:sz="4" w:space="0" w:color="auto"/>
              <w:right w:val="single" w:sz="4" w:space="0" w:color="auto"/>
            </w:tcBorders>
            <w:hideMark/>
          </w:tcPr>
          <w:p w:rsidR="00170743" w:rsidRPr="00170743" w:rsidRDefault="00170743" w:rsidP="00170743">
            <w:pPr>
              <w:spacing w:after="200" w:line="276" w:lineRule="auto"/>
              <w:rPr>
                <w:rFonts w:eastAsia="Times New Roman"/>
                <w:bCs/>
                <w:iCs/>
                <w:color w:val="000000"/>
                <w:lang w:eastAsia="pl-PL"/>
              </w:rPr>
            </w:pPr>
            <w:r w:rsidRPr="00170743">
              <w:rPr>
                <w:rFonts w:eastAsia="Times New Roman"/>
                <w:bCs/>
                <w:iCs/>
                <w:color w:val="000000"/>
                <w:lang w:eastAsia="pl-PL"/>
              </w:rPr>
              <w:t>Usprawnianie komunikacji poprawa bezpieczeństwa</w:t>
            </w:r>
          </w:p>
        </w:tc>
        <w:tc>
          <w:tcPr>
            <w:tcW w:w="1778" w:type="dxa"/>
            <w:tcBorders>
              <w:top w:val="single" w:sz="4" w:space="0" w:color="auto"/>
              <w:left w:val="single" w:sz="4" w:space="0" w:color="auto"/>
              <w:bottom w:val="single" w:sz="4" w:space="0" w:color="auto"/>
              <w:right w:val="single" w:sz="4" w:space="0" w:color="auto"/>
            </w:tcBorders>
          </w:tcPr>
          <w:p w:rsidR="00170743" w:rsidRPr="00170743" w:rsidRDefault="00170743" w:rsidP="00170743">
            <w:pPr>
              <w:rPr>
                <w:rFonts w:eastAsia="Times New Roman"/>
                <w:b/>
                <w:bCs/>
                <w:iCs/>
                <w:color w:val="000000"/>
                <w:lang w:eastAsia="pl-PL"/>
              </w:rPr>
            </w:pPr>
            <w:r w:rsidRPr="00170743">
              <w:rPr>
                <w:rFonts w:eastAsia="Times New Roman"/>
                <w:b/>
                <w:bCs/>
                <w:iCs/>
                <w:color w:val="000000"/>
                <w:lang w:eastAsia="pl-PL"/>
              </w:rPr>
              <w:t xml:space="preserve">Urząd Gminy </w:t>
            </w:r>
            <w:r w:rsidRPr="00170743">
              <w:rPr>
                <w:rFonts w:eastAsia="Times New Roman"/>
                <w:b/>
                <w:bCs/>
                <w:iCs/>
                <w:color w:val="000000"/>
                <w:lang w:eastAsia="pl-PL"/>
              </w:rPr>
              <w:br/>
              <w:t>w Mircu</w:t>
            </w:r>
          </w:p>
          <w:p w:rsidR="00170743" w:rsidRPr="00170743" w:rsidRDefault="00170743" w:rsidP="00170743">
            <w:pPr>
              <w:rPr>
                <w:rFonts w:eastAsia="Times New Roman"/>
                <w:bCs/>
                <w:iCs/>
                <w:color w:val="000000"/>
                <w:lang w:eastAsia="pl-PL"/>
              </w:rPr>
            </w:pPr>
          </w:p>
          <w:p w:rsidR="00170743" w:rsidRPr="00170743" w:rsidRDefault="00170743" w:rsidP="00170743">
            <w:pPr>
              <w:spacing w:after="200" w:line="276" w:lineRule="auto"/>
              <w:rPr>
                <w:rFonts w:eastAsia="Times New Roman"/>
                <w:b/>
                <w:bCs/>
                <w:iCs/>
                <w:color w:val="000000"/>
                <w:lang w:eastAsia="pl-PL"/>
              </w:rPr>
            </w:pPr>
            <w:r w:rsidRPr="00170743">
              <w:rPr>
                <w:rFonts w:eastAsia="Times New Roman"/>
                <w:bCs/>
                <w:iCs/>
                <w:color w:val="000000"/>
                <w:lang w:eastAsia="pl-PL"/>
              </w:rPr>
              <w:t>2016r.</w:t>
            </w:r>
          </w:p>
        </w:tc>
      </w:tr>
      <w:tr w:rsidR="00170743" w:rsidRPr="00170743" w:rsidTr="00170743">
        <w:tc>
          <w:tcPr>
            <w:tcW w:w="529" w:type="dxa"/>
            <w:tcBorders>
              <w:top w:val="single" w:sz="4" w:space="0" w:color="auto"/>
              <w:left w:val="single" w:sz="4" w:space="0" w:color="auto"/>
              <w:bottom w:val="single" w:sz="4" w:space="0" w:color="auto"/>
              <w:right w:val="single" w:sz="4" w:space="0" w:color="auto"/>
            </w:tcBorders>
            <w:hideMark/>
          </w:tcPr>
          <w:p w:rsidR="00170743" w:rsidRPr="00170743" w:rsidRDefault="00170743" w:rsidP="00170743">
            <w:pPr>
              <w:spacing w:after="200" w:line="276" w:lineRule="auto"/>
              <w:rPr>
                <w:rFonts w:eastAsia="Times New Roman"/>
                <w:b/>
                <w:bCs/>
                <w:iCs/>
                <w:color w:val="4F81BD"/>
                <w:sz w:val="28"/>
                <w:szCs w:val="28"/>
                <w:lang w:eastAsia="pl-PL"/>
              </w:rPr>
            </w:pPr>
            <w:r w:rsidRPr="00170743">
              <w:rPr>
                <w:rFonts w:eastAsia="Times New Roman"/>
                <w:b/>
                <w:bCs/>
                <w:iCs/>
                <w:color w:val="4F81BD"/>
                <w:sz w:val="28"/>
                <w:szCs w:val="28"/>
                <w:lang w:eastAsia="pl-PL"/>
              </w:rPr>
              <w:t>4</w:t>
            </w:r>
          </w:p>
        </w:tc>
        <w:tc>
          <w:tcPr>
            <w:tcW w:w="1989" w:type="dxa"/>
            <w:gridSpan w:val="2"/>
            <w:tcBorders>
              <w:top w:val="single" w:sz="4" w:space="0" w:color="auto"/>
              <w:left w:val="single" w:sz="4" w:space="0" w:color="auto"/>
              <w:bottom w:val="single" w:sz="4" w:space="0" w:color="auto"/>
              <w:right w:val="single" w:sz="4" w:space="0" w:color="auto"/>
            </w:tcBorders>
            <w:hideMark/>
          </w:tcPr>
          <w:p w:rsidR="00170743" w:rsidRPr="00170743" w:rsidRDefault="00170743" w:rsidP="00170743">
            <w:pPr>
              <w:spacing w:after="200" w:line="276" w:lineRule="auto"/>
              <w:rPr>
                <w:rFonts w:eastAsia="Times New Roman"/>
                <w:b/>
                <w:bCs/>
                <w:iCs/>
                <w:color w:val="000000"/>
                <w:lang w:eastAsia="pl-PL"/>
              </w:rPr>
            </w:pPr>
            <w:r w:rsidRPr="00170743">
              <w:rPr>
                <w:rFonts w:eastAsia="Times New Roman"/>
                <w:b/>
                <w:bCs/>
                <w:iCs/>
                <w:color w:val="000000"/>
                <w:lang w:eastAsia="pl-PL"/>
              </w:rPr>
              <w:t xml:space="preserve">Zwiększenie efektywności energetycznej z wykorzystaniem  źródeł odnawialnych w budynkach użyteczności publicznej w  centrum Mirca </w:t>
            </w:r>
          </w:p>
        </w:tc>
        <w:tc>
          <w:tcPr>
            <w:tcW w:w="3684" w:type="dxa"/>
            <w:tcBorders>
              <w:top w:val="single" w:sz="4" w:space="0" w:color="auto"/>
              <w:left w:val="single" w:sz="4" w:space="0" w:color="auto"/>
              <w:bottom w:val="single" w:sz="4" w:space="0" w:color="auto"/>
              <w:right w:val="single" w:sz="4" w:space="0" w:color="auto"/>
            </w:tcBorders>
            <w:hideMark/>
          </w:tcPr>
          <w:p w:rsidR="00170743" w:rsidRPr="00170743" w:rsidRDefault="00170743" w:rsidP="00170743">
            <w:pPr>
              <w:spacing w:after="200" w:line="276" w:lineRule="auto"/>
              <w:rPr>
                <w:rFonts w:eastAsia="Times New Roman"/>
                <w:bCs/>
                <w:iCs/>
                <w:color w:val="000000"/>
                <w:lang w:eastAsia="pl-PL"/>
              </w:rPr>
            </w:pPr>
            <w:r w:rsidRPr="00170743">
              <w:rPr>
                <w:rFonts w:eastAsia="Times New Roman"/>
                <w:bCs/>
                <w:iCs/>
                <w:color w:val="000000"/>
                <w:lang w:eastAsia="pl-PL"/>
              </w:rPr>
              <w:t xml:space="preserve"> Kompleksowa modernizacja  budynku zespołu Szkół w  Mircu( SP i gimnazjum) oraz budynku urzędu gminy w Mircu  oraz  zabytkowego budynku  byłego urzędu gminy w Mircu</w:t>
            </w:r>
          </w:p>
        </w:tc>
        <w:tc>
          <w:tcPr>
            <w:tcW w:w="2692" w:type="dxa"/>
            <w:tcBorders>
              <w:top w:val="single" w:sz="4" w:space="0" w:color="auto"/>
              <w:left w:val="single" w:sz="4" w:space="0" w:color="auto"/>
              <w:bottom w:val="single" w:sz="4" w:space="0" w:color="auto"/>
              <w:right w:val="single" w:sz="4" w:space="0" w:color="auto"/>
            </w:tcBorders>
            <w:hideMark/>
          </w:tcPr>
          <w:p w:rsidR="00170743" w:rsidRPr="00170743" w:rsidRDefault="00170743" w:rsidP="00170743">
            <w:pPr>
              <w:rPr>
                <w:rFonts w:eastAsia="Times New Roman"/>
                <w:bCs/>
                <w:iCs/>
                <w:color w:val="000000"/>
                <w:lang w:eastAsia="pl-PL"/>
              </w:rPr>
            </w:pPr>
            <w:r w:rsidRPr="00170743">
              <w:rPr>
                <w:rFonts w:eastAsia="Times New Roman"/>
                <w:bCs/>
                <w:iCs/>
                <w:color w:val="000000"/>
                <w:lang w:eastAsia="pl-PL"/>
              </w:rPr>
              <w:t>Przedmiotowe  działki w obrębie Mirzec II  tj.</w:t>
            </w:r>
          </w:p>
          <w:p w:rsidR="00170743" w:rsidRPr="00170743" w:rsidRDefault="00170743" w:rsidP="00170743">
            <w:pPr>
              <w:rPr>
                <w:rFonts w:eastAsia="Times New Roman"/>
                <w:bCs/>
                <w:iCs/>
                <w:color w:val="000000"/>
                <w:lang w:eastAsia="pl-PL"/>
              </w:rPr>
            </w:pPr>
            <w:r w:rsidRPr="00170743">
              <w:rPr>
                <w:rFonts w:eastAsia="Times New Roman"/>
                <w:bCs/>
                <w:iCs/>
                <w:color w:val="000000"/>
                <w:lang w:eastAsia="pl-PL"/>
              </w:rPr>
              <w:t>Działka nr 2911/1 – budynek UG Mirzec</w:t>
            </w:r>
          </w:p>
          <w:p w:rsidR="00170743" w:rsidRPr="00170743" w:rsidRDefault="00170743" w:rsidP="00170743">
            <w:pPr>
              <w:rPr>
                <w:rFonts w:eastAsia="Times New Roman"/>
                <w:bCs/>
                <w:iCs/>
                <w:color w:val="000000"/>
                <w:lang w:eastAsia="pl-PL"/>
              </w:rPr>
            </w:pPr>
            <w:r w:rsidRPr="00170743">
              <w:rPr>
                <w:rFonts w:eastAsia="Times New Roman"/>
                <w:bCs/>
                <w:iCs/>
                <w:color w:val="000000"/>
                <w:lang w:eastAsia="pl-PL"/>
              </w:rPr>
              <w:t>Działka 2621-  zabytkowy budynek Urzędu Gminy w Mircu</w:t>
            </w:r>
          </w:p>
          <w:p w:rsidR="00170743" w:rsidRPr="00170743" w:rsidRDefault="00170743" w:rsidP="00170743">
            <w:pPr>
              <w:spacing w:after="200" w:line="276" w:lineRule="auto"/>
              <w:rPr>
                <w:rFonts w:eastAsia="Times New Roman"/>
                <w:bCs/>
                <w:iCs/>
                <w:color w:val="000000"/>
                <w:lang w:eastAsia="pl-PL"/>
              </w:rPr>
            </w:pPr>
            <w:r w:rsidRPr="00170743">
              <w:rPr>
                <w:rFonts w:eastAsia="Times New Roman"/>
                <w:bCs/>
                <w:iCs/>
                <w:color w:val="000000"/>
                <w:lang w:eastAsia="pl-PL"/>
              </w:rPr>
              <w:t>Działka: 2911/2, 2610 oraz 2609/3 – obejmujące budynek Szkoły podstawowej i gimnazjum</w:t>
            </w:r>
          </w:p>
        </w:tc>
        <w:tc>
          <w:tcPr>
            <w:tcW w:w="1558" w:type="dxa"/>
            <w:tcBorders>
              <w:top w:val="single" w:sz="4" w:space="0" w:color="auto"/>
              <w:left w:val="single" w:sz="4" w:space="0" w:color="auto"/>
              <w:bottom w:val="single" w:sz="4" w:space="0" w:color="auto"/>
              <w:right w:val="single" w:sz="4" w:space="0" w:color="auto"/>
            </w:tcBorders>
          </w:tcPr>
          <w:p w:rsidR="00170743" w:rsidRPr="00170743" w:rsidRDefault="00170743" w:rsidP="00170743">
            <w:pPr>
              <w:rPr>
                <w:rFonts w:eastAsia="Times New Roman"/>
                <w:b/>
                <w:bCs/>
                <w:iCs/>
                <w:color w:val="000000"/>
                <w:lang w:eastAsia="pl-PL"/>
              </w:rPr>
            </w:pPr>
            <w:r w:rsidRPr="00170743">
              <w:rPr>
                <w:rFonts w:eastAsia="Times New Roman"/>
                <w:b/>
                <w:bCs/>
                <w:iCs/>
                <w:color w:val="000000"/>
                <w:lang w:eastAsia="pl-PL"/>
              </w:rPr>
              <w:t>1 595 000</w:t>
            </w:r>
          </w:p>
          <w:p w:rsidR="00170743" w:rsidRPr="00170743" w:rsidRDefault="00170743" w:rsidP="00170743">
            <w:pPr>
              <w:spacing w:after="200" w:line="276" w:lineRule="auto"/>
              <w:rPr>
                <w:rFonts w:eastAsia="Times New Roman"/>
                <w:b/>
                <w:bCs/>
                <w:iCs/>
                <w:color w:val="000000"/>
                <w:lang w:eastAsia="pl-PL"/>
              </w:rPr>
            </w:pPr>
          </w:p>
        </w:tc>
        <w:tc>
          <w:tcPr>
            <w:tcW w:w="3400" w:type="dxa"/>
            <w:tcBorders>
              <w:top w:val="single" w:sz="4" w:space="0" w:color="auto"/>
              <w:left w:val="single" w:sz="4" w:space="0" w:color="auto"/>
              <w:bottom w:val="single" w:sz="4" w:space="0" w:color="auto"/>
              <w:right w:val="single" w:sz="4" w:space="0" w:color="auto"/>
            </w:tcBorders>
            <w:hideMark/>
          </w:tcPr>
          <w:p w:rsidR="00170743" w:rsidRPr="00170743" w:rsidRDefault="00170743" w:rsidP="00170743">
            <w:pPr>
              <w:rPr>
                <w:rFonts w:eastAsia="Times New Roman"/>
                <w:bCs/>
                <w:iCs/>
                <w:color w:val="000000"/>
                <w:lang w:eastAsia="pl-PL"/>
              </w:rPr>
            </w:pPr>
            <w:r w:rsidRPr="00170743">
              <w:rPr>
                <w:rFonts w:eastAsia="Times New Roman"/>
                <w:bCs/>
                <w:iCs/>
                <w:color w:val="000000"/>
                <w:lang w:eastAsia="pl-PL"/>
              </w:rPr>
              <w:t>Zmniejszenie zużycia co2</w:t>
            </w:r>
          </w:p>
          <w:p w:rsidR="00170743" w:rsidRPr="00170743" w:rsidRDefault="00170743" w:rsidP="00170743">
            <w:pPr>
              <w:rPr>
                <w:rFonts w:eastAsia="Times New Roman"/>
                <w:bCs/>
                <w:iCs/>
                <w:color w:val="000000"/>
                <w:lang w:eastAsia="pl-PL"/>
              </w:rPr>
            </w:pPr>
            <w:r w:rsidRPr="00170743">
              <w:rPr>
                <w:rFonts w:eastAsia="Times New Roman"/>
                <w:bCs/>
                <w:iCs/>
                <w:color w:val="000000"/>
                <w:lang w:eastAsia="pl-PL"/>
              </w:rPr>
              <w:t>Zwiększenie efektywności energetycznej min 25% (od poziomu bazowego)</w:t>
            </w:r>
          </w:p>
          <w:p w:rsidR="00170743" w:rsidRPr="00170743" w:rsidRDefault="00170743" w:rsidP="00170743">
            <w:pPr>
              <w:spacing w:after="200" w:line="276" w:lineRule="auto"/>
              <w:rPr>
                <w:rFonts w:eastAsia="Times New Roman"/>
                <w:bCs/>
                <w:iCs/>
                <w:color w:val="000000"/>
                <w:lang w:eastAsia="pl-PL"/>
              </w:rPr>
            </w:pPr>
            <w:r w:rsidRPr="00170743">
              <w:rPr>
                <w:rFonts w:eastAsia="Times New Roman"/>
                <w:bCs/>
                <w:iCs/>
                <w:color w:val="000000"/>
                <w:lang w:eastAsia="pl-PL"/>
              </w:rPr>
              <w:t xml:space="preserve">Udział instalacji OZE m.in. </w:t>
            </w:r>
            <w:r w:rsidRPr="00170743">
              <w:rPr>
                <w:rFonts w:eastAsia="Times New Roman"/>
                <w:bCs/>
                <w:iCs/>
                <w:color w:val="000000"/>
                <w:lang w:eastAsia="pl-PL"/>
              </w:rPr>
              <w:br/>
              <w:t>o 10% (od poziomu bazowego) w budynkach użyteczności publicznej</w:t>
            </w:r>
          </w:p>
        </w:tc>
        <w:tc>
          <w:tcPr>
            <w:tcW w:w="1778" w:type="dxa"/>
            <w:tcBorders>
              <w:top w:val="single" w:sz="4" w:space="0" w:color="auto"/>
              <w:left w:val="single" w:sz="4" w:space="0" w:color="auto"/>
              <w:bottom w:val="single" w:sz="4" w:space="0" w:color="auto"/>
              <w:right w:val="single" w:sz="4" w:space="0" w:color="auto"/>
            </w:tcBorders>
          </w:tcPr>
          <w:p w:rsidR="00170743" w:rsidRPr="00170743" w:rsidRDefault="00170743" w:rsidP="00170743">
            <w:pPr>
              <w:rPr>
                <w:rFonts w:eastAsia="Times New Roman"/>
                <w:b/>
                <w:bCs/>
                <w:iCs/>
                <w:color w:val="000000"/>
                <w:lang w:eastAsia="pl-PL"/>
              </w:rPr>
            </w:pPr>
            <w:r w:rsidRPr="00170743">
              <w:rPr>
                <w:rFonts w:eastAsia="Times New Roman"/>
                <w:b/>
                <w:bCs/>
                <w:iCs/>
                <w:color w:val="000000"/>
                <w:lang w:eastAsia="pl-PL"/>
              </w:rPr>
              <w:t xml:space="preserve">Urząd Gminy </w:t>
            </w:r>
            <w:r w:rsidRPr="00170743">
              <w:rPr>
                <w:rFonts w:eastAsia="Times New Roman"/>
                <w:b/>
                <w:bCs/>
                <w:iCs/>
                <w:color w:val="000000"/>
                <w:lang w:eastAsia="pl-PL"/>
              </w:rPr>
              <w:br/>
              <w:t>w Mircu</w:t>
            </w:r>
          </w:p>
          <w:p w:rsidR="00170743" w:rsidRPr="00170743" w:rsidRDefault="00170743" w:rsidP="00170743">
            <w:pPr>
              <w:rPr>
                <w:rFonts w:eastAsia="Times New Roman"/>
                <w:bCs/>
                <w:iCs/>
                <w:color w:val="000000"/>
                <w:lang w:eastAsia="pl-PL"/>
              </w:rPr>
            </w:pPr>
          </w:p>
          <w:p w:rsidR="00170743" w:rsidRPr="00170743" w:rsidRDefault="00170743" w:rsidP="00170743">
            <w:pPr>
              <w:spacing w:after="200" w:line="276" w:lineRule="auto"/>
              <w:rPr>
                <w:rFonts w:eastAsia="Times New Roman"/>
                <w:b/>
                <w:bCs/>
                <w:iCs/>
                <w:color w:val="000000"/>
                <w:lang w:eastAsia="pl-PL"/>
              </w:rPr>
            </w:pPr>
            <w:r w:rsidRPr="00170743">
              <w:rPr>
                <w:rFonts w:eastAsia="Times New Roman"/>
                <w:bCs/>
                <w:iCs/>
                <w:color w:val="000000"/>
                <w:lang w:eastAsia="pl-PL"/>
              </w:rPr>
              <w:t>2016-2018</w:t>
            </w:r>
          </w:p>
        </w:tc>
      </w:tr>
      <w:tr w:rsidR="00170743" w:rsidRPr="00170743" w:rsidTr="00170743">
        <w:tc>
          <w:tcPr>
            <w:tcW w:w="529" w:type="dxa"/>
            <w:tcBorders>
              <w:top w:val="single" w:sz="4" w:space="0" w:color="auto"/>
              <w:left w:val="single" w:sz="4" w:space="0" w:color="auto"/>
              <w:bottom w:val="single" w:sz="4" w:space="0" w:color="auto"/>
              <w:right w:val="single" w:sz="4" w:space="0" w:color="auto"/>
            </w:tcBorders>
          </w:tcPr>
          <w:p w:rsidR="00170743" w:rsidRPr="00170743" w:rsidRDefault="00170743" w:rsidP="00170743">
            <w:pPr>
              <w:spacing w:after="200" w:line="276" w:lineRule="auto"/>
              <w:rPr>
                <w:rFonts w:eastAsia="Times New Roman"/>
                <w:b/>
                <w:bCs/>
                <w:iCs/>
                <w:color w:val="4F81BD"/>
                <w:sz w:val="28"/>
                <w:szCs w:val="28"/>
                <w:lang w:eastAsia="pl-PL"/>
              </w:rPr>
            </w:pPr>
            <w:r>
              <w:rPr>
                <w:rFonts w:eastAsia="Times New Roman"/>
                <w:b/>
                <w:bCs/>
                <w:iCs/>
                <w:color w:val="4F81BD"/>
                <w:sz w:val="28"/>
                <w:szCs w:val="28"/>
                <w:lang w:eastAsia="pl-PL"/>
              </w:rPr>
              <w:t>5</w:t>
            </w:r>
          </w:p>
        </w:tc>
        <w:tc>
          <w:tcPr>
            <w:tcW w:w="1989" w:type="dxa"/>
            <w:gridSpan w:val="2"/>
            <w:tcBorders>
              <w:top w:val="single" w:sz="4" w:space="0" w:color="auto"/>
              <w:left w:val="single" w:sz="4" w:space="0" w:color="auto"/>
              <w:bottom w:val="single" w:sz="4" w:space="0" w:color="auto"/>
              <w:right w:val="single" w:sz="4" w:space="0" w:color="auto"/>
            </w:tcBorders>
          </w:tcPr>
          <w:p w:rsidR="00170743" w:rsidRPr="00170743" w:rsidRDefault="00170743" w:rsidP="00170743">
            <w:pPr>
              <w:spacing w:after="200" w:line="276" w:lineRule="auto"/>
              <w:rPr>
                <w:rFonts w:eastAsia="Times New Roman"/>
                <w:b/>
                <w:bCs/>
                <w:iCs/>
                <w:color w:val="000000"/>
                <w:lang w:eastAsia="pl-PL"/>
              </w:rPr>
            </w:pPr>
            <w:r w:rsidRPr="00170743">
              <w:rPr>
                <w:rFonts w:eastAsia="Times New Roman"/>
                <w:b/>
                <w:bCs/>
                <w:iCs/>
                <w:color w:val="000000"/>
                <w:lang w:eastAsia="pl-PL"/>
              </w:rPr>
              <w:t>Zagospodarowanie terenu w miejscowości Mirzec-Malcówki w kierunku rozwoju rekreacji i turystyki wiejskiej</w:t>
            </w:r>
          </w:p>
        </w:tc>
        <w:tc>
          <w:tcPr>
            <w:tcW w:w="3684" w:type="dxa"/>
            <w:tcBorders>
              <w:top w:val="single" w:sz="4" w:space="0" w:color="auto"/>
              <w:left w:val="single" w:sz="4" w:space="0" w:color="auto"/>
              <w:bottom w:val="single" w:sz="4" w:space="0" w:color="auto"/>
              <w:right w:val="single" w:sz="4" w:space="0" w:color="auto"/>
            </w:tcBorders>
          </w:tcPr>
          <w:p w:rsidR="00170743" w:rsidRPr="00170743" w:rsidRDefault="00170743" w:rsidP="00170743">
            <w:pPr>
              <w:rPr>
                <w:rFonts w:eastAsia="Times New Roman"/>
                <w:b/>
                <w:bCs/>
                <w:iCs/>
                <w:color w:val="000000"/>
                <w:lang w:eastAsia="pl-PL"/>
              </w:rPr>
            </w:pPr>
            <w:r w:rsidRPr="00170743">
              <w:rPr>
                <w:rFonts w:eastAsia="Times New Roman"/>
                <w:b/>
                <w:bCs/>
                <w:iCs/>
                <w:color w:val="000000"/>
                <w:lang w:eastAsia="pl-PL"/>
              </w:rPr>
              <w:t>-</w:t>
            </w:r>
            <w:r w:rsidRPr="00170743">
              <w:rPr>
                <w:rFonts w:eastAsia="Times New Roman"/>
                <w:bCs/>
                <w:iCs/>
                <w:color w:val="000000"/>
                <w:lang w:eastAsia="pl-PL"/>
              </w:rPr>
              <w:t xml:space="preserve">uporządkowanie i wyrównanie terenu oraz wyposażenie w zieleń osłonową i ogrodową –usytuowanie tarasu widokowego wraz z wyposażeniem </w:t>
            </w:r>
          </w:p>
          <w:p w:rsidR="00170743" w:rsidRPr="00170743" w:rsidRDefault="00170743" w:rsidP="00170743">
            <w:pPr>
              <w:rPr>
                <w:rFonts w:eastAsia="Times New Roman"/>
                <w:b/>
                <w:bCs/>
                <w:iCs/>
                <w:color w:val="000000"/>
                <w:lang w:eastAsia="pl-PL"/>
              </w:rPr>
            </w:pPr>
            <w:r w:rsidRPr="00170743">
              <w:rPr>
                <w:rFonts w:eastAsia="Times New Roman"/>
                <w:bCs/>
                <w:iCs/>
                <w:color w:val="000000"/>
                <w:lang w:eastAsia="pl-PL"/>
              </w:rPr>
              <w:t>-preferowane miejsce biesiadne w tym:</w:t>
            </w:r>
            <w:r w:rsidRPr="00170743">
              <w:rPr>
                <w:rFonts w:eastAsia="Times New Roman"/>
                <w:bCs/>
                <w:iCs/>
                <w:color w:val="000000"/>
                <w:lang w:eastAsia="pl-PL"/>
              </w:rPr>
              <w:br/>
              <w:t>•grill</w:t>
            </w:r>
          </w:p>
          <w:p w:rsidR="00170743" w:rsidRPr="00170743" w:rsidRDefault="00170743" w:rsidP="00170743">
            <w:pPr>
              <w:rPr>
                <w:rFonts w:eastAsia="Times New Roman"/>
                <w:b/>
                <w:bCs/>
                <w:iCs/>
                <w:color w:val="000000"/>
                <w:lang w:eastAsia="pl-PL"/>
              </w:rPr>
            </w:pPr>
            <w:r w:rsidRPr="00170743">
              <w:rPr>
                <w:rFonts w:eastAsia="Times New Roman"/>
                <w:b/>
                <w:bCs/>
                <w:iCs/>
                <w:color w:val="000000"/>
                <w:lang w:eastAsia="pl-PL"/>
              </w:rPr>
              <w:t>•</w:t>
            </w:r>
            <w:r w:rsidRPr="00170743">
              <w:rPr>
                <w:rFonts w:eastAsia="Times New Roman"/>
                <w:bCs/>
                <w:iCs/>
                <w:color w:val="000000"/>
                <w:lang w:eastAsia="pl-PL"/>
              </w:rPr>
              <w:t>miejsce pod ognisko</w:t>
            </w:r>
          </w:p>
          <w:p w:rsidR="00170743" w:rsidRPr="00170743" w:rsidRDefault="00170743" w:rsidP="00170743">
            <w:pPr>
              <w:rPr>
                <w:rFonts w:eastAsia="Times New Roman"/>
                <w:b/>
                <w:bCs/>
                <w:iCs/>
                <w:color w:val="000000"/>
                <w:lang w:eastAsia="pl-PL"/>
              </w:rPr>
            </w:pPr>
            <w:r w:rsidRPr="00170743">
              <w:rPr>
                <w:rFonts w:eastAsia="Times New Roman"/>
                <w:b/>
                <w:bCs/>
                <w:iCs/>
                <w:color w:val="000000"/>
                <w:lang w:eastAsia="pl-PL"/>
              </w:rPr>
              <w:t>•</w:t>
            </w:r>
            <w:r w:rsidRPr="00170743">
              <w:rPr>
                <w:rFonts w:eastAsia="Times New Roman"/>
                <w:bCs/>
                <w:iCs/>
                <w:color w:val="000000"/>
                <w:lang w:eastAsia="pl-PL"/>
              </w:rPr>
              <w:t>ławki, kosze, mała altana (ew. duży stół )</w:t>
            </w:r>
          </w:p>
          <w:p w:rsidR="00170743" w:rsidRPr="00170743" w:rsidRDefault="00170743" w:rsidP="00170743">
            <w:pPr>
              <w:spacing w:after="200" w:line="276" w:lineRule="auto"/>
              <w:rPr>
                <w:rFonts w:eastAsia="Times New Roman"/>
                <w:bCs/>
                <w:iCs/>
                <w:color w:val="000000"/>
                <w:lang w:eastAsia="pl-PL"/>
              </w:rPr>
            </w:pPr>
            <w:r w:rsidRPr="00170743">
              <w:rPr>
                <w:rFonts w:eastAsia="Times New Roman"/>
                <w:b/>
                <w:bCs/>
                <w:iCs/>
                <w:color w:val="000000"/>
                <w:lang w:eastAsia="pl-PL"/>
              </w:rPr>
              <w:lastRenderedPageBreak/>
              <w:t>•</w:t>
            </w:r>
            <w:r w:rsidRPr="00170743">
              <w:rPr>
                <w:rFonts w:eastAsia="Times New Roman"/>
                <w:bCs/>
                <w:iCs/>
                <w:color w:val="000000"/>
                <w:lang w:eastAsia="pl-PL"/>
              </w:rPr>
              <w:t>docelowo : ogrodzenie i oświetlenie</w:t>
            </w:r>
          </w:p>
        </w:tc>
        <w:tc>
          <w:tcPr>
            <w:tcW w:w="2692" w:type="dxa"/>
            <w:tcBorders>
              <w:top w:val="single" w:sz="4" w:space="0" w:color="auto"/>
              <w:left w:val="single" w:sz="4" w:space="0" w:color="auto"/>
              <w:bottom w:val="single" w:sz="4" w:space="0" w:color="auto"/>
              <w:right w:val="single" w:sz="4" w:space="0" w:color="auto"/>
            </w:tcBorders>
          </w:tcPr>
          <w:p w:rsidR="00170743" w:rsidRPr="00170743" w:rsidRDefault="00170743" w:rsidP="00170743">
            <w:pPr>
              <w:rPr>
                <w:rFonts w:eastAsia="Times New Roman"/>
                <w:bCs/>
                <w:iCs/>
                <w:color w:val="000000"/>
                <w:lang w:eastAsia="pl-PL"/>
              </w:rPr>
            </w:pPr>
            <w:r w:rsidRPr="00170743">
              <w:rPr>
                <w:rFonts w:eastAsia="Times New Roman"/>
                <w:bCs/>
                <w:iCs/>
                <w:color w:val="000000"/>
                <w:lang w:eastAsia="pl-PL"/>
              </w:rPr>
              <w:lastRenderedPageBreak/>
              <w:t xml:space="preserve">Sołectwo Mirzec I </w:t>
            </w:r>
          </w:p>
          <w:p w:rsidR="00170743" w:rsidRPr="00170743" w:rsidRDefault="00170743" w:rsidP="00170743">
            <w:pPr>
              <w:rPr>
                <w:rFonts w:eastAsia="Times New Roman"/>
                <w:bCs/>
                <w:iCs/>
                <w:color w:val="000000"/>
                <w:lang w:eastAsia="pl-PL"/>
              </w:rPr>
            </w:pPr>
            <w:r w:rsidRPr="00170743">
              <w:rPr>
                <w:rFonts w:eastAsia="Times New Roman"/>
                <w:bCs/>
                <w:iCs/>
                <w:color w:val="000000"/>
                <w:lang w:eastAsia="pl-PL"/>
              </w:rPr>
              <w:t>Mirzec – Malcówki</w:t>
            </w:r>
          </w:p>
          <w:p w:rsidR="00170743" w:rsidRPr="00170743" w:rsidRDefault="00170743" w:rsidP="00170743">
            <w:pPr>
              <w:spacing w:after="200" w:line="276" w:lineRule="auto"/>
              <w:rPr>
                <w:rFonts w:eastAsia="Times New Roman"/>
                <w:bCs/>
                <w:iCs/>
                <w:color w:val="000000"/>
                <w:lang w:eastAsia="pl-PL"/>
              </w:rPr>
            </w:pPr>
            <w:r w:rsidRPr="00170743">
              <w:rPr>
                <w:rFonts w:eastAsia="Times New Roman"/>
                <w:bCs/>
                <w:iCs/>
                <w:color w:val="000000"/>
                <w:lang w:eastAsia="pl-PL"/>
              </w:rPr>
              <w:t>Działka nr 553/2 i 554/2 o łącznej pow. 0,13 ha</w:t>
            </w:r>
          </w:p>
        </w:tc>
        <w:tc>
          <w:tcPr>
            <w:tcW w:w="1558" w:type="dxa"/>
            <w:tcBorders>
              <w:top w:val="single" w:sz="4" w:space="0" w:color="auto"/>
              <w:left w:val="single" w:sz="4" w:space="0" w:color="auto"/>
              <w:bottom w:val="single" w:sz="4" w:space="0" w:color="auto"/>
              <w:right w:val="single" w:sz="4" w:space="0" w:color="auto"/>
            </w:tcBorders>
          </w:tcPr>
          <w:p w:rsidR="00170743" w:rsidRPr="00170743" w:rsidRDefault="00170743" w:rsidP="00170743">
            <w:pPr>
              <w:spacing w:before="100" w:beforeAutospacing="1"/>
              <w:rPr>
                <w:rFonts w:eastAsia="Times New Roman"/>
                <w:b/>
                <w:lang w:eastAsia="pl-PL"/>
              </w:rPr>
            </w:pPr>
            <w:r w:rsidRPr="00170743">
              <w:rPr>
                <w:rFonts w:eastAsia="Times New Roman"/>
                <w:b/>
                <w:lang w:eastAsia="pl-PL"/>
              </w:rPr>
              <w:t xml:space="preserve">60 000 </w:t>
            </w:r>
          </w:p>
          <w:p w:rsidR="00170743" w:rsidRPr="00170743" w:rsidRDefault="00170743" w:rsidP="00170743">
            <w:pPr>
              <w:spacing w:before="100" w:beforeAutospacing="1" w:after="119" w:line="276" w:lineRule="auto"/>
              <w:rPr>
                <w:rFonts w:eastAsia="Times New Roman"/>
                <w:b/>
                <w:lang w:eastAsia="pl-PL"/>
              </w:rPr>
            </w:pPr>
          </w:p>
        </w:tc>
        <w:tc>
          <w:tcPr>
            <w:tcW w:w="3400" w:type="dxa"/>
            <w:tcBorders>
              <w:top w:val="single" w:sz="4" w:space="0" w:color="auto"/>
              <w:left w:val="single" w:sz="4" w:space="0" w:color="auto"/>
              <w:bottom w:val="single" w:sz="4" w:space="0" w:color="auto"/>
              <w:right w:val="single" w:sz="4" w:space="0" w:color="auto"/>
            </w:tcBorders>
          </w:tcPr>
          <w:p w:rsidR="00170743" w:rsidRPr="00170743" w:rsidRDefault="00170743" w:rsidP="00170743">
            <w:pPr>
              <w:spacing w:before="100" w:beforeAutospacing="1" w:after="119" w:line="276" w:lineRule="auto"/>
              <w:rPr>
                <w:rFonts w:eastAsia="Times New Roman"/>
                <w:lang w:eastAsia="pl-PL"/>
              </w:rPr>
            </w:pPr>
            <w:r w:rsidRPr="00170743">
              <w:rPr>
                <w:rFonts w:eastAsia="Times New Roman"/>
                <w:lang w:eastAsia="pl-PL"/>
              </w:rPr>
              <w:t xml:space="preserve">Poszerzenie oferty rekreacyjnej </w:t>
            </w:r>
            <w:r w:rsidRPr="00170743">
              <w:rPr>
                <w:rFonts w:eastAsia="Times New Roman"/>
                <w:lang w:eastAsia="pl-PL"/>
              </w:rPr>
              <w:br/>
              <w:t xml:space="preserve">i turystycznej gminy, wykorzystanie walorów przyrodniczych , integracja mieszkańców gminy </w:t>
            </w:r>
          </w:p>
        </w:tc>
        <w:tc>
          <w:tcPr>
            <w:tcW w:w="1778" w:type="dxa"/>
            <w:tcBorders>
              <w:top w:val="single" w:sz="4" w:space="0" w:color="auto"/>
              <w:left w:val="single" w:sz="4" w:space="0" w:color="auto"/>
              <w:bottom w:val="single" w:sz="4" w:space="0" w:color="auto"/>
              <w:right w:val="single" w:sz="4" w:space="0" w:color="auto"/>
            </w:tcBorders>
          </w:tcPr>
          <w:p w:rsidR="00170743" w:rsidRPr="00170743" w:rsidRDefault="00170743" w:rsidP="00170743">
            <w:pPr>
              <w:spacing w:before="100" w:beforeAutospacing="1"/>
              <w:jc w:val="center"/>
              <w:rPr>
                <w:rFonts w:eastAsia="Times New Roman"/>
                <w:b/>
                <w:lang w:eastAsia="pl-PL"/>
              </w:rPr>
            </w:pPr>
            <w:r w:rsidRPr="00170743">
              <w:rPr>
                <w:rFonts w:eastAsia="Times New Roman"/>
                <w:b/>
                <w:lang w:eastAsia="pl-PL"/>
              </w:rPr>
              <w:t>Urząd Gminy w Mircu</w:t>
            </w:r>
          </w:p>
          <w:p w:rsidR="00170743" w:rsidRPr="00170743" w:rsidRDefault="00170743" w:rsidP="00170743">
            <w:pPr>
              <w:spacing w:before="100" w:beforeAutospacing="1"/>
              <w:jc w:val="center"/>
              <w:rPr>
                <w:rFonts w:eastAsia="Times New Roman"/>
                <w:lang w:eastAsia="pl-PL"/>
              </w:rPr>
            </w:pPr>
            <w:r w:rsidRPr="00170743">
              <w:rPr>
                <w:rFonts w:eastAsia="Times New Roman"/>
                <w:lang w:eastAsia="pl-PL"/>
              </w:rPr>
              <w:t>2019</w:t>
            </w:r>
          </w:p>
          <w:p w:rsidR="00170743" w:rsidRPr="00170743" w:rsidRDefault="00170743" w:rsidP="00170743">
            <w:pPr>
              <w:spacing w:before="100" w:beforeAutospacing="1" w:after="119" w:line="276" w:lineRule="auto"/>
              <w:rPr>
                <w:rFonts w:eastAsia="Times New Roman"/>
                <w:lang w:eastAsia="pl-PL"/>
              </w:rPr>
            </w:pPr>
          </w:p>
        </w:tc>
      </w:tr>
      <w:tr w:rsidR="00170743" w:rsidRPr="00170743" w:rsidTr="00170743">
        <w:tc>
          <w:tcPr>
            <w:tcW w:w="529" w:type="dxa"/>
            <w:tcBorders>
              <w:top w:val="single" w:sz="4" w:space="0" w:color="auto"/>
              <w:left w:val="single" w:sz="4" w:space="0" w:color="auto"/>
              <w:bottom w:val="single" w:sz="4" w:space="0" w:color="auto"/>
              <w:right w:val="single" w:sz="4" w:space="0" w:color="auto"/>
            </w:tcBorders>
          </w:tcPr>
          <w:p w:rsidR="00170743" w:rsidRPr="00170743" w:rsidRDefault="00170743" w:rsidP="00170743">
            <w:pPr>
              <w:rPr>
                <w:rFonts w:eastAsia="Times New Roman"/>
                <w:b/>
                <w:bCs/>
                <w:iCs/>
                <w:color w:val="4F81BD"/>
                <w:sz w:val="28"/>
                <w:szCs w:val="28"/>
                <w:lang w:eastAsia="pl-PL"/>
              </w:rPr>
            </w:pPr>
            <w:r>
              <w:rPr>
                <w:rFonts w:eastAsia="Times New Roman"/>
                <w:b/>
                <w:bCs/>
                <w:iCs/>
                <w:color w:val="4F81BD"/>
                <w:sz w:val="28"/>
                <w:szCs w:val="28"/>
                <w:lang w:eastAsia="pl-PL"/>
              </w:rPr>
              <w:lastRenderedPageBreak/>
              <w:t>6</w:t>
            </w:r>
          </w:p>
        </w:tc>
        <w:tc>
          <w:tcPr>
            <w:tcW w:w="1989" w:type="dxa"/>
            <w:gridSpan w:val="2"/>
            <w:tcBorders>
              <w:top w:val="single" w:sz="4" w:space="0" w:color="auto"/>
              <w:left w:val="single" w:sz="4" w:space="0" w:color="auto"/>
              <w:bottom w:val="single" w:sz="4" w:space="0" w:color="auto"/>
              <w:right w:val="single" w:sz="4" w:space="0" w:color="auto"/>
            </w:tcBorders>
          </w:tcPr>
          <w:p w:rsidR="00170743" w:rsidRPr="00170743" w:rsidRDefault="00170743" w:rsidP="00170743">
            <w:pPr>
              <w:rPr>
                <w:rFonts w:eastAsia="Times New Roman"/>
                <w:b/>
                <w:bCs/>
                <w:iCs/>
                <w:color w:val="000000"/>
                <w:lang w:eastAsia="pl-PL"/>
              </w:rPr>
            </w:pPr>
            <w:r w:rsidRPr="00170743">
              <w:rPr>
                <w:rFonts w:eastAsia="Times New Roman"/>
                <w:b/>
                <w:bCs/>
                <w:iCs/>
                <w:color w:val="000000"/>
                <w:lang w:eastAsia="pl-PL"/>
              </w:rPr>
              <w:t>Poprawa funkcjonowania systemu ratowniczo-gaśniczego i przeciwdziałanie zagrożeniom w Gminie Mirzec poprzez zakup nowego samochodu pożarniczego dla jednostki OSP Mirzec.</w:t>
            </w:r>
          </w:p>
        </w:tc>
        <w:tc>
          <w:tcPr>
            <w:tcW w:w="3684" w:type="dxa"/>
            <w:tcBorders>
              <w:top w:val="single" w:sz="4" w:space="0" w:color="auto"/>
              <w:left w:val="single" w:sz="4" w:space="0" w:color="auto"/>
              <w:bottom w:val="single" w:sz="4" w:space="0" w:color="auto"/>
              <w:right w:val="single" w:sz="4" w:space="0" w:color="auto"/>
            </w:tcBorders>
          </w:tcPr>
          <w:p w:rsidR="00170743" w:rsidRPr="00170743" w:rsidRDefault="00170743" w:rsidP="00170743">
            <w:pPr>
              <w:rPr>
                <w:rFonts w:eastAsia="Times New Roman"/>
                <w:bCs/>
                <w:iCs/>
                <w:color w:val="000000"/>
                <w:lang w:eastAsia="pl-PL"/>
              </w:rPr>
            </w:pPr>
            <w:r w:rsidRPr="00170743">
              <w:rPr>
                <w:rFonts w:eastAsia="Times New Roman"/>
                <w:bCs/>
                <w:iCs/>
                <w:color w:val="000000"/>
                <w:lang w:eastAsia="pl-PL"/>
              </w:rPr>
              <w:t>Zakup średniego, uterenowionego 4x4 (kategoria II) samochodu ratowniczo – gaśniczego (GBA) na podwoziu MAN TGM</w:t>
            </w:r>
          </w:p>
        </w:tc>
        <w:tc>
          <w:tcPr>
            <w:tcW w:w="2692" w:type="dxa"/>
            <w:tcBorders>
              <w:top w:val="single" w:sz="4" w:space="0" w:color="auto"/>
              <w:left w:val="single" w:sz="4" w:space="0" w:color="auto"/>
              <w:bottom w:val="single" w:sz="4" w:space="0" w:color="auto"/>
              <w:right w:val="single" w:sz="4" w:space="0" w:color="auto"/>
            </w:tcBorders>
          </w:tcPr>
          <w:p w:rsidR="00170743" w:rsidRPr="00170743" w:rsidRDefault="00170743" w:rsidP="00170743">
            <w:pPr>
              <w:rPr>
                <w:rFonts w:eastAsia="Times New Roman"/>
                <w:bCs/>
                <w:iCs/>
                <w:color w:val="000000"/>
                <w:lang w:eastAsia="pl-PL"/>
              </w:rPr>
            </w:pPr>
            <w:r w:rsidRPr="00170743">
              <w:rPr>
                <w:rFonts w:eastAsia="Times New Roman"/>
                <w:bCs/>
                <w:iCs/>
                <w:color w:val="000000"/>
                <w:lang w:eastAsia="pl-PL"/>
              </w:rPr>
              <w:t xml:space="preserve">Remiza OSP Mirzec </w:t>
            </w:r>
          </w:p>
          <w:p w:rsidR="00170743" w:rsidRPr="00170743" w:rsidRDefault="00170743" w:rsidP="00170743">
            <w:pPr>
              <w:rPr>
                <w:rFonts w:eastAsia="Times New Roman"/>
                <w:bCs/>
                <w:iCs/>
                <w:color w:val="000000"/>
                <w:lang w:eastAsia="pl-PL"/>
              </w:rPr>
            </w:pPr>
            <w:r w:rsidRPr="00170743">
              <w:rPr>
                <w:rFonts w:eastAsia="Times New Roman"/>
                <w:bCs/>
                <w:iCs/>
                <w:color w:val="000000"/>
                <w:lang w:eastAsia="pl-PL"/>
              </w:rPr>
              <w:t>Mirzec Majorat 1</w:t>
            </w:r>
          </w:p>
        </w:tc>
        <w:tc>
          <w:tcPr>
            <w:tcW w:w="1558" w:type="dxa"/>
            <w:tcBorders>
              <w:top w:val="single" w:sz="4" w:space="0" w:color="auto"/>
              <w:left w:val="single" w:sz="4" w:space="0" w:color="auto"/>
              <w:bottom w:val="single" w:sz="4" w:space="0" w:color="auto"/>
              <w:right w:val="single" w:sz="4" w:space="0" w:color="auto"/>
            </w:tcBorders>
          </w:tcPr>
          <w:p w:rsidR="00170743" w:rsidRPr="00170743" w:rsidRDefault="00170743" w:rsidP="00170743">
            <w:pPr>
              <w:spacing w:before="100" w:beforeAutospacing="1"/>
              <w:rPr>
                <w:rFonts w:eastAsia="Times New Roman"/>
                <w:b/>
                <w:lang w:eastAsia="pl-PL"/>
              </w:rPr>
            </w:pPr>
            <w:r w:rsidRPr="00170743">
              <w:rPr>
                <w:rFonts w:eastAsia="Times New Roman"/>
                <w:b/>
                <w:lang w:eastAsia="pl-PL"/>
              </w:rPr>
              <w:t>738 000</w:t>
            </w:r>
          </w:p>
        </w:tc>
        <w:tc>
          <w:tcPr>
            <w:tcW w:w="3400" w:type="dxa"/>
            <w:tcBorders>
              <w:top w:val="single" w:sz="4" w:space="0" w:color="auto"/>
              <w:left w:val="single" w:sz="4" w:space="0" w:color="auto"/>
              <w:bottom w:val="single" w:sz="4" w:space="0" w:color="auto"/>
              <w:right w:val="single" w:sz="4" w:space="0" w:color="auto"/>
            </w:tcBorders>
          </w:tcPr>
          <w:p w:rsidR="00170743" w:rsidRPr="00170743" w:rsidRDefault="00170743" w:rsidP="00170743">
            <w:pPr>
              <w:spacing w:before="100" w:beforeAutospacing="1" w:after="119"/>
              <w:rPr>
                <w:rFonts w:eastAsia="Times New Roman"/>
                <w:lang w:eastAsia="pl-PL"/>
              </w:rPr>
            </w:pPr>
            <w:r w:rsidRPr="00170743">
              <w:rPr>
                <w:rFonts w:eastAsia="Times New Roman"/>
                <w:lang w:eastAsia="pl-PL"/>
              </w:rPr>
              <w:t>- umożliwienie  prowadzenia działań ratowniczo – gaśniczych w każdych warunkach,</w:t>
            </w:r>
            <w:r w:rsidRPr="00170743">
              <w:rPr>
                <w:rFonts w:eastAsia="Times New Roman"/>
                <w:lang w:eastAsia="pl-PL"/>
              </w:rPr>
              <w:br/>
              <w:t>- spełnienie aktualnie obowiązujących standardów wyposażenia samochodów ratowniczo-gaśniczych typoszeregu BGA z dnia 30 marca 2015r. zatwierdzonych przez Komendanta Głównego PSP,</w:t>
            </w:r>
            <w:r w:rsidRPr="00170743">
              <w:rPr>
                <w:rFonts w:eastAsia="Times New Roman"/>
                <w:lang w:eastAsia="pl-PL"/>
              </w:rPr>
              <w:br/>
              <w:t>-  zastosowanie nowoczesnych rozwiązań technologicznych i ekologicznych,</w:t>
            </w:r>
            <w:r w:rsidRPr="00170743">
              <w:rPr>
                <w:rFonts w:eastAsia="Times New Roman"/>
                <w:lang w:eastAsia="pl-PL"/>
              </w:rPr>
              <w:br/>
              <w:t>-dominujące działania w gminie jednostki będące w składzie jednostek KSRG.</w:t>
            </w:r>
          </w:p>
        </w:tc>
        <w:tc>
          <w:tcPr>
            <w:tcW w:w="1778" w:type="dxa"/>
            <w:tcBorders>
              <w:top w:val="single" w:sz="4" w:space="0" w:color="auto"/>
              <w:left w:val="single" w:sz="4" w:space="0" w:color="auto"/>
              <w:bottom w:val="single" w:sz="4" w:space="0" w:color="auto"/>
              <w:right w:val="single" w:sz="4" w:space="0" w:color="auto"/>
            </w:tcBorders>
          </w:tcPr>
          <w:p w:rsidR="00170743" w:rsidRPr="00170743" w:rsidRDefault="00170743" w:rsidP="00170743">
            <w:pPr>
              <w:spacing w:before="100" w:beforeAutospacing="1"/>
              <w:jc w:val="center"/>
              <w:rPr>
                <w:rFonts w:eastAsia="Times New Roman"/>
                <w:b/>
                <w:lang w:eastAsia="pl-PL"/>
              </w:rPr>
            </w:pPr>
            <w:r w:rsidRPr="00170743">
              <w:rPr>
                <w:rFonts w:eastAsia="Times New Roman"/>
                <w:b/>
                <w:lang w:eastAsia="pl-PL"/>
              </w:rPr>
              <w:t>Urząd Gminy w Mircu</w:t>
            </w:r>
          </w:p>
          <w:p w:rsidR="00170743" w:rsidRPr="00170743" w:rsidRDefault="00170743" w:rsidP="00170743">
            <w:pPr>
              <w:spacing w:before="100" w:beforeAutospacing="1"/>
              <w:jc w:val="center"/>
              <w:rPr>
                <w:rFonts w:eastAsia="Times New Roman"/>
                <w:lang w:eastAsia="pl-PL"/>
              </w:rPr>
            </w:pPr>
            <w:r w:rsidRPr="00170743">
              <w:rPr>
                <w:rFonts w:eastAsia="Times New Roman"/>
                <w:lang w:eastAsia="pl-PL"/>
              </w:rPr>
              <w:t>2016-2017</w:t>
            </w:r>
          </w:p>
        </w:tc>
      </w:tr>
      <w:tr w:rsidR="00170743" w:rsidRPr="00170743" w:rsidTr="00170743">
        <w:tc>
          <w:tcPr>
            <w:tcW w:w="529" w:type="dxa"/>
            <w:tcBorders>
              <w:top w:val="single" w:sz="4" w:space="0" w:color="auto"/>
              <w:left w:val="single" w:sz="4" w:space="0" w:color="auto"/>
              <w:bottom w:val="single" w:sz="4" w:space="0" w:color="auto"/>
              <w:right w:val="single" w:sz="4" w:space="0" w:color="auto"/>
            </w:tcBorders>
          </w:tcPr>
          <w:p w:rsidR="00170743" w:rsidRPr="00170743" w:rsidRDefault="00170743" w:rsidP="00170743">
            <w:pPr>
              <w:rPr>
                <w:rFonts w:eastAsia="Times New Roman"/>
                <w:b/>
                <w:bCs/>
                <w:iCs/>
                <w:color w:val="4F81BD"/>
                <w:sz w:val="28"/>
                <w:szCs w:val="28"/>
                <w:lang w:eastAsia="pl-PL"/>
              </w:rPr>
            </w:pPr>
            <w:r>
              <w:rPr>
                <w:rFonts w:eastAsia="Times New Roman"/>
                <w:b/>
                <w:bCs/>
                <w:iCs/>
                <w:color w:val="4F81BD"/>
                <w:sz w:val="28"/>
                <w:szCs w:val="28"/>
                <w:lang w:eastAsia="pl-PL"/>
              </w:rPr>
              <w:t>7</w:t>
            </w:r>
          </w:p>
        </w:tc>
        <w:tc>
          <w:tcPr>
            <w:tcW w:w="1989" w:type="dxa"/>
            <w:gridSpan w:val="2"/>
            <w:tcBorders>
              <w:top w:val="single" w:sz="4" w:space="0" w:color="auto"/>
              <w:left w:val="single" w:sz="4" w:space="0" w:color="auto"/>
              <w:bottom w:val="single" w:sz="4" w:space="0" w:color="auto"/>
              <w:right w:val="single" w:sz="4" w:space="0" w:color="auto"/>
            </w:tcBorders>
          </w:tcPr>
          <w:p w:rsidR="00170743" w:rsidRPr="00170743" w:rsidRDefault="00170743" w:rsidP="00170743">
            <w:pPr>
              <w:rPr>
                <w:rFonts w:eastAsia="Times New Roman"/>
                <w:b/>
                <w:bCs/>
                <w:iCs/>
                <w:color w:val="000000"/>
                <w:lang w:eastAsia="pl-PL"/>
              </w:rPr>
            </w:pPr>
            <w:r w:rsidRPr="00170743">
              <w:rPr>
                <w:rFonts w:eastAsia="Times New Roman"/>
                <w:b/>
                <w:bCs/>
                <w:iCs/>
                <w:color w:val="000000"/>
                <w:lang w:eastAsia="pl-PL"/>
              </w:rPr>
              <w:t>Budowa Punktu Selektywnej Zbiórki Odpadów (PSZOK)</w:t>
            </w:r>
          </w:p>
        </w:tc>
        <w:tc>
          <w:tcPr>
            <w:tcW w:w="3684" w:type="dxa"/>
            <w:tcBorders>
              <w:top w:val="single" w:sz="4" w:space="0" w:color="auto"/>
              <w:left w:val="single" w:sz="4" w:space="0" w:color="auto"/>
              <w:bottom w:val="single" w:sz="4" w:space="0" w:color="auto"/>
              <w:right w:val="single" w:sz="4" w:space="0" w:color="auto"/>
            </w:tcBorders>
          </w:tcPr>
          <w:p w:rsidR="00170743" w:rsidRPr="00170743" w:rsidRDefault="00170743" w:rsidP="00170743">
            <w:pPr>
              <w:rPr>
                <w:rFonts w:eastAsia="Times New Roman"/>
                <w:bCs/>
                <w:iCs/>
                <w:color w:val="000000"/>
                <w:lang w:eastAsia="pl-PL"/>
              </w:rPr>
            </w:pPr>
            <w:r w:rsidRPr="00170743">
              <w:rPr>
                <w:rFonts w:eastAsia="Times New Roman"/>
                <w:bCs/>
                <w:iCs/>
                <w:color w:val="000000"/>
                <w:lang w:eastAsia="pl-PL"/>
              </w:rPr>
              <w:t>Budowa Punktu Selektywnej Zbiórki Odpadów wraz z wyposażeniem</w:t>
            </w:r>
          </w:p>
        </w:tc>
        <w:tc>
          <w:tcPr>
            <w:tcW w:w="2692" w:type="dxa"/>
            <w:tcBorders>
              <w:top w:val="single" w:sz="4" w:space="0" w:color="auto"/>
              <w:left w:val="single" w:sz="4" w:space="0" w:color="auto"/>
              <w:bottom w:val="single" w:sz="4" w:space="0" w:color="auto"/>
              <w:right w:val="single" w:sz="4" w:space="0" w:color="auto"/>
            </w:tcBorders>
          </w:tcPr>
          <w:p w:rsidR="00170743" w:rsidRPr="00170743" w:rsidRDefault="00170743" w:rsidP="00170743">
            <w:pPr>
              <w:rPr>
                <w:rFonts w:eastAsia="Times New Roman"/>
                <w:bCs/>
                <w:iCs/>
                <w:color w:val="000000"/>
                <w:lang w:eastAsia="pl-PL"/>
              </w:rPr>
            </w:pPr>
            <w:r w:rsidRPr="00170743">
              <w:rPr>
                <w:rFonts w:eastAsia="Times New Roman"/>
                <w:bCs/>
                <w:iCs/>
                <w:color w:val="000000"/>
                <w:lang w:eastAsia="pl-PL"/>
              </w:rPr>
              <w:t>Teren sołectwa Mirzec I lub Mirzec II</w:t>
            </w:r>
          </w:p>
        </w:tc>
        <w:tc>
          <w:tcPr>
            <w:tcW w:w="1558" w:type="dxa"/>
            <w:tcBorders>
              <w:top w:val="single" w:sz="4" w:space="0" w:color="auto"/>
              <w:left w:val="single" w:sz="4" w:space="0" w:color="auto"/>
              <w:bottom w:val="single" w:sz="4" w:space="0" w:color="auto"/>
              <w:right w:val="single" w:sz="4" w:space="0" w:color="auto"/>
            </w:tcBorders>
          </w:tcPr>
          <w:p w:rsidR="00170743" w:rsidRPr="00170743" w:rsidRDefault="00170743" w:rsidP="00170743">
            <w:pPr>
              <w:spacing w:before="100" w:beforeAutospacing="1"/>
              <w:rPr>
                <w:rFonts w:eastAsia="Times New Roman"/>
                <w:b/>
                <w:lang w:eastAsia="pl-PL"/>
              </w:rPr>
            </w:pPr>
            <w:r w:rsidRPr="00170743">
              <w:rPr>
                <w:rFonts w:eastAsia="Times New Roman"/>
                <w:b/>
                <w:lang w:eastAsia="pl-PL"/>
              </w:rPr>
              <w:t>200 000</w:t>
            </w:r>
          </w:p>
        </w:tc>
        <w:tc>
          <w:tcPr>
            <w:tcW w:w="3400" w:type="dxa"/>
            <w:tcBorders>
              <w:top w:val="single" w:sz="4" w:space="0" w:color="auto"/>
              <w:left w:val="single" w:sz="4" w:space="0" w:color="auto"/>
              <w:bottom w:val="single" w:sz="4" w:space="0" w:color="auto"/>
              <w:right w:val="single" w:sz="4" w:space="0" w:color="auto"/>
            </w:tcBorders>
          </w:tcPr>
          <w:p w:rsidR="00170743" w:rsidRPr="00170743" w:rsidRDefault="00170743" w:rsidP="00170743">
            <w:pPr>
              <w:spacing w:before="100" w:beforeAutospacing="1" w:after="119"/>
              <w:rPr>
                <w:rFonts w:eastAsia="Times New Roman"/>
                <w:lang w:eastAsia="pl-PL"/>
              </w:rPr>
            </w:pPr>
            <w:r w:rsidRPr="00170743">
              <w:rPr>
                <w:rFonts w:eastAsia="Times New Roman"/>
                <w:lang w:eastAsia="pl-PL"/>
              </w:rPr>
              <w:t>Inwestycja przyczyni się do wypełnienia obowiązków ustawowych. Umożliwią mieszkańcom łatwiejsze pozbywanie się odpadów zbieranych selektywnie. Łatwy dostęp do punktu selektywnej zbiórki odpadów to jedno z założeń zmiany systemu gospodarki odpadami.</w:t>
            </w:r>
          </w:p>
        </w:tc>
        <w:tc>
          <w:tcPr>
            <w:tcW w:w="1778" w:type="dxa"/>
            <w:tcBorders>
              <w:top w:val="single" w:sz="4" w:space="0" w:color="auto"/>
              <w:left w:val="single" w:sz="4" w:space="0" w:color="auto"/>
              <w:bottom w:val="single" w:sz="4" w:space="0" w:color="auto"/>
              <w:right w:val="single" w:sz="4" w:space="0" w:color="auto"/>
            </w:tcBorders>
          </w:tcPr>
          <w:p w:rsidR="00170743" w:rsidRPr="00170743" w:rsidRDefault="00170743" w:rsidP="00170743">
            <w:pPr>
              <w:spacing w:before="100" w:beforeAutospacing="1"/>
              <w:jc w:val="center"/>
              <w:rPr>
                <w:rFonts w:eastAsia="Times New Roman"/>
                <w:b/>
                <w:lang w:eastAsia="pl-PL"/>
              </w:rPr>
            </w:pPr>
            <w:r w:rsidRPr="00170743">
              <w:rPr>
                <w:rFonts w:eastAsia="Times New Roman"/>
                <w:b/>
                <w:lang w:eastAsia="pl-PL"/>
              </w:rPr>
              <w:t>Urząd Gminy w Mircu</w:t>
            </w:r>
          </w:p>
          <w:p w:rsidR="00170743" w:rsidRPr="00170743" w:rsidRDefault="00170743" w:rsidP="00170743">
            <w:pPr>
              <w:spacing w:before="100" w:beforeAutospacing="1"/>
              <w:jc w:val="center"/>
              <w:rPr>
                <w:rFonts w:eastAsia="Times New Roman"/>
                <w:lang w:eastAsia="pl-PL"/>
              </w:rPr>
            </w:pPr>
            <w:r w:rsidRPr="00170743">
              <w:rPr>
                <w:rFonts w:eastAsia="Times New Roman"/>
                <w:lang w:eastAsia="pl-PL"/>
              </w:rPr>
              <w:t>2016-2020</w:t>
            </w:r>
          </w:p>
        </w:tc>
      </w:tr>
      <w:tr w:rsidR="00170743" w:rsidRPr="00170743" w:rsidTr="00170743">
        <w:tc>
          <w:tcPr>
            <w:tcW w:w="529" w:type="dxa"/>
            <w:tcBorders>
              <w:top w:val="single" w:sz="4" w:space="0" w:color="auto"/>
              <w:left w:val="single" w:sz="4" w:space="0" w:color="auto"/>
              <w:bottom w:val="single" w:sz="4" w:space="0" w:color="auto"/>
              <w:right w:val="single" w:sz="4" w:space="0" w:color="auto"/>
            </w:tcBorders>
            <w:hideMark/>
          </w:tcPr>
          <w:p w:rsidR="00170743" w:rsidRPr="00170743" w:rsidRDefault="00170743" w:rsidP="00170743">
            <w:pPr>
              <w:spacing w:after="200" w:line="276" w:lineRule="auto"/>
              <w:rPr>
                <w:rFonts w:eastAsia="Times New Roman"/>
                <w:b/>
                <w:bCs/>
                <w:iCs/>
                <w:color w:val="4F81BD"/>
                <w:sz w:val="28"/>
                <w:szCs w:val="28"/>
                <w:lang w:eastAsia="pl-PL"/>
              </w:rPr>
            </w:pPr>
            <w:r>
              <w:rPr>
                <w:rFonts w:eastAsia="Times New Roman"/>
                <w:b/>
                <w:bCs/>
                <w:iCs/>
                <w:color w:val="4F81BD"/>
                <w:sz w:val="28"/>
                <w:szCs w:val="28"/>
                <w:lang w:eastAsia="pl-PL"/>
              </w:rPr>
              <w:t>8</w:t>
            </w:r>
          </w:p>
        </w:tc>
        <w:tc>
          <w:tcPr>
            <w:tcW w:w="1989" w:type="dxa"/>
            <w:gridSpan w:val="2"/>
            <w:tcBorders>
              <w:top w:val="single" w:sz="4" w:space="0" w:color="auto"/>
              <w:left w:val="single" w:sz="4" w:space="0" w:color="auto"/>
              <w:bottom w:val="single" w:sz="4" w:space="0" w:color="auto"/>
              <w:right w:val="single" w:sz="4" w:space="0" w:color="auto"/>
            </w:tcBorders>
            <w:hideMark/>
          </w:tcPr>
          <w:p w:rsidR="00170743" w:rsidRPr="00170743" w:rsidRDefault="00170743" w:rsidP="00170743">
            <w:pPr>
              <w:spacing w:after="200" w:line="276" w:lineRule="auto"/>
              <w:rPr>
                <w:rFonts w:eastAsia="Times New Roman"/>
                <w:b/>
                <w:bCs/>
                <w:iCs/>
                <w:color w:val="000000"/>
                <w:lang w:eastAsia="pl-PL"/>
              </w:rPr>
            </w:pPr>
            <w:r w:rsidRPr="00170743">
              <w:rPr>
                <w:rFonts w:eastAsia="Times New Roman"/>
                <w:b/>
                <w:bCs/>
                <w:iCs/>
                <w:color w:val="000000"/>
                <w:lang w:eastAsia="pl-PL"/>
              </w:rPr>
              <w:t xml:space="preserve">Wyeksponowanie pomników przyrody w </w:t>
            </w:r>
            <w:r w:rsidRPr="00170743">
              <w:rPr>
                <w:rFonts w:eastAsia="Times New Roman"/>
                <w:b/>
                <w:bCs/>
                <w:iCs/>
                <w:color w:val="000000"/>
                <w:lang w:eastAsia="pl-PL"/>
              </w:rPr>
              <w:lastRenderedPageBreak/>
              <w:t>centrum Mirca</w:t>
            </w:r>
          </w:p>
        </w:tc>
        <w:tc>
          <w:tcPr>
            <w:tcW w:w="3684" w:type="dxa"/>
            <w:tcBorders>
              <w:top w:val="single" w:sz="4" w:space="0" w:color="auto"/>
              <w:left w:val="single" w:sz="4" w:space="0" w:color="auto"/>
              <w:bottom w:val="single" w:sz="4" w:space="0" w:color="auto"/>
              <w:right w:val="single" w:sz="4" w:space="0" w:color="auto"/>
            </w:tcBorders>
            <w:hideMark/>
          </w:tcPr>
          <w:p w:rsidR="00170743" w:rsidRPr="00170743" w:rsidRDefault="00170743" w:rsidP="00170743">
            <w:pPr>
              <w:rPr>
                <w:rFonts w:eastAsia="Times New Roman"/>
                <w:bCs/>
                <w:iCs/>
                <w:color w:val="000000"/>
                <w:lang w:eastAsia="pl-PL"/>
              </w:rPr>
            </w:pPr>
            <w:r w:rsidRPr="00170743">
              <w:rPr>
                <w:rFonts w:eastAsia="Times New Roman"/>
                <w:bCs/>
                <w:iCs/>
                <w:color w:val="000000"/>
                <w:lang w:eastAsia="pl-PL"/>
              </w:rPr>
              <w:lastRenderedPageBreak/>
              <w:t xml:space="preserve">Zagospodarowanie największego </w:t>
            </w:r>
            <w:r w:rsidRPr="00170743">
              <w:rPr>
                <w:rFonts w:eastAsia="Times New Roman"/>
                <w:bCs/>
                <w:iCs/>
                <w:color w:val="000000"/>
                <w:lang w:eastAsia="pl-PL"/>
              </w:rPr>
              <w:br/>
              <w:t xml:space="preserve">w Polsce zabytkowego pomnika przyrody - wiązu szypułkowego( </w:t>
            </w:r>
            <w:r w:rsidRPr="00170743">
              <w:rPr>
                <w:rFonts w:eastAsia="Times New Roman"/>
                <w:bCs/>
                <w:iCs/>
                <w:color w:val="000000"/>
                <w:lang w:eastAsia="pl-PL"/>
              </w:rPr>
              <w:lastRenderedPageBreak/>
              <w:t>zlokalizowany przy wjeździe na nieruchomość działka 130/3) – pielęgnacja, wykonanie i zamontowanie tabliczki informacyjnej , podświetlenie obiektu przyrodniczego.</w:t>
            </w:r>
          </w:p>
          <w:p w:rsidR="00170743" w:rsidRPr="00170743" w:rsidRDefault="00170743" w:rsidP="00170743">
            <w:pPr>
              <w:spacing w:after="200" w:line="276" w:lineRule="auto"/>
              <w:rPr>
                <w:rFonts w:eastAsia="Times New Roman"/>
                <w:bCs/>
                <w:iCs/>
                <w:color w:val="000000"/>
                <w:lang w:eastAsia="pl-PL"/>
              </w:rPr>
            </w:pPr>
            <w:r w:rsidRPr="00170743">
              <w:rPr>
                <w:rFonts w:eastAsia="Times New Roman"/>
                <w:bCs/>
                <w:iCs/>
                <w:color w:val="000000"/>
                <w:lang w:eastAsia="pl-PL"/>
              </w:rPr>
              <w:t>Zagospodarowanie pomnika przyrody ( II część parku podworskiego – działka 130/8) pielęgnacja, wykonanie i zamontowanie tabliczki informacyjnej i podświetlenie obiektu przyrodniczego.</w:t>
            </w:r>
          </w:p>
        </w:tc>
        <w:tc>
          <w:tcPr>
            <w:tcW w:w="2692" w:type="dxa"/>
            <w:tcBorders>
              <w:top w:val="single" w:sz="4" w:space="0" w:color="auto"/>
              <w:left w:val="single" w:sz="4" w:space="0" w:color="auto"/>
              <w:bottom w:val="single" w:sz="4" w:space="0" w:color="auto"/>
              <w:right w:val="single" w:sz="4" w:space="0" w:color="auto"/>
            </w:tcBorders>
            <w:hideMark/>
          </w:tcPr>
          <w:p w:rsidR="00170743" w:rsidRPr="00170743" w:rsidRDefault="00170743" w:rsidP="00170743">
            <w:pPr>
              <w:rPr>
                <w:rFonts w:eastAsia="Times New Roman"/>
                <w:bCs/>
                <w:iCs/>
                <w:color w:val="000000"/>
                <w:lang w:eastAsia="pl-PL"/>
              </w:rPr>
            </w:pPr>
            <w:r w:rsidRPr="00170743">
              <w:rPr>
                <w:rFonts w:eastAsia="Times New Roman"/>
                <w:bCs/>
                <w:iCs/>
                <w:color w:val="000000"/>
                <w:lang w:eastAsia="pl-PL"/>
              </w:rPr>
              <w:lastRenderedPageBreak/>
              <w:t>Mirzec Majorat 2</w:t>
            </w:r>
          </w:p>
          <w:p w:rsidR="00170743" w:rsidRPr="00170743" w:rsidRDefault="00170743" w:rsidP="00170743">
            <w:pPr>
              <w:rPr>
                <w:rFonts w:eastAsia="Times New Roman"/>
                <w:bCs/>
                <w:iCs/>
                <w:color w:val="000000"/>
                <w:lang w:eastAsia="pl-PL"/>
              </w:rPr>
            </w:pPr>
            <w:r w:rsidRPr="00170743">
              <w:rPr>
                <w:rFonts w:eastAsia="Times New Roman"/>
                <w:bCs/>
                <w:iCs/>
                <w:color w:val="000000"/>
                <w:lang w:eastAsia="pl-PL"/>
              </w:rPr>
              <w:t xml:space="preserve">27-220 Mirzec </w:t>
            </w:r>
          </w:p>
          <w:p w:rsidR="00170743" w:rsidRPr="00170743" w:rsidRDefault="00170743" w:rsidP="00170743">
            <w:pPr>
              <w:rPr>
                <w:rFonts w:eastAsia="Times New Roman"/>
                <w:bCs/>
                <w:iCs/>
                <w:color w:val="000000"/>
                <w:lang w:eastAsia="pl-PL"/>
              </w:rPr>
            </w:pPr>
            <w:r w:rsidRPr="00170743">
              <w:rPr>
                <w:rFonts w:eastAsia="Times New Roman"/>
                <w:bCs/>
                <w:iCs/>
                <w:color w:val="000000"/>
                <w:lang w:eastAsia="pl-PL"/>
              </w:rPr>
              <w:t xml:space="preserve">Działka 130/3 o pow. 1,24 </w:t>
            </w:r>
            <w:r w:rsidRPr="00170743">
              <w:rPr>
                <w:rFonts w:eastAsia="Times New Roman"/>
                <w:bCs/>
                <w:iCs/>
                <w:color w:val="000000"/>
                <w:lang w:eastAsia="pl-PL"/>
              </w:rPr>
              <w:lastRenderedPageBreak/>
              <w:t>ha</w:t>
            </w:r>
          </w:p>
          <w:p w:rsidR="00170743" w:rsidRPr="00170743" w:rsidRDefault="00170743" w:rsidP="00170743">
            <w:pPr>
              <w:spacing w:after="200" w:line="276" w:lineRule="auto"/>
              <w:rPr>
                <w:rFonts w:eastAsia="Times New Roman"/>
                <w:b/>
                <w:bCs/>
                <w:iCs/>
                <w:color w:val="000000"/>
                <w:lang w:eastAsia="pl-PL"/>
              </w:rPr>
            </w:pPr>
            <w:r w:rsidRPr="00170743">
              <w:rPr>
                <w:rFonts w:eastAsia="Times New Roman"/>
                <w:bCs/>
                <w:iCs/>
                <w:color w:val="000000"/>
                <w:lang w:eastAsia="pl-PL"/>
              </w:rPr>
              <w:t>Działka 130/8 o pow. 0,31 ha</w:t>
            </w:r>
          </w:p>
        </w:tc>
        <w:tc>
          <w:tcPr>
            <w:tcW w:w="1558" w:type="dxa"/>
            <w:tcBorders>
              <w:top w:val="single" w:sz="4" w:space="0" w:color="auto"/>
              <w:left w:val="single" w:sz="4" w:space="0" w:color="auto"/>
              <w:bottom w:val="single" w:sz="4" w:space="0" w:color="auto"/>
              <w:right w:val="single" w:sz="4" w:space="0" w:color="auto"/>
            </w:tcBorders>
            <w:hideMark/>
          </w:tcPr>
          <w:p w:rsidR="00170743" w:rsidRPr="00170743" w:rsidRDefault="00170743" w:rsidP="00170743">
            <w:pPr>
              <w:spacing w:after="200" w:line="276" w:lineRule="auto"/>
              <w:rPr>
                <w:rFonts w:eastAsia="Times New Roman"/>
                <w:b/>
                <w:bCs/>
                <w:iCs/>
                <w:color w:val="000000"/>
                <w:lang w:eastAsia="pl-PL"/>
              </w:rPr>
            </w:pPr>
            <w:r w:rsidRPr="00170743">
              <w:rPr>
                <w:rFonts w:eastAsia="Times New Roman"/>
                <w:b/>
                <w:bCs/>
                <w:iCs/>
                <w:color w:val="000000"/>
                <w:lang w:eastAsia="pl-PL"/>
              </w:rPr>
              <w:lastRenderedPageBreak/>
              <w:t>10 000</w:t>
            </w:r>
          </w:p>
        </w:tc>
        <w:tc>
          <w:tcPr>
            <w:tcW w:w="3400" w:type="dxa"/>
            <w:tcBorders>
              <w:top w:val="single" w:sz="4" w:space="0" w:color="auto"/>
              <w:left w:val="single" w:sz="4" w:space="0" w:color="auto"/>
              <w:bottom w:val="single" w:sz="4" w:space="0" w:color="auto"/>
              <w:right w:val="single" w:sz="4" w:space="0" w:color="auto"/>
            </w:tcBorders>
            <w:hideMark/>
          </w:tcPr>
          <w:p w:rsidR="00170743" w:rsidRPr="00170743" w:rsidRDefault="00170743" w:rsidP="00170743">
            <w:pPr>
              <w:rPr>
                <w:rFonts w:eastAsia="Times New Roman"/>
                <w:bCs/>
                <w:iCs/>
                <w:color w:val="000000"/>
                <w:lang w:eastAsia="pl-PL"/>
              </w:rPr>
            </w:pPr>
            <w:r w:rsidRPr="00170743">
              <w:rPr>
                <w:rFonts w:eastAsia="Times New Roman"/>
                <w:bCs/>
                <w:iCs/>
                <w:color w:val="000000"/>
                <w:lang w:eastAsia="pl-PL"/>
              </w:rPr>
              <w:t xml:space="preserve">Zachowanie dziedzictwa przyrodniczego </w:t>
            </w:r>
          </w:p>
          <w:p w:rsidR="00170743" w:rsidRPr="00170743" w:rsidRDefault="00170743" w:rsidP="00170743">
            <w:pPr>
              <w:rPr>
                <w:rFonts w:eastAsia="Times New Roman"/>
                <w:bCs/>
                <w:iCs/>
                <w:color w:val="000000"/>
                <w:lang w:eastAsia="pl-PL"/>
              </w:rPr>
            </w:pPr>
            <w:r w:rsidRPr="00170743">
              <w:rPr>
                <w:rFonts w:eastAsia="Times New Roman"/>
                <w:bCs/>
                <w:iCs/>
                <w:color w:val="000000"/>
                <w:lang w:eastAsia="pl-PL"/>
              </w:rPr>
              <w:t xml:space="preserve">Rozwój turystyki </w:t>
            </w:r>
          </w:p>
          <w:p w:rsidR="00170743" w:rsidRPr="00170743" w:rsidRDefault="00170743" w:rsidP="00170743">
            <w:pPr>
              <w:spacing w:after="200" w:line="276" w:lineRule="auto"/>
              <w:rPr>
                <w:rFonts w:eastAsia="Times New Roman"/>
                <w:bCs/>
                <w:iCs/>
                <w:color w:val="000000"/>
                <w:lang w:eastAsia="pl-PL"/>
              </w:rPr>
            </w:pPr>
            <w:r w:rsidRPr="00170743">
              <w:rPr>
                <w:rFonts w:eastAsia="Times New Roman"/>
                <w:bCs/>
                <w:iCs/>
                <w:color w:val="000000"/>
                <w:lang w:eastAsia="pl-PL"/>
              </w:rPr>
              <w:lastRenderedPageBreak/>
              <w:t xml:space="preserve">Zwiększenie estetyki </w:t>
            </w:r>
            <w:r w:rsidRPr="00170743">
              <w:rPr>
                <w:rFonts w:eastAsia="Times New Roman"/>
                <w:bCs/>
                <w:iCs/>
                <w:color w:val="000000"/>
                <w:lang w:eastAsia="pl-PL"/>
              </w:rPr>
              <w:br/>
              <w:t>i atrakcyjności centrum Mirca</w:t>
            </w:r>
          </w:p>
        </w:tc>
        <w:tc>
          <w:tcPr>
            <w:tcW w:w="1778" w:type="dxa"/>
            <w:tcBorders>
              <w:top w:val="single" w:sz="4" w:space="0" w:color="auto"/>
              <w:left w:val="single" w:sz="4" w:space="0" w:color="auto"/>
              <w:bottom w:val="single" w:sz="4" w:space="0" w:color="auto"/>
              <w:right w:val="single" w:sz="4" w:space="0" w:color="auto"/>
            </w:tcBorders>
            <w:hideMark/>
          </w:tcPr>
          <w:p w:rsidR="00170743" w:rsidRPr="00170743" w:rsidRDefault="00170743" w:rsidP="00170743">
            <w:pPr>
              <w:rPr>
                <w:rFonts w:eastAsia="Times New Roman"/>
                <w:bCs/>
                <w:iCs/>
                <w:color w:val="000000"/>
                <w:lang w:eastAsia="pl-PL"/>
              </w:rPr>
            </w:pPr>
            <w:r w:rsidRPr="00170743">
              <w:rPr>
                <w:rFonts w:eastAsia="Times New Roman"/>
                <w:bCs/>
                <w:iCs/>
                <w:color w:val="000000"/>
                <w:lang w:eastAsia="pl-PL"/>
              </w:rPr>
              <w:lastRenderedPageBreak/>
              <w:t xml:space="preserve">Jolanta </w:t>
            </w:r>
            <w:r w:rsidRPr="00170743">
              <w:rPr>
                <w:rFonts w:eastAsia="Times New Roman"/>
                <w:bCs/>
                <w:iCs/>
                <w:color w:val="000000"/>
                <w:lang w:eastAsia="pl-PL"/>
              </w:rPr>
              <w:br/>
              <w:t>i Bogusław Żaczek</w:t>
            </w:r>
          </w:p>
          <w:p w:rsidR="00170743" w:rsidRPr="00170743" w:rsidRDefault="00170743" w:rsidP="00170743">
            <w:pPr>
              <w:rPr>
                <w:rFonts w:eastAsia="Times New Roman"/>
                <w:bCs/>
                <w:iCs/>
                <w:color w:val="000000"/>
                <w:lang w:eastAsia="pl-PL"/>
              </w:rPr>
            </w:pPr>
            <w:r w:rsidRPr="00170743">
              <w:rPr>
                <w:rFonts w:eastAsia="Times New Roman"/>
                <w:bCs/>
                <w:iCs/>
                <w:color w:val="000000"/>
                <w:lang w:eastAsia="pl-PL"/>
              </w:rPr>
              <w:lastRenderedPageBreak/>
              <w:t xml:space="preserve">PUH „Zaczek” </w:t>
            </w:r>
          </w:p>
          <w:p w:rsidR="00170743" w:rsidRPr="00170743" w:rsidRDefault="00170743" w:rsidP="00170743">
            <w:pPr>
              <w:spacing w:after="200" w:line="276" w:lineRule="auto"/>
              <w:rPr>
                <w:rFonts w:eastAsia="Times New Roman"/>
                <w:bCs/>
                <w:iCs/>
                <w:color w:val="000000"/>
                <w:lang w:eastAsia="pl-PL"/>
              </w:rPr>
            </w:pPr>
            <w:r w:rsidRPr="00170743">
              <w:rPr>
                <w:rFonts w:eastAsia="Times New Roman"/>
                <w:bCs/>
                <w:iCs/>
                <w:color w:val="000000"/>
                <w:lang w:eastAsia="pl-PL"/>
              </w:rPr>
              <w:t>2016-2019</w:t>
            </w:r>
          </w:p>
        </w:tc>
      </w:tr>
      <w:tr w:rsidR="00170743" w:rsidRPr="00170743" w:rsidTr="00170743">
        <w:trPr>
          <w:trHeight w:val="1338"/>
        </w:trPr>
        <w:tc>
          <w:tcPr>
            <w:tcW w:w="535" w:type="dxa"/>
            <w:gridSpan w:val="2"/>
            <w:vMerge w:val="restart"/>
            <w:tcBorders>
              <w:top w:val="single" w:sz="4" w:space="0" w:color="auto"/>
              <w:left w:val="single" w:sz="4" w:space="0" w:color="auto"/>
              <w:bottom w:val="single" w:sz="4" w:space="0" w:color="auto"/>
              <w:right w:val="single" w:sz="4" w:space="0" w:color="auto"/>
            </w:tcBorders>
            <w:hideMark/>
          </w:tcPr>
          <w:p w:rsidR="00170743" w:rsidRPr="00170743" w:rsidRDefault="00170743" w:rsidP="00170743">
            <w:pPr>
              <w:spacing w:after="200" w:line="276" w:lineRule="auto"/>
              <w:rPr>
                <w:rFonts w:eastAsia="Times New Roman"/>
                <w:b/>
                <w:bCs/>
                <w:iCs/>
                <w:color w:val="4F81BD"/>
                <w:sz w:val="28"/>
                <w:szCs w:val="28"/>
                <w:lang w:eastAsia="pl-PL"/>
              </w:rPr>
            </w:pPr>
            <w:r>
              <w:rPr>
                <w:rFonts w:eastAsia="Times New Roman"/>
                <w:b/>
                <w:bCs/>
                <w:iCs/>
                <w:color w:val="4F81BD"/>
                <w:sz w:val="28"/>
                <w:szCs w:val="28"/>
                <w:lang w:eastAsia="pl-PL"/>
              </w:rPr>
              <w:lastRenderedPageBreak/>
              <w:t>9</w:t>
            </w:r>
          </w:p>
        </w:tc>
        <w:tc>
          <w:tcPr>
            <w:tcW w:w="1983" w:type="dxa"/>
            <w:vMerge w:val="restart"/>
            <w:tcBorders>
              <w:top w:val="single" w:sz="4" w:space="0" w:color="auto"/>
              <w:left w:val="single" w:sz="4" w:space="0" w:color="auto"/>
              <w:bottom w:val="single" w:sz="4" w:space="0" w:color="auto"/>
              <w:right w:val="single" w:sz="4" w:space="0" w:color="auto"/>
            </w:tcBorders>
            <w:hideMark/>
          </w:tcPr>
          <w:p w:rsidR="00170743" w:rsidRPr="00170743" w:rsidRDefault="00170743" w:rsidP="00170743">
            <w:pPr>
              <w:spacing w:after="200" w:line="276" w:lineRule="auto"/>
              <w:rPr>
                <w:rFonts w:eastAsia="Times New Roman"/>
                <w:b/>
                <w:bCs/>
                <w:iCs/>
                <w:color w:val="000000"/>
                <w:lang w:eastAsia="pl-PL"/>
              </w:rPr>
            </w:pPr>
            <w:r w:rsidRPr="00170743">
              <w:rPr>
                <w:rFonts w:eastAsia="Times New Roman"/>
                <w:b/>
                <w:bCs/>
                <w:iCs/>
                <w:color w:val="000000"/>
                <w:lang w:eastAsia="pl-PL"/>
              </w:rPr>
              <w:t xml:space="preserve">Powstanie miejsca integracji na terenie parku przydworskiego </w:t>
            </w:r>
            <w:r w:rsidRPr="00170743">
              <w:rPr>
                <w:rFonts w:eastAsia="Times New Roman"/>
                <w:b/>
                <w:bCs/>
                <w:iCs/>
                <w:color w:val="000000"/>
                <w:lang w:eastAsia="pl-PL"/>
              </w:rPr>
              <w:br/>
              <w:t>(w centrum Mirca)</w:t>
            </w:r>
          </w:p>
        </w:tc>
        <w:tc>
          <w:tcPr>
            <w:tcW w:w="3684" w:type="dxa"/>
            <w:tcBorders>
              <w:top w:val="single" w:sz="4" w:space="0" w:color="auto"/>
              <w:left w:val="single" w:sz="4" w:space="0" w:color="auto"/>
              <w:bottom w:val="single" w:sz="4" w:space="0" w:color="auto"/>
              <w:right w:val="single" w:sz="4" w:space="0" w:color="auto"/>
            </w:tcBorders>
            <w:hideMark/>
          </w:tcPr>
          <w:p w:rsidR="00170743" w:rsidRPr="00170743" w:rsidRDefault="00170743" w:rsidP="00170743">
            <w:pPr>
              <w:spacing w:after="200" w:line="276" w:lineRule="auto"/>
              <w:rPr>
                <w:rFonts w:eastAsia="Times New Roman"/>
                <w:bCs/>
                <w:iCs/>
                <w:color w:val="000000"/>
                <w:lang w:eastAsia="pl-PL"/>
              </w:rPr>
            </w:pPr>
            <w:r w:rsidRPr="00170743">
              <w:rPr>
                <w:rFonts w:eastAsia="Times New Roman"/>
                <w:bCs/>
                <w:iCs/>
                <w:color w:val="000000"/>
                <w:lang w:eastAsia="pl-PL"/>
              </w:rPr>
              <w:t xml:space="preserve">Powstanie ogólnodostępnej altany grillowej z przebudowy istniejącego budynku gospodarczego wraz z wyposażeniem i zagospodarowaniem terenu ( wyrównanie terenu , funkcjonalne jego zagospodarowanie. , powstanie tarasów, stylowe oświetlenie zewnętrzne, zieleń osłonowa. Zabudowa ,zadaszenie  tarasu </w:t>
            </w:r>
            <w:r w:rsidRPr="00170743">
              <w:rPr>
                <w:rFonts w:eastAsia="Times New Roman"/>
                <w:bCs/>
                <w:iCs/>
                <w:color w:val="000000"/>
                <w:lang w:eastAsia="pl-PL"/>
              </w:rPr>
              <w:br/>
              <w:t>w Modrzewiowym Dworku .</w:t>
            </w:r>
          </w:p>
        </w:tc>
        <w:tc>
          <w:tcPr>
            <w:tcW w:w="2692" w:type="dxa"/>
            <w:tcBorders>
              <w:top w:val="single" w:sz="4" w:space="0" w:color="auto"/>
              <w:left w:val="single" w:sz="4" w:space="0" w:color="auto"/>
              <w:bottom w:val="single" w:sz="4" w:space="0" w:color="auto"/>
              <w:right w:val="single" w:sz="4" w:space="0" w:color="auto"/>
            </w:tcBorders>
            <w:hideMark/>
          </w:tcPr>
          <w:p w:rsidR="00170743" w:rsidRPr="00170743" w:rsidRDefault="00170743" w:rsidP="00170743">
            <w:pPr>
              <w:rPr>
                <w:rFonts w:eastAsia="Times New Roman"/>
                <w:bCs/>
                <w:iCs/>
                <w:color w:val="000000"/>
                <w:lang w:eastAsia="pl-PL"/>
              </w:rPr>
            </w:pPr>
            <w:r w:rsidRPr="00170743">
              <w:rPr>
                <w:rFonts w:eastAsia="Times New Roman"/>
                <w:bCs/>
                <w:iCs/>
                <w:color w:val="000000"/>
                <w:lang w:eastAsia="pl-PL"/>
              </w:rPr>
              <w:t>Mirzec Majorat 2</w:t>
            </w:r>
          </w:p>
          <w:p w:rsidR="00170743" w:rsidRPr="00170743" w:rsidRDefault="00170743" w:rsidP="00170743">
            <w:pPr>
              <w:rPr>
                <w:rFonts w:eastAsia="Times New Roman"/>
                <w:bCs/>
                <w:iCs/>
                <w:color w:val="000000"/>
                <w:lang w:eastAsia="pl-PL"/>
              </w:rPr>
            </w:pPr>
            <w:r w:rsidRPr="00170743">
              <w:rPr>
                <w:rFonts w:eastAsia="Times New Roman"/>
                <w:bCs/>
                <w:iCs/>
                <w:color w:val="000000"/>
                <w:lang w:eastAsia="pl-PL"/>
              </w:rPr>
              <w:t xml:space="preserve">27-220 Mirzec </w:t>
            </w:r>
          </w:p>
          <w:p w:rsidR="00170743" w:rsidRPr="00170743" w:rsidRDefault="00170743" w:rsidP="00170743">
            <w:pPr>
              <w:spacing w:after="200" w:line="276" w:lineRule="auto"/>
              <w:rPr>
                <w:rFonts w:eastAsia="Times New Roman"/>
                <w:bCs/>
                <w:iCs/>
                <w:color w:val="000000"/>
                <w:lang w:eastAsia="pl-PL"/>
              </w:rPr>
            </w:pPr>
            <w:r w:rsidRPr="00170743">
              <w:rPr>
                <w:rFonts w:eastAsia="Times New Roman"/>
                <w:bCs/>
                <w:iCs/>
                <w:color w:val="000000"/>
                <w:lang w:eastAsia="pl-PL"/>
              </w:rPr>
              <w:t>Działka 130/3 o pow. 1,24 ha</w:t>
            </w:r>
          </w:p>
        </w:tc>
        <w:tc>
          <w:tcPr>
            <w:tcW w:w="1558" w:type="dxa"/>
            <w:tcBorders>
              <w:top w:val="single" w:sz="4" w:space="0" w:color="auto"/>
              <w:left w:val="single" w:sz="4" w:space="0" w:color="auto"/>
              <w:bottom w:val="single" w:sz="4" w:space="0" w:color="auto"/>
              <w:right w:val="single" w:sz="4" w:space="0" w:color="auto"/>
            </w:tcBorders>
          </w:tcPr>
          <w:p w:rsidR="00170743" w:rsidRPr="00170743" w:rsidRDefault="00170743" w:rsidP="00170743">
            <w:pPr>
              <w:rPr>
                <w:rFonts w:eastAsia="Times New Roman"/>
                <w:b/>
                <w:bCs/>
                <w:iCs/>
                <w:color w:val="000000"/>
                <w:lang w:eastAsia="pl-PL"/>
              </w:rPr>
            </w:pPr>
            <w:r w:rsidRPr="00170743">
              <w:rPr>
                <w:rFonts w:eastAsia="Times New Roman"/>
                <w:b/>
                <w:bCs/>
                <w:iCs/>
                <w:color w:val="000000"/>
                <w:lang w:eastAsia="pl-PL"/>
              </w:rPr>
              <w:t>300 000</w:t>
            </w:r>
          </w:p>
          <w:p w:rsidR="00170743" w:rsidRPr="00170743" w:rsidRDefault="00170743" w:rsidP="00170743">
            <w:pPr>
              <w:spacing w:after="200" w:line="276" w:lineRule="auto"/>
              <w:rPr>
                <w:rFonts w:eastAsia="Times New Roman"/>
                <w:b/>
                <w:bCs/>
                <w:iCs/>
                <w:color w:val="000000"/>
                <w:lang w:eastAsia="pl-PL"/>
              </w:rPr>
            </w:pPr>
          </w:p>
        </w:tc>
        <w:tc>
          <w:tcPr>
            <w:tcW w:w="3400" w:type="dxa"/>
            <w:tcBorders>
              <w:top w:val="single" w:sz="4" w:space="0" w:color="auto"/>
              <w:left w:val="single" w:sz="4" w:space="0" w:color="auto"/>
              <w:bottom w:val="single" w:sz="4" w:space="0" w:color="auto"/>
              <w:right w:val="single" w:sz="4" w:space="0" w:color="auto"/>
            </w:tcBorders>
          </w:tcPr>
          <w:p w:rsidR="00170743" w:rsidRPr="00170743" w:rsidRDefault="00170743" w:rsidP="00170743">
            <w:pPr>
              <w:rPr>
                <w:rFonts w:eastAsia="Times New Roman"/>
                <w:bCs/>
                <w:iCs/>
                <w:color w:val="000000"/>
                <w:lang w:eastAsia="pl-PL"/>
              </w:rPr>
            </w:pPr>
            <w:r w:rsidRPr="00170743">
              <w:rPr>
                <w:rFonts w:eastAsia="Times New Roman"/>
                <w:bCs/>
                <w:iCs/>
                <w:color w:val="000000"/>
                <w:lang w:eastAsia="pl-PL"/>
              </w:rPr>
              <w:t>Estetyka terenu</w:t>
            </w:r>
          </w:p>
          <w:p w:rsidR="00170743" w:rsidRPr="00170743" w:rsidRDefault="00170743" w:rsidP="00170743">
            <w:pPr>
              <w:rPr>
                <w:rFonts w:eastAsia="Times New Roman"/>
                <w:bCs/>
                <w:iCs/>
                <w:color w:val="000000"/>
                <w:lang w:eastAsia="pl-PL"/>
              </w:rPr>
            </w:pPr>
            <w:r w:rsidRPr="00170743">
              <w:rPr>
                <w:rFonts w:eastAsia="Times New Roman"/>
                <w:bCs/>
                <w:iCs/>
                <w:color w:val="000000"/>
                <w:lang w:eastAsia="pl-PL"/>
              </w:rPr>
              <w:t>Podniesienie jakości – zwiększenie oferty zagospodarowania czasu wolnego</w:t>
            </w:r>
          </w:p>
          <w:p w:rsidR="00170743" w:rsidRPr="00170743" w:rsidRDefault="00170743" w:rsidP="00170743">
            <w:pPr>
              <w:rPr>
                <w:rFonts w:eastAsia="Times New Roman"/>
                <w:bCs/>
                <w:iCs/>
                <w:color w:val="000000"/>
                <w:lang w:eastAsia="pl-PL"/>
              </w:rPr>
            </w:pPr>
            <w:r w:rsidRPr="00170743">
              <w:rPr>
                <w:rFonts w:eastAsia="Times New Roman"/>
                <w:bCs/>
                <w:iCs/>
                <w:color w:val="000000"/>
                <w:lang w:eastAsia="pl-PL"/>
              </w:rPr>
              <w:t>Rozszerzenie usług gastronomicznych</w:t>
            </w:r>
          </w:p>
          <w:p w:rsidR="00170743" w:rsidRPr="00170743" w:rsidRDefault="00170743" w:rsidP="00170743">
            <w:pPr>
              <w:rPr>
                <w:rFonts w:eastAsia="Times New Roman"/>
                <w:bCs/>
                <w:iCs/>
                <w:color w:val="000000"/>
                <w:lang w:eastAsia="pl-PL"/>
              </w:rPr>
            </w:pPr>
            <w:r w:rsidRPr="00170743">
              <w:rPr>
                <w:rFonts w:eastAsia="Times New Roman"/>
                <w:bCs/>
                <w:iCs/>
                <w:color w:val="000000"/>
                <w:lang w:eastAsia="pl-PL"/>
              </w:rPr>
              <w:t>Poprawa funkcjonalności terenu</w:t>
            </w:r>
          </w:p>
          <w:p w:rsidR="00170743" w:rsidRPr="00170743" w:rsidRDefault="00170743" w:rsidP="00170743">
            <w:pPr>
              <w:spacing w:after="200" w:line="276" w:lineRule="auto"/>
              <w:rPr>
                <w:rFonts w:eastAsia="Times New Roman"/>
                <w:bCs/>
                <w:iCs/>
                <w:color w:val="000000"/>
                <w:lang w:eastAsia="pl-PL"/>
              </w:rPr>
            </w:pPr>
          </w:p>
        </w:tc>
        <w:tc>
          <w:tcPr>
            <w:tcW w:w="1778" w:type="dxa"/>
            <w:tcBorders>
              <w:top w:val="single" w:sz="4" w:space="0" w:color="auto"/>
              <w:left w:val="single" w:sz="4" w:space="0" w:color="auto"/>
              <w:bottom w:val="single" w:sz="4" w:space="0" w:color="auto"/>
              <w:right w:val="single" w:sz="4" w:space="0" w:color="auto"/>
            </w:tcBorders>
            <w:hideMark/>
          </w:tcPr>
          <w:p w:rsidR="00170743" w:rsidRPr="00170743" w:rsidRDefault="00170743" w:rsidP="00170743">
            <w:pPr>
              <w:rPr>
                <w:rFonts w:eastAsia="Times New Roman"/>
                <w:lang w:eastAsia="pl-PL"/>
              </w:rPr>
            </w:pPr>
            <w:r w:rsidRPr="00170743">
              <w:rPr>
                <w:rFonts w:eastAsia="Times New Roman"/>
                <w:lang w:eastAsia="pl-PL"/>
              </w:rPr>
              <w:t xml:space="preserve">Jolanta i </w:t>
            </w:r>
          </w:p>
          <w:p w:rsidR="00170743" w:rsidRPr="00170743" w:rsidRDefault="00170743" w:rsidP="00170743">
            <w:pPr>
              <w:rPr>
                <w:rFonts w:eastAsia="Times New Roman"/>
                <w:lang w:eastAsia="pl-PL"/>
              </w:rPr>
            </w:pPr>
            <w:r w:rsidRPr="00170743">
              <w:rPr>
                <w:rFonts w:eastAsia="Times New Roman"/>
                <w:lang w:eastAsia="pl-PL"/>
              </w:rPr>
              <w:t>Bogusław Żaczek</w:t>
            </w:r>
          </w:p>
          <w:p w:rsidR="00170743" w:rsidRPr="00170743" w:rsidRDefault="00170743" w:rsidP="00170743">
            <w:pPr>
              <w:rPr>
                <w:rFonts w:eastAsia="Times New Roman"/>
                <w:lang w:eastAsia="pl-PL"/>
              </w:rPr>
            </w:pPr>
            <w:r w:rsidRPr="00170743">
              <w:rPr>
                <w:rFonts w:eastAsia="Times New Roman"/>
                <w:lang w:eastAsia="pl-PL"/>
              </w:rPr>
              <w:t xml:space="preserve">PUH „Zaczek” </w:t>
            </w:r>
          </w:p>
          <w:p w:rsidR="00170743" w:rsidRPr="00170743" w:rsidRDefault="00170743" w:rsidP="00170743">
            <w:pPr>
              <w:spacing w:after="200" w:line="276" w:lineRule="auto"/>
              <w:rPr>
                <w:rFonts w:eastAsia="Times New Roman"/>
                <w:bCs/>
                <w:iCs/>
                <w:color w:val="000000"/>
                <w:lang w:eastAsia="pl-PL"/>
              </w:rPr>
            </w:pPr>
            <w:r w:rsidRPr="00170743">
              <w:rPr>
                <w:rFonts w:eastAsia="Times New Roman"/>
                <w:lang w:eastAsia="pl-PL"/>
              </w:rPr>
              <w:t>2016-2019</w:t>
            </w:r>
          </w:p>
        </w:tc>
      </w:tr>
      <w:tr w:rsidR="00170743" w:rsidRPr="00170743" w:rsidTr="00170743">
        <w:trPr>
          <w:trHeight w:val="1338"/>
        </w:trPr>
        <w:tc>
          <w:tcPr>
            <w:tcW w:w="535" w:type="dxa"/>
            <w:gridSpan w:val="2"/>
            <w:vMerge/>
            <w:tcBorders>
              <w:top w:val="single" w:sz="4" w:space="0" w:color="auto"/>
              <w:left w:val="single" w:sz="4" w:space="0" w:color="auto"/>
              <w:bottom w:val="single" w:sz="4" w:space="0" w:color="auto"/>
              <w:right w:val="single" w:sz="4" w:space="0" w:color="auto"/>
            </w:tcBorders>
            <w:vAlign w:val="center"/>
            <w:hideMark/>
          </w:tcPr>
          <w:p w:rsidR="00170743" w:rsidRPr="00170743" w:rsidRDefault="00170743" w:rsidP="00170743">
            <w:pPr>
              <w:rPr>
                <w:b/>
                <w:bCs/>
                <w:iCs/>
                <w:color w:val="4F81BD"/>
                <w:sz w:val="28"/>
                <w:szCs w:val="28"/>
              </w:rPr>
            </w:pPr>
          </w:p>
        </w:tc>
        <w:tc>
          <w:tcPr>
            <w:tcW w:w="1983" w:type="dxa"/>
            <w:vMerge/>
            <w:tcBorders>
              <w:top w:val="single" w:sz="4" w:space="0" w:color="auto"/>
              <w:left w:val="single" w:sz="4" w:space="0" w:color="auto"/>
              <w:bottom w:val="single" w:sz="4" w:space="0" w:color="auto"/>
              <w:right w:val="single" w:sz="4" w:space="0" w:color="auto"/>
            </w:tcBorders>
            <w:vAlign w:val="center"/>
            <w:hideMark/>
          </w:tcPr>
          <w:p w:rsidR="00170743" w:rsidRPr="00170743" w:rsidRDefault="00170743" w:rsidP="00170743">
            <w:pPr>
              <w:rPr>
                <w:b/>
                <w:bCs/>
                <w:iCs/>
                <w:color w:val="000000"/>
              </w:rPr>
            </w:pPr>
          </w:p>
        </w:tc>
        <w:tc>
          <w:tcPr>
            <w:tcW w:w="3684" w:type="dxa"/>
            <w:tcBorders>
              <w:top w:val="single" w:sz="4" w:space="0" w:color="auto"/>
              <w:left w:val="single" w:sz="4" w:space="0" w:color="auto"/>
              <w:bottom w:val="single" w:sz="4" w:space="0" w:color="auto"/>
              <w:right w:val="single" w:sz="4" w:space="0" w:color="auto"/>
            </w:tcBorders>
            <w:hideMark/>
          </w:tcPr>
          <w:p w:rsidR="00170743" w:rsidRPr="00170743" w:rsidRDefault="00170743" w:rsidP="00170743">
            <w:pPr>
              <w:spacing w:after="200" w:line="276" w:lineRule="auto"/>
              <w:rPr>
                <w:rFonts w:eastAsia="Times New Roman"/>
                <w:bCs/>
                <w:iCs/>
                <w:color w:val="000000"/>
                <w:lang w:eastAsia="pl-PL"/>
              </w:rPr>
            </w:pPr>
            <w:r w:rsidRPr="00170743">
              <w:rPr>
                <w:rFonts w:eastAsia="Times New Roman"/>
                <w:bCs/>
                <w:iCs/>
                <w:color w:val="000000"/>
                <w:lang w:eastAsia="pl-PL"/>
              </w:rPr>
              <w:t>Zatrudnienie osoby do obsługi</w:t>
            </w:r>
          </w:p>
        </w:tc>
        <w:tc>
          <w:tcPr>
            <w:tcW w:w="2692" w:type="dxa"/>
            <w:tcBorders>
              <w:top w:val="single" w:sz="4" w:space="0" w:color="auto"/>
              <w:left w:val="single" w:sz="4" w:space="0" w:color="auto"/>
              <w:bottom w:val="single" w:sz="4" w:space="0" w:color="auto"/>
              <w:right w:val="single" w:sz="4" w:space="0" w:color="auto"/>
            </w:tcBorders>
            <w:hideMark/>
          </w:tcPr>
          <w:p w:rsidR="00170743" w:rsidRPr="00170743" w:rsidRDefault="00170743" w:rsidP="00170743">
            <w:pPr>
              <w:rPr>
                <w:rFonts w:eastAsia="Times New Roman"/>
                <w:bCs/>
                <w:iCs/>
                <w:color w:val="000000"/>
                <w:lang w:eastAsia="pl-PL"/>
              </w:rPr>
            </w:pPr>
            <w:r w:rsidRPr="00170743">
              <w:rPr>
                <w:rFonts w:eastAsia="Times New Roman"/>
                <w:bCs/>
                <w:iCs/>
                <w:color w:val="000000"/>
                <w:lang w:eastAsia="pl-PL"/>
              </w:rPr>
              <w:t>Mirzec Majorat 2</w:t>
            </w:r>
          </w:p>
          <w:p w:rsidR="00170743" w:rsidRPr="00170743" w:rsidRDefault="00170743" w:rsidP="00170743">
            <w:pPr>
              <w:spacing w:after="200" w:line="276" w:lineRule="auto"/>
              <w:rPr>
                <w:rFonts w:eastAsia="Times New Roman"/>
                <w:bCs/>
                <w:iCs/>
                <w:color w:val="000000"/>
                <w:lang w:eastAsia="pl-PL"/>
              </w:rPr>
            </w:pPr>
            <w:r w:rsidRPr="00170743">
              <w:rPr>
                <w:rFonts w:eastAsia="Times New Roman"/>
                <w:bCs/>
                <w:iCs/>
                <w:color w:val="000000"/>
                <w:lang w:eastAsia="pl-PL"/>
              </w:rPr>
              <w:t>27-220 Mirzec</w:t>
            </w:r>
          </w:p>
        </w:tc>
        <w:tc>
          <w:tcPr>
            <w:tcW w:w="1558" w:type="dxa"/>
            <w:tcBorders>
              <w:top w:val="single" w:sz="4" w:space="0" w:color="auto"/>
              <w:left w:val="single" w:sz="4" w:space="0" w:color="auto"/>
              <w:bottom w:val="single" w:sz="4" w:space="0" w:color="auto"/>
              <w:right w:val="single" w:sz="4" w:space="0" w:color="auto"/>
            </w:tcBorders>
            <w:hideMark/>
          </w:tcPr>
          <w:p w:rsidR="00170743" w:rsidRPr="00170743" w:rsidRDefault="00170743" w:rsidP="00170743">
            <w:pPr>
              <w:spacing w:after="200" w:line="276" w:lineRule="auto"/>
              <w:rPr>
                <w:rFonts w:eastAsia="Times New Roman"/>
                <w:bCs/>
                <w:iCs/>
                <w:color w:val="000000"/>
                <w:lang w:eastAsia="pl-PL"/>
              </w:rPr>
            </w:pPr>
            <w:r w:rsidRPr="00170743">
              <w:rPr>
                <w:rFonts w:eastAsia="Times New Roman"/>
                <w:b/>
                <w:bCs/>
                <w:iCs/>
                <w:color w:val="000000"/>
                <w:lang w:eastAsia="pl-PL"/>
              </w:rPr>
              <w:t>30.000 Koszt roczny</w:t>
            </w:r>
          </w:p>
        </w:tc>
        <w:tc>
          <w:tcPr>
            <w:tcW w:w="3400" w:type="dxa"/>
            <w:tcBorders>
              <w:top w:val="single" w:sz="4" w:space="0" w:color="auto"/>
              <w:left w:val="single" w:sz="4" w:space="0" w:color="auto"/>
              <w:bottom w:val="single" w:sz="4" w:space="0" w:color="auto"/>
              <w:right w:val="single" w:sz="4" w:space="0" w:color="auto"/>
            </w:tcBorders>
            <w:hideMark/>
          </w:tcPr>
          <w:p w:rsidR="00170743" w:rsidRPr="00170743" w:rsidRDefault="00170743" w:rsidP="00170743">
            <w:pPr>
              <w:spacing w:after="200" w:line="276" w:lineRule="auto"/>
              <w:rPr>
                <w:rFonts w:eastAsia="Times New Roman"/>
                <w:bCs/>
                <w:iCs/>
                <w:color w:val="000000"/>
                <w:lang w:eastAsia="pl-PL"/>
              </w:rPr>
            </w:pPr>
            <w:r w:rsidRPr="00170743">
              <w:rPr>
                <w:rFonts w:eastAsia="Times New Roman"/>
                <w:bCs/>
                <w:iCs/>
                <w:color w:val="000000"/>
                <w:lang w:eastAsia="pl-PL"/>
              </w:rPr>
              <w:t>Zmniejszenie bezrobocia</w:t>
            </w:r>
          </w:p>
        </w:tc>
        <w:tc>
          <w:tcPr>
            <w:tcW w:w="1778" w:type="dxa"/>
            <w:tcBorders>
              <w:top w:val="single" w:sz="4" w:space="0" w:color="auto"/>
              <w:left w:val="single" w:sz="4" w:space="0" w:color="auto"/>
              <w:bottom w:val="single" w:sz="4" w:space="0" w:color="auto"/>
              <w:right w:val="single" w:sz="4" w:space="0" w:color="auto"/>
            </w:tcBorders>
            <w:hideMark/>
          </w:tcPr>
          <w:p w:rsidR="00170743" w:rsidRPr="00170743" w:rsidRDefault="00170743" w:rsidP="00170743">
            <w:pPr>
              <w:rPr>
                <w:rFonts w:eastAsia="Times New Roman"/>
                <w:bCs/>
                <w:iCs/>
                <w:color w:val="000000"/>
                <w:lang w:eastAsia="pl-PL"/>
              </w:rPr>
            </w:pPr>
            <w:r w:rsidRPr="00170743">
              <w:rPr>
                <w:rFonts w:eastAsia="Times New Roman"/>
                <w:bCs/>
                <w:iCs/>
                <w:color w:val="000000"/>
                <w:lang w:eastAsia="pl-PL"/>
              </w:rPr>
              <w:t xml:space="preserve">Jolanta i </w:t>
            </w:r>
          </w:p>
          <w:p w:rsidR="00170743" w:rsidRPr="00170743" w:rsidRDefault="00170743" w:rsidP="00170743">
            <w:pPr>
              <w:rPr>
                <w:rFonts w:eastAsia="Times New Roman"/>
                <w:bCs/>
                <w:iCs/>
                <w:color w:val="000000"/>
                <w:lang w:eastAsia="pl-PL"/>
              </w:rPr>
            </w:pPr>
            <w:r w:rsidRPr="00170743">
              <w:rPr>
                <w:rFonts w:eastAsia="Times New Roman"/>
                <w:bCs/>
                <w:iCs/>
                <w:color w:val="000000"/>
                <w:lang w:eastAsia="pl-PL"/>
              </w:rPr>
              <w:t>Bogusław Żaczek</w:t>
            </w:r>
          </w:p>
          <w:p w:rsidR="00170743" w:rsidRPr="00170743" w:rsidRDefault="00170743" w:rsidP="00170743">
            <w:pPr>
              <w:rPr>
                <w:rFonts w:eastAsia="Times New Roman"/>
                <w:bCs/>
                <w:iCs/>
                <w:color w:val="000000"/>
                <w:lang w:eastAsia="pl-PL"/>
              </w:rPr>
            </w:pPr>
            <w:r w:rsidRPr="00170743">
              <w:rPr>
                <w:rFonts w:eastAsia="Times New Roman"/>
                <w:bCs/>
                <w:iCs/>
                <w:color w:val="000000"/>
                <w:lang w:eastAsia="pl-PL"/>
              </w:rPr>
              <w:t xml:space="preserve">PUH „Zaczek” </w:t>
            </w:r>
          </w:p>
          <w:p w:rsidR="00170743" w:rsidRPr="00170743" w:rsidRDefault="00170743" w:rsidP="00170743">
            <w:pPr>
              <w:spacing w:after="200" w:line="276" w:lineRule="auto"/>
              <w:rPr>
                <w:rFonts w:eastAsia="Times New Roman"/>
                <w:bCs/>
                <w:iCs/>
                <w:color w:val="000000"/>
                <w:lang w:eastAsia="pl-PL"/>
              </w:rPr>
            </w:pPr>
            <w:r w:rsidRPr="00170743">
              <w:rPr>
                <w:rFonts w:eastAsia="Times New Roman"/>
                <w:bCs/>
                <w:iCs/>
                <w:color w:val="000000"/>
                <w:lang w:eastAsia="pl-PL"/>
              </w:rPr>
              <w:t>2016-2019</w:t>
            </w:r>
          </w:p>
        </w:tc>
      </w:tr>
      <w:tr w:rsidR="00170743" w:rsidRPr="00170743" w:rsidTr="00170743">
        <w:tc>
          <w:tcPr>
            <w:tcW w:w="535" w:type="dxa"/>
            <w:gridSpan w:val="2"/>
            <w:tcBorders>
              <w:top w:val="single" w:sz="4" w:space="0" w:color="auto"/>
              <w:left w:val="single" w:sz="4" w:space="0" w:color="auto"/>
              <w:bottom w:val="single" w:sz="4" w:space="0" w:color="auto"/>
              <w:right w:val="single" w:sz="4" w:space="0" w:color="auto"/>
            </w:tcBorders>
            <w:hideMark/>
          </w:tcPr>
          <w:p w:rsidR="00170743" w:rsidRPr="00170743" w:rsidRDefault="00170743" w:rsidP="00170743">
            <w:pPr>
              <w:spacing w:after="200" w:line="276" w:lineRule="auto"/>
              <w:rPr>
                <w:rFonts w:eastAsia="Times New Roman"/>
                <w:b/>
                <w:bCs/>
                <w:iCs/>
                <w:color w:val="4F81BD"/>
                <w:sz w:val="28"/>
                <w:szCs w:val="28"/>
                <w:lang w:eastAsia="pl-PL"/>
              </w:rPr>
            </w:pPr>
            <w:r>
              <w:rPr>
                <w:rFonts w:eastAsia="Times New Roman"/>
                <w:b/>
                <w:bCs/>
                <w:iCs/>
                <w:color w:val="4F81BD"/>
                <w:sz w:val="28"/>
                <w:szCs w:val="28"/>
                <w:lang w:eastAsia="pl-PL"/>
              </w:rPr>
              <w:lastRenderedPageBreak/>
              <w:t>10</w:t>
            </w:r>
          </w:p>
        </w:tc>
        <w:tc>
          <w:tcPr>
            <w:tcW w:w="1983" w:type="dxa"/>
            <w:tcBorders>
              <w:top w:val="single" w:sz="4" w:space="0" w:color="auto"/>
              <w:left w:val="single" w:sz="4" w:space="0" w:color="auto"/>
              <w:bottom w:val="single" w:sz="4" w:space="0" w:color="auto"/>
              <w:right w:val="single" w:sz="4" w:space="0" w:color="auto"/>
            </w:tcBorders>
            <w:hideMark/>
          </w:tcPr>
          <w:p w:rsidR="00170743" w:rsidRPr="00170743" w:rsidRDefault="00170743" w:rsidP="00170743">
            <w:pPr>
              <w:spacing w:after="200" w:line="276" w:lineRule="auto"/>
              <w:rPr>
                <w:rFonts w:eastAsia="Times New Roman"/>
                <w:b/>
                <w:bCs/>
                <w:iCs/>
                <w:color w:val="000000"/>
                <w:lang w:eastAsia="pl-PL"/>
              </w:rPr>
            </w:pPr>
            <w:r w:rsidRPr="00170743">
              <w:rPr>
                <w:rFonts w:eastAsia="Times New Roman"/>
                <w:b/>
                <w:bCs/>
                <w:iCs/>
                <w:color w:val="000000"/>
                <w:lang w:eastAsia="pl-PL"/>
              </w:rPr>
              <w:t xml:space="preserve">Rozbudowa </w:t>
            </w:r>
            <w:r w:rsidRPr="00170743">
              <w:rPr>
                <w:rFonts w:eastAsia="Times New Roman"/>
                <w:b/>
                <w:bCs/>
                <w:iCs/>
                <w:color w:val="000000"/>
                <w:lang w:eastAsia="pl-PL"/>
              </w:rPr>
              <w:br/>
              <w:t>i modernizacja firmy Zakład Betoniarski</w:t>
            </w:r>
          </w:p>
        </w:tc>
        <w:tc>
          <w:tcPr>
            <w:tcW w:w="3684" w:type="dxa"/>
            <w:tcBorders>
              <w:top w:val="single" w:sz="4" w:space="0" w:color="auto"/>
              <w:left w:val="single" w:sz="4" w:space="0" w:color="auto"/>
              <w:bottom w:val="single" w:sz="4" w:space="0" w:color="auto"/>
              <w:right w:val="single" w:sz="4" w:space="0" w:color="auto"/>
            </w:tcBorders>
            <w:hideMark/>
          </w:tcPr>
          <w:p w:rsidR="00170743" w:rsidRPr="00170743" w:rsidRDefault="00170743" w:rsidP="00170743">
            <w:pPr>
              <w:rPr>
                <w:rFonts w:eastAsia="Times New Roman"/>
                <w:bCs/>
                <w:iCs/>
                <w:color w:val="000000"/>
                <w:lang w:eastAsia="pl-PL"/>
              </w:rPr>
            </w:pPr>
            <w:r w:rsidRPr="00170743">
              <w:rPr>
                <w:rFonts w:eastAsia="Times New Roman"/>
                <w:bCs/>
                <w:iCs/>
                <w:color w:val="000000"/>
                <w:lang w:eastAsia="pl-PL"/>
              </w:rPr>
              <w:t>Zakup maszyn do produkcji</w:t>
            </w:r>
          </w:p>
          <w:p w:rsidR="00170743" w:rsidRPr="00170743" w:rsidRDefault="00170743" w:rsidP="00170743">
            <w:pPr>
              <w:rPr>
                <w:rFonts w:eastAsia="Times New Roman"/>
                <w:bCs/>
                <w:iCs/>
                <w:color w:val="000000"/>
                <w:lang w:eastAsia="pl-PL"/>
              </w:rPr>
            </w:pPr>
            <w:r w:rsidRPr="00170743">
              <w:rPr>
                <w:rFonts w:eastAsia="Times New Roman"/>
                <w:bCs/>
                <w:iCs/>
                <w:color w:val="000000"/>
                <w:lang w:eastAsia="pl-PL"/>
              </w:rPr>
              <w:t>Rozbudowa hali produkcyjnej</w:t>
            </w:r>
          </w:p>
          <w:p w:rsidR="00170743" w:rsidRPr="00170743" w:rsidRDefault="00170743" w:rsidP="00170743">
            <w:pPr>
              <w:rPr>
                <w:rFonts w:eastAsia="Times New Roman"/>
                <w:bCs/>
                <w:iCs/>
                <w:color w:val="000000"/>
                <w:lang w:eastAsia="pl-PL"/>
              </w:rPr>
            </w:pPr>
            <w:r w:rsidRPr="00170743">
              <w:rPr>
                <w:rFonts w:eastAsia="Times New Roman"/>
                <w:bCs/>
                <w:iCs/>
                <w:color w:val="000000"/>
                <w:lang w:eastAsia="pl-PL"/>
              </w:rPr>
              <w:t>Zakup środków transportu</w:t>
            </w:r>
          </w:p>
          <w:p w:rsidR="00170743" w:rsidRPr="00170743" w:rsidRDefault="00170743" w:rsidP="00170743">
            <w:pPr>
              <w:spacing w:after="200" w:line="276" w:lineRule="auto"/>
              <w:rPr>
                <w:rFonts w:eastAsia="Times New Roman"/>
                <w:bCs/>
                <w:iCs/>
                <w:color w:val="000000"/>
                <w:lang w:eastAsia="pl-PL"/>
              </w:rPr>
            </w:pPr>
            <w:r w:rsidRPr="00170743">
              <w:rPr>
                <w:rFonts w:eastAsia="Times New Roman"/>
                <w:bCs/>
                <w:iCs/>
                <w:color w:val="000000"/>
                <w:lang w:eastAsia="pl-PL"/>
              </w:rPr>
              <w:t>Instalacja elementów z zakresu tzw. Zielonej energii (gospodarka niskoemisyjna)</w:t>
            </w:r>
          </w:p>
        </w:tc>
        <w:tc>
          <w:tcPr>
            <w:tcW w:w="2692" w:type="dxa"/>
            <w:tcBorders>
              <w:top w:val="single" w:sz="4" w:space="0" w:color="auto"/>
              <w:left w:val="single" w:sz="4" w:space="0" w:color="auto"/>
              <w:bottom w:val="single" w:sz="4" w:space="0" w:color="auto"/>
              <w:right w:val="single" w:sz="4" w:space="0" w:color="auto"/>
            </w:tcBorders>
            <w:hideMark/>
          </w:tcPr>
          <w:p w:rsidR="00170743" w:rsidRPr="00170743" w:rsidRDefault="00170743" w:rsidP="00170743">
            <w:pPr>
              <w:spacing w:after="200" w:line="276" w:lineRule="auto"/>
              <w:rPr>
                <w:rFonts w:eastAsia="Times New Roman"/>
                <w:bCs/>
                <w:iCs/>
                <w:color w:val="000000"/>
                <w:lang w:eastAsia="pl-PL"/>
              </w:rPr>
            </w:pPr>
            <w:r w:rsidRPr="00170743">
              <w:rPr>
                <w:rFonts w:eastAsia="Times New Roman"/>
                <w:bCs/>
                <w:iCs/>
                <w:color w:val="000000"/>
                <w:lang w:eastAsia="pl-PL"/>
              </w:rPr>
              <w:t>Mirzec Stary 4a</w:t>
            </w:r>
          </w:p>
        </w:tc>
        <w:tc>
          <w:tcPr>
            <w:tcW w:w="1558" w:type="dxa"/>
            <w:tcBorders>
              <w:top w:val="single" w:sz="4" w:space="0" w:color="auto"/>
              <w:left w:val="single" w:sz="4" w:space="0" w:color="auto"/>
              <w:bottom w:val="single" w:sz="4" w:space="0" w:color="auto"/>
              <w:right w:val="single" w:sz="4" w:space="0" w:color="auto"/>
            </w:tcBorders>
            <w:hideMark/>
          </w:tcPr>
          <w:p w:rsidR="00170743" w:rsidRPr="00170743" w:rsidRDefault="00170743" w:rsidP="00170743">
            <w:pPr>
              <w:spacing w:after="200" w:line="276" w:lineRule="auto"/>
              <w:rPr>
                <w:rFonts w:eastAsia="Times New Roman"/>
                <w:b/>
                <w:bCs/>
                <w:iCs/>
                <w:color w:val="000000"/>
                <w:lang w:eastAsia="pl-PL"/>
              </w:rPr>
            </w:pPr>
            <w:r w:rsidRPr="00170743">
              <w:rPr>
                <w:rFonts w:eastAsia="Times New Roman"/>
                <w:b/>
                <w:bCs/>
                <w:iCs/>
                <w:color w:val="000000"/>
                <w:lang w:eastAsia="pl-PL"/>
              </w:rPr>
              <w:t>550 000</w:t>
            </w:r>
          </w:p>
        </w:tc>
        <w:tc>
          <w:tcPr>
            <w:tcW w:w="3400" w:type="dxa"/>
            <w:tcBorders>
              <w:top w:val="single" w:sz="4" w:space="0" w:color="auto"/>
              <w:left w:val="single" w:sz="4" w:space="0" w:color="auto"/>
              <w:bottom w:val="single" w:sz="4" w:space="0" w:color="auto"/>
              <w:right w:val="single" w:sz="4" w:space="0" w:color="auto"/>
            </w:tcBorders>
            <w:hideMark/>
          </w:tcPr>
          <w:p w:rsidR="00170743" w:rsidRPr="00170743" w:rsidRDefault="00170743" w:rsidP="00170743">
            <w:pPr>
              <w:rPr>
                <w:rFonts w:eastAsia="Times New Roman"/>
                <w:bCs/>
                <w:iCs/>
                <w:color w:val="000000"/>
                <w:lang w:eastAsia="pl-PL"/>
              </w:rPr>
            </w:pPr>
            <w:r w:rsidRPr="00170743">
              <w:rPr>
                <w:rFonts w:eastAsia="Times New Roman"/>
                <w:bCs/>
                <w:iCs/>
                <w:color w:val="000000"/>
                <w:lang w:eastAsia="pl-PL"/>
              </w:rPr>
              <w:t>Rozwój mikro przedsiębiorczości</w:t>
            </w:r>
          </w:p>
          <w:p w:rsidR="00170743" w:rsidRPr="00170743" w:rsidRDefault="00170743" w:rsidP="00170743">
            <w:pPr>
              <w:rPr>
                <w:rFonts w:eastAsia="Times New Roman"/>
                <w:bCs/>
                <w:iCs/>
                <w:color w:val="000000"/>
                <w:lang w:eastAsia="pl-PL"/>
              </w:rPr>
            </w:pPr>
            <w:r w:rsidRPr="00170743">
              <w:rPr>
                <w:rFonts w:eastAsia="Times New Roman"/>
                <w:bCs/>
                <w:iCs/>
                <w:color w:val="000000"/>
                <w:lang w:eastAsia="pl-PL"/>
              </w:rPr>
              <w:t>Zwiększenie jakości i usług</w:t>
            </w:r>
          </w:p>
          <w:p w:rsidR="00170743" w:rsidRPr="00170743" w:rsidRDefault="00170743" w:rsidP="00170743">
            <w:pPr>
              <w:rPr>
                <w:rFonts w:eastAsia="Times New Roman"/>
                <w:bCs/>
                <w:iCs/>
                <w:color w:val="000000"/>
                <w:lang w:eastAsia="pl-PL"/>
              </w:rPr>
            </w:pPr>
            <w:r w:rsidRPr="00170743">
              <w:rPr>
                <w:rFonts w:eastAsia="Times New Roman"/>
                <w:bCs/>
                <w:iCs/>
                <w:color w:val="000000"/>
                <w:lang w:eastAsia="pl-PL"/>
              </w:rPr>
              <w:t>Zwiększenie estetyki obiektów gospodarczych</w:t>
            </w:r>
          </w:p>
          <w:p w:rsidR="00170743" w:rsidRPr="00170743" w:rsidRDefault="00170743" w:rsidP="00170743">
            <w:pPr>
              <w:spacing w:after="200" w:line="276" w:lineRule="auto"/>
              <w:rPr>
                <w:rFonts w:eastAsia="Times New Roman"/>
                <w:bCs/>
                <w:iCs/>
                <w:color w:val="000000"/>
                <w:lang w:eastAsia="pl-PL"/>
              </w:rPr>
            </w:pPr>
            <w:r w:rsidRPr="00170743">
              <w:rPr>
                <w:rFonts w:eastAsia="Times New Roman"/>
                <w:bCs/>
                <w:iCs/>
                <w:color w:val="000000"/>
                <w:lang w:eastAsia="pl-PL"/>
              </w:rPr>
              <w:t>Prorozwojowy kierunek centrum Mirca, ożywienie gospodarcze</w:t>
            </w:r>
          </w:p>
        </w:tc>
        <w:tc>
          <w:tcPr>
            <w:tcW w:w="1778" w:type="dxa"/>
            <w:tcBorders>
              <w:top w:val="single" w:sz="4" w:space="0" w:color="auto"/>
              <w:left w:val="single" w:sz="4" w:space="0" w:color="auto"/>
              <w:bottom w:val="single" w:sz="4" w:space="0" w:color="auto"/>
              <w:right w:val="single" w:sz="4" w:space="0" w:color="auto"/>
            </w:tcBorders>
            <w:hideMark/>
          </w:tcPr>
          <w:p w:rsidR="00170743" w:rsidRPr="00170743" w:rsidRDefault="00170743" w:rsidP="00170743">
            <w:pPr>
              <w:spacing w:after="200" w:line="276" w:lineRule="auto"/>
              <w:rPr>
                <w:rFonts w:eastAsia="Times New Roman"/>
                <w:bCs/>
                <w:iCs/>
                <w:color w:val="000000"/>
                <w:lang w:eastAsia="pl-PL"/>
              </w:rPr>
            </w:pPr>
            <w:r w:rsidRPr="00170743">
              <w:rPr>
                <w:rFonts w:eastAsia="Times New Roman"/>
                <w:bCs/>
                <w:iCs/>
                <w:color w:val="000000"/>
                <w:lang w:eastAsia="pl-PL"/>
              </w:rPr>
              <w:t>Zakład Betoniarski Czesław Dudek 2016-2018</w:t>
            </w:r>
          </w:p>
        </w:tc>
      </w:tr>
      <w:tr w:rsidR="00170743" w:rsidRPr="00170743" w:rsidTr="00170743">
        <w:tc>
          <w:tcPr>
            <w:tcW w:w="529" w:type="dxa"/>
            <w:tcBorders>
              <w:top w:val="single" w:sz="4" w:space="0" w:color="auto"/>
              <w:left w:val="single" w:sz="4" w:space="0" w:color="auto"/>
              <w:bottom w:val="single" w:sz="4" w:space="0" w:color="auto"/>
              <w:right w:val="single" w:sz="4" w:space="0" w:color="auto"/>
            </w:tcBorders>
            <w:hideMark/>
          </w:tcPr>
          <w:p w:rsidR="00170743" w:rsidRPr="00170743" w:rsidRDefault="00170743" w:rsidP="00170743">
            <w:pPr>
              <w:spacing w:after="200" w:line="276" w:lineRule="auto"/>
              <w:rPr>
                <w:rFonts w:eastAsia="Times New Roman"/>
                <w:b/>
                <w:bCs/>
                <w:iCs/>
                <w:color w:val="4F81BD"/>
                <w:sz w:val="28"/>
                <w:szCs w:val="28"/>
                <w:lang w:eastAsia="pl-PL"/>
              </w:rPr>
            </w:pPr>
            <w:r>
              <w:rPr>
                <w:rFonts w:eastAsia="Times New Roman"/>
                <w:b/>
                <w:bCs/>
                <w:iCs/>
                <w:color w:val="4F81BD"/>
                <w:sz w:val="28"/>
                <w:szCs w:val="28"/>
                <w:lang w:eastAsia="pl-PL"/>
              </w:rPr>
              <w:t>11</w:t>
            </w:r>
          </w:p>
        </w:tc>
        <w:tc>
          <w:tcPr>
            <w:tcW w:w="1989" w:type="dxa"/>
            <w:gridSpan w:val="2"/>
            <w:tcBorders>
              <w:top w:val="single" w:sz="4" w:space="0" w:color="auto"/>
              <w:left w:val="single" w:sz="4" w:space="0" w:color="auto"/>
              <w:bottom w:val="single" w:sz="4" w:space="0" w:color="auto"/>
              <w:right w:val="single" w:sz="4" w:space="0" w:color="auto"/>
            </w:tcBorders>
            <w:hideMark/>
          </w:tcPr>
          <w:p w:rsidR="00170743" w:rsidRPr="00170743" w:rsidRDefault="00170743" w:rsidP="00170743">
            <w:pPr>
              <w:spacing w:after="200" w:line="276" w:lineRule="auto"/>
              <w:rPr>
                <w:rFonts w:eastAsia="Times New Roman"/>
                <w:b/>
                <w:bCs/>
                <w:iCs/>
                <w:color w:val="000000"/>
                <w:lang w:eastAsia="pl-PL"/>
              </w:rPr>
            </w:pPr>
            <w:r w:rsidRPr="00170743">
              <w:rPr>
                <w:rFonts w:eastAsia="Times New Roman"/>
                <w:b/>
                <w:bCs/>
                <w:iCs/>
                <w:color w:val="000000"/>
                <w:lang w:eastAsia="pl-PL"/>
              </w:rPr>
              <w:t xml:space="preserve">Modernizacja restauracji Wiktoria </w:t>
            </w:r>
            <w:r w:rsidRPr="00170743">
              <w:rPr>
                <w:rFonts w:eastAsia="Times New Roman"/>
                <w:b/>
                <w:bCs/>
                <w:iCs/>
                <w:color w:val="000000"/>
                <w:lang w:eastAsia="pl-PL"/>
              </w:rPr>
              <w:br/>
              <w:t>z zastosowaniem odnawialnych źródeł energii</w:t>
            </w:r>
          </w:p>
        </w:tc>
        <w:tc>
          <w:tcPr>
            <w:tcW w:w="3684" w:type="dxa"/>
            <w:tcBorders>
              <w:top w:val="single" w:sz="4" w:space="0" w:color="auto"/>
              <w:left w:val="single" w:sz="4" w:space="0" w:color="auto"/>
              <w:bottom w:val="single" w:sz="4" w:space="0" w:color="auto"/>
              <w:right w:val="single" w:sz="4" w:space="0" w:color="auto"/>
            </w:tcBorders>
            <w:hideMark/>
          </w:tcPr>
          <w:p w:rsidR="00170743" w:rsidRPr="00170743" w:rsidRDefault="00170743" w:rsidP="00170743">
            <w:pPr>
              <w:spacing w:after="200" w:line="276" w:lineRule="auto"/>
              <w:rPr>
                <w:rFonts w:eastAsia="Times New Roman"/>
                <w:bCs/>
                <w:iCs/>
                <w:color w:val="000000"/>
                <w:lang w:eastAsia="pl-PL"/>
              </w:rPr>
            </w:pPr>
            <w:r w:rsidRPr="00170743">
              <w:rPr>
                <w:rFonts w:eastAsia="Times New Roman"/>
                <w:bCs/>
                <w:iCs/>
                <w:color w:val="000000"/>
                <w:lang w:eastAsia="pl-PL"/>
              </w:rPr>
              <w:t xml:space="preserve">Dobudowa terenu przeszklonego wraz z jego wyposażeniem </w:t>
            </w:r>
            <w:r w:rsidRPr="00170743">
              <w:rPr>
                <w:rFonts w:eastAsia="Times New Roman"/>
                <w:bCs/>
                <w:iCs/>
                <w:color w:val="000000"/>
                <w:lang w:eastAsia="pl-PL"/>
              </w:rPr>
              <w:br/>
              <w:t>i zastosowaniem odnawialnych źródeł energii w budynku oraz odkupienie przyczepy gastronomicznej.</w:t>
            </w:r>
          </w:p>
        </w:tc>
        <w:tc>
          <w:tcPr>
            <w:tcW w:w="2692" w:type="dxa"/>
            <w:tcBorders>
              <w:top w:val="single" w:sz="4" w:space="0" w:color="auto"/>
              <w:left w:val="single" w:sz="4" w:space="0" w:color="auto"/>
              <w:bottom w:val="single" w:sz="4" w:space="0" w:color="auto"/>
              <w:right w:val="single" w:sz="4" w:space="0" w:color="auto"/>
            </w:tcBorders>
            <w:hideMark/>
          </w:tcPr>
          <w:p w:rsidR="00170743" w:rsidRPr="00170743" w:rsidRDefault="00170743" w:rsidP="00170743">
            <w:pPr>
              <w:spacing w:after="200" w:line="276" w:lineRule="auto"/>
              <w:rPr>
                <w:rFonts w:eastAsia="Times New Roman"/>
                <w:bCs/>
                <w:iCs/>
                <w:color w:val="000000"/>
                <w:lang w:eastAsia="pl-PL"/>
              </w:rPr>
            </w:pPr>
            <w:r w:rsidRPr="00170743">
              <w:rPr>
                <w:rFonts w:eastAsia="Times New Roman"/>
                <w:bCs/>
                <w:iCs/>
                <w:color w:val="000000"/>
                <w:lang w:eastAsia="pl-PL"/>
              </w:rPr>
              <w:t>Restauracja Wiktoria Mirzec Majorat 8</w:t>
            </w:r>
          </w:p>
        </w:tc>
        <w:tc>
          <w:tcPr>
            <w:tcW w:w="1558" w:type="dxa"/>
            <w:tcBorders>
              <w:top w:val="single" w:sz="4" w:space="0" w:color="auto"/>
              <w:left w:val="single" w:sz="4" w:space="0" w:color="auto"/>
              <w:bottom w:val="single" w:sz="4" w:space="0" w:color="auto"/>
              <w:right w:val="single" w:sz="4" w:space="0" w:color="auto"/>
            </w:tcBorders>
            <w:hideMark/>
          </w:tcPr>
          <w:p w:rsidR="00170743" w:rsidRPr="00170743" w:rsidRDefault="00170743" w:rsidP="00170743">
            <w:pPr>
              <w:spacing w:after="200" w:line="276" w:lineRule="auto"/>
              <w:rPr>
                <w:rFonts w:eastAsia="Times New Roman"/>
                <w:b/>
                <w:bCs/>
                <w:iCs/>
                <w:color w:val="000000"/>
                <w:lang w:eastAsia="pl-PL"/>
              </w:rPr>
            </w:pPr>
            <w:r w:rsidRPr="00170743">
              <w:rPr>
                <w:rFonts w:eastAsia="Times New Roman"/>
                <w:b/>
                <w:bCs/>
                <w:iCs/>
                <w:color w:val="000000"/>
                <w:lang w:eastAsia="pl-PL"/>
              </w:rPr>
              <w:t>300 000</w:t>
            </w:r>
          </w:p>
        </w:tc>
        <w:tc>
          <w:tcPr>
            <w:tcW w:w="3400" w:type="dxa"/>
            <w:tcBorders>
              <w:top w:val="single" w:sz="4" w:space="0" w:color="auto"/>
              <w:left w:val="single" w:sz="4" w:space="0" w:color="auto"/>
              <w:bottom w:val="single" w:sz="4" w:space="0" w:color="auto"/>
              <w:right w:val="single" w:sz="4" w:space="0" w:color="auto"/>
            </w:tcBorders>
            <w:hideMark/>
          </w:tcPr>
          <w:p w:rsidR="00170743" w:rsidRPr="00170743" w:rsidRDefault="00170743" w:rsidP="00170743">
            <w:pPr>
              <w:spacing w:after="200" w:line="276" w:lineRule="auto"/>
              <w:rPr>
                <w:rFonts w:eastAsia="Times New Roman"/>
                <w:bCs/>
                <w:iCs/>
                <w:color w:val="000000"/>
                <w:lang w:eastAsia="pl-PL"/>
              </w:rPr>
            </w:pPr>
            <w:r w:rsidRPr="00170743">
              <w:rPr>
                <w:rFonts w:eastAsia="Times New Roman"/>
                <w:bCs/>
                <w:iCs/>
                <w:color w:val="000000"/>
                <w:lang w:eastAsia="pl-PL"/>
              </w:rPr>
              <w:t>Zwiększenie komfortu gości , wzrost jakości świadczonych usług w restauracji oraz na imprezach plenerowych dla mieszkańców gminy Mirzec jak również oszczędności wynikające z zastosowania odnawialnych źródeł energii</w:t>
            </w:r>
          </w:p>
        </w:tc>
        <w:tc>
          <w:tcPr>
            <w:tcW w:w="1778" w:type="dxa"/>
            <w:tcBorders>
              <w:top w:val="single" w:sz="4" w:space="0" w:color="auto"/>
              <w:left w:val="single" w:sz="4" w:space="0" w:color="auto"/>
              <w:bottom w:val="single" w:sz="4" w:space="0" w:color="auto"/>
              <w:right w:val="single" w:sz="4" w:space="0" w:color="auto"/>
            </w:tcBorders>
          </w:tcPr>
          <w:p w:rsidR="00170743" w:rsidRPr="00170743" w:rsidRDefault="00170743" w:rsidP="00170743">
            <w:pPr>
              <w:rPr>
                <w:rFonts w:eastAsia="Times New Roman"/>
                <w:bCs/>
                <w:iCs/>
                <w:color w:val="000000"/>
                <w:lang w:eastAsia="pl-PL"/>
              </w:rPr>
            </w:pPr>
            <w:r w:rsidRPr="00170743">
              <w:rPr>
                <w:rFonts w:eastAsia="Times New Roman"/>
                <w:bCs/>
                <w:iCs/>
                <w:color w:val="000000"/>
                <w:lang w:eastAsia="pl-PL"/>
              </w:rPr>
              <w:t>Jadwiga Barwin Restauracja Wiktoria Mirzec Majorat 8</w:t>
            </w:r>
          </w:p>
          <w:p w:rsidR="00170743" w:rsidRPr="00170743" w:rsidRDefault="00170743" w:rsidP="00170743">
            <w:pPr>
              <w:rPr>
                <w:rFonts w:eastAsia="Times New Roman"/>
                <w:bCs/>
                <w:iCs/>
                <w:color w:val="000000"/>
                <w:lang w:eastAsia="pl-PL"/>
              </w:rPr>
            </w:pPr>
          </w:p>
          <w:p w:rsidR="00170743" w:rsidRPr="00170743" w:rsidRDefault="00170743" w:rsidP="00170743">
            <w:pPr>
              <w:spacing w:after="200" w:line="276" w:lineRule="auto"/>
              <w:rPr>
                <w:rFonts w:eastAsia="Times New Roman"/>
                <w:b/>
                <w:bCs/>
                <w:iCs/>
                <w:color w:val="000000"/>
                <w:lang w:eastAsia="pl-PL"/>
              </w:rPr>
            </w:pPr>
            <w:r w:rsidRPr="00170743">
              <w:rPr>
                <w:rFonts w:eastAsia="Times New Roman"/>
                <w:bCs/>
                <w:iCs/>
                <w:color w:val="000000"/>
                <w:lang w:eastAsia="pl-PL"/>
              </w:rPr>
              <w:t>2016-2017 r.</w:t>
            </w:r>
          </w:p>
        </w:tc>
      </w:tr>
      <w:tr w:rsidR="00170743" w:rsidRPr="00170743" w:rsidTr="00170743">
        <w:tc>
          <w:tcPr>
            <w:tcW w:w="529" w:type="dxa"/>
            <w:tcBorders>
              <w:top w:val="single" w:sz="4" w:space="0" w:color="auto"/>
              <w:left w:val="single" w:sz="4" w:space="0" w:color="auto"/>
              <w:bottom w:val="single" w:sz="4" w:space="0" w:color="auto"/>
              <w:right w:val="single" w:sz="4" w:space="0" w:color="auto"/>
            </w:tcBorders>
            <w:hideMark/>
          </w:tcPr>
          <w:p w:rsidR="00170743" w:rsidRPr="00170743" w:rsidRDefault="00170743" w:rsidP="00170743">
            <w:pPr>
              <w:spacing w:after="200" w:line="276" w:lineRule="auto"/>
              <w:rPr>
                <w:rFonts w:eastAsia="Times New Roman"/>
                <w:b/>
                <w:bCs/>
                <w:iCs/>
                <w:color w:val="4F81BD"/>
                <w:sz w:val="28"/>
                <w:szCs w:val="28"/>
                <w:lang w:eastAsia="pl-PL"/>
              </w:rPr>
            </w:pPr>
            <w:r>
              <w:rPr>
                <w:rFonts w:eastAsia="Times New Roman"/>
                <w:b/>
                <w:bCs/>
                <w:iCs/>
                <w:color w:val="4F81BD"/>
                <w:sz w:val="28"/>
                <w:szCs w:val="28"/>
                <w:lang w:eastAsia="pl-PL"/>
              </w:rPr>
              <w:t>12</w:t>
            </w:r>
          </w:p>
        </w:tc>
        <w:tc>
          <w:tcPr>
            <w:tcW w:w="1989" w:type="dxa"/>
            <w:gridSpan w:val="2"/>
            <w:tcBorders>
              <w:top w:val="single" w:sz="4" w:space="0" w:color="auto"/>
              <w:left w:val="single" w:sz="4" w:space="0" w:color="auto"/>
              <w:bottom w:val="single" w:sz="4" w:space="0" w:color="auto"/>
              <w:right w:val="single" w:sz="4" w:space="0" w:color="auto"/>
            </w:tcBorders>
            <w:hideMark/>
          </w:tcPr>
          <w:p w:rsidR="00170743" w:rsidRPr="00170743" w:rsidRDefault="00170743" w:rsidP="00170743">
            <w:pPr>
              <w:spacing w:after="200" w:line="276" w:lineRule="auto"/>
              <w:rPr>
                <w:rFonts w:eastAsia="Times New Roman"/>
                <w:b/>
                <w:bCs/>
                <w:iCs/>
                <w:color w:val="000000"/>
                <w:lang w:eastAsia="pl-PL"/>
              </w:rPr>
            </w:pPr>
            <w:r w:rsidRPr="00170743">
              <w:rPr>
                <w:rFonts w:eastAsia="Times New Roman"/>
                <w:b/>
                <w:bCs/>
                <w:iCs/>
                <w:color w:val="000000"/>
                <w:lang w:eastAsia="pl-PL"/>
              </w:rPr>
              <w:t xml:space="preserve">Termomodernizacja obiektu handlowego </w:t>
            </w:r>
            <w:r w:rsidRPr="00170743">
              <w:rPr>
                <w:rFonts w:eastAsia="Times New Roman"/>
                <w:b/>
                <w:bCs/>
                <w:iCs/>
                <w:color w:val="000000"/>
                <w:lang w:eastAsia="pl-PL"/>
              </w:rPr>
              <w:br/>
              <w:t>i magazynowego</w:t>
            </w:r>
          </w:p>
        </w:tc>
        <w:tc>
          <w:tcPr>
            <w:tcW w:w="3684" w:type="dxa"/>
            <w:tcBorders>
              <w:top w:val="single" w:sz="4" w:space="0" w:color="auto"/>
              <w:left w:val="single" w:sz="4" w:space="0" w:color="auto"/>
              <w:bottom w:val="single" w:sz="4" w:space="0" w:color="auto"/>
              <w:right w:val="single" w:sz="4" w:space="0" w:color="auto"/>
            </w:tcBorders>
            <w:hideMark/>
          </w:tcPr>
          <w:p w:rsidR="00170743" w:rsidRPr="00170743" w:rsidRDefault="00170743" w:rsidP="00170743">
            <w:pPr>
              <w:rPr>
                <w:rFonts w:eastAsia="Times New Roman"/>
                <w:bCs/>
                <w:iCs/>
                <w:color w:val="000000"/>
                <w:lang w:eastAsia="pl-PL"/>
              </w:rPr>
            </w:pPr>
            <w:r w:rsidRPr="00170743">
              <w:rPr>
                <w:rFonts w:eastAsia="Times New Roman"/>
                <w:bCs/>
                <w:iCs/>
                <w:color w:val="000000"/>
                <w:lang w:eastAsia="pl-PL"/>
              </w:rPr>
              <w:t xml:space="preserve">Ocieplenie ścian budynku – elewacja </w:t>
            </w:r>
          </w:p>
          <w:p w:rsidR="00170743" w:rsidRPr="00170743" w:rsidRDefault="00170743" w:rsidP="00170743">
            <w:pPr>
              <w:rPr>
                <w:rFonts w:eastAsia="Times New Roman"/>
                <w:bCs/>
                <w:iCs/>
                <w:color w:val="000000"/>
                <w:lang w:eastAsia="pl-PL"/>
              </w:rPr>
            </w:pPr>
            <w:r w:rsidRPr="00170743">
              <w:rPr>
                <w:rFonts w:eastAsia="Times New Roman"/>
                <w:bCs/>
                <w:iCs/>
                <w:color w:val="000000"/>
                <w:lang w:eastAsia="pl-PL"/>
              </w:rPr>
              <w:t>Pokrycie dachowe, uszczelnienie</w:t>
            </w:r>
          </w:p>
          <w:p w:rsidR="00170743" w:rsidRPr="00170743" w:rsidRDefault="00170743" w:rsidP="00170743">
            <w:pPr>
              <w:rPr>
                <w:rFonts w:eastAsia="Times New Roman"/>
                <w:bCs/>
                <w:iCs/>
                <w:color w:val="000000"/>
                <w:lang w:eastAsia="pl-PL"/>
              </w:rPr>
            </w:pPr>
            <w:r w:rsidRPr="00170743">
              <w:rPr>
                <w:rFonts w:eastAsia="Times New Roman"/>
                <w:bCs/>
                <w:iCs/>
                <w:color w:val="000000"/>
                <w:lang w:eastAsia="pl-PL"/>
              </w:rPr>
              <w:t>Wymiana drzwi i okien</w:t>
            </w:r>
          </w:p>
          <w:p w:rsidR="00170743" w:rsidRPr="00170743" w:rsidRDefault="00170743" w:rsidP="00170743">
            <w:pPr>
              <w:rPr>
                <w:rFonts w:eastAsia="Times New Roman"/>
                <w:bCs/>
                <w:iCs/>
                <w:color w:val="000000"/>
                <w:lang w:eastAsia="pl-PL"/>
              </w:rPr>
            </w:pPr>
            <w:r w:rsidRPr="00170743">
              <w:rPr>
                <w:rFonts w:eastAsia="Times New Roman"/>
                <w:bCs/>
                <w:iCs/>
                <w:color w:val="000000"/>
                <w:lang w:eastAsia="pl-PL"/>
              </w:rPr>
              <w:t>Poprawa estetyki , zamontowanie szyldu ,,KAJ Dom Handlowy”</w:t>
            </w:r>
          </w:p>
          <w:p w:rsidR="00170743" w:rsidRPr="00170743" w:rsidRDefault="00170743" w:rsidP="00170743">
            <w:pPr>
              <w:spacing w:after="200" w:line="276" w:lineRule="auto"/>
              <w:rPr>
                <w:rFonts w:eastAsia="Times New Roman"/>
                <w:bCs/>
                <w:iCs/>
                <w:color w:val="000000"/>
                <w:lang w:eastAsia="pl-PL"/>
              </w:rPr>
            </w:pPr>
            <w:r w:rsidRPr="00170743">
              <w:rPr>
                <w:rFonts w:eastAsia="Times New Roman"/>
                <w:bCs/>
                <w:iCs/>
                <w:color w:val="000000"/>
                <w:lang w:eastAsia="pl-PL"/>
              </w:rPr>
              <w:t xml:space="preserve">Modernizacja systemu grzewczego </w:t>
            </w:r>
            <w:r w:rsidRPr="00170743">
              <w:rPr>
                <w:rFonts w:eastAsia="Times New Roman"/>
                <w:bCs/>
                <w:iCs/>
                <w:color w:val="000000"/>
                <w:lang w:eastAsia="pl-PL"/>
              </w:rPr>
              <w:br/>
              <w:t>z zastosowaniem zielonej energii</w:t>
            </w:r>
          </w:p>
        </w:tc>
        <w:tc>
          <w:tcPr>
            <w:tcW w:w="2692" w:type="dxa"/>
            <w:tcBorders>
              <w:top w:val="single" w:sz="4" w:space="0" w:color="auto"/>
              <w:left w:val="single" w:sz="4" w:space="0" w:color="auto"/>
              <w:bottom w:val="single" w:sz="4" w:space="0" w:color="auto"/>
              <w:right w:val="single" w:sz="4" w:space="0" w:color="auto"/>
            </w:tcBorders>
            <w:hideMark/>
          </w:tcPr>
          <w:p w:rsidR="00170743" w:rsidRPr="00170743" w:rsidRDefault="00170743" w:rsidP="00170743">
            <w:pPr>
              <w:rPr>
                <w:rFonts w:eastAsia="Times New Roman"/>
                <w:bCs/>
                <w:iCs/>
                <w:color w:val="000000"/>
                <w:lang w:eastAsia="pl-PL"/>
              </w:rPr>
            </w:pPr>
            <w:r w:rsidRPr="00170743">
              <w:rPr>
                <w:rFonts w:eastAsia="Times New Roman"/>
                <w:bCs/>
                <w:iCs/>
                <w:color w:val="000000"/>
                <w:lang w:eastAsia="pl-PL"/>
              </w:rPr>
              <w:t>Dom Handlowy KAJ</w:t>
            </w:r>
          </w:p>
          <w:p w:rsidR="00170743" w:rsidRPr="00170743" w:rsidRDefault="00170743" w:rsidP="00170743">
            <w:pPr>
              <w:spacing w:after="200" w:line="276" w:lineRule="auto"/>
              <w:rPr>
                <w:rFonts w:eastAsia="Times New Roman"/>
                <w:b/>
                <w:bCs/>
                <w:iCs/>
                <w:color w:val="000000"/>
                <w:lang w:eastAsia="pl-PL"/>
              </w:rPr>
            </w:pPr>
            <w:r w:rsidRPr="00170743">
              <w:rPr>
                <w:rFonts w:eastAsia="Times New Roman"/>
                <w:bCs/>
                <w:iCs/>
                <w:color w:val="000000"/>
                <w:lang w:eastAsia="pl-PL"/>
              </w:rPr>
              <w:t>Mirzec Majorat 10</w:t>
            </w:r>
          </w:p>
        </w:tc>
        <w:tc>
          <w:tcPr>
            <w:tcW w:w="1558" w:type="dxa"/>
            <w:tcBorders>
              <w:top w:val="single" w:sz="4" w:space="0" w:color="auto"/>
              <w:left w:val="single" w:sz="4" w:space="0" w:color="auto"/>
              <w:bottom w:val="single" w:sz="4" w:space="0" w:color="auto"/>
              <w:right w:val="single" w:sz="4" w:space="0" w:color="auto"/>
            </w:tcBorders>
            <w:hideMark/>
          </w:tcPr>
          <w:p w:rsidR="00170743" w:rsidRPr="00170743" w:rsidRDefault="00170743" w:rsidP="00170743">
            <w:pPr>
              <w:spacing w:after="200" w:line="276" w:lineRule="auto"/>
              <w:rPr>
                <w:rFonts w:eastAsia="Times New Roman"/>
                <w:b/>
                <w:bCs/>
                <w:iCs/>
                <w:color w:val="000000"/>
                <w:lang w:eastAsia="pl-PL"/>
              </w:rPr>
            </w:pPr>
            <w:r w:rsidRPr="00170743">
              <w:rPr>
                <w:rFonts w:eastAsia="Times New Roman"/>
                <w:b/>
                <w:bCs/>
                <w:iCs/>
                <w:color w:val="000000"/>
                <w:lang w:eastAsia="pl-PL"/>
              </w:rPr>
              <w:t>150 000</w:t>
            </w:r>
          </w:p>
        </w:tc>
        <w:tc>
          <w:tcPr>
            <w:tcW w:w="3400" w:type="dxa"/>
            <w:tcBorders>
              <w:top w:val="single" w:sz="4" w:space="0" w:color="auto"/>
              <w:left w:val="single" w:sz="4" w:space="0" w:color="auto"/>
              <w:bottom w:val="single" w:sz="4" w:space="0" w:color="auto"/>
              <w:right w:val="single" w:sz="4" w:space="0" w:color="auto"/>
            </w:tcBorders>
            <w:hideMark/>
          </w:tcPr>
          <w:p w:rsidR="00170743" w:rsidRPr="00170743" w:rsidRDefault="00170743" w:rsidP="00170743">
            <w:pPr>
              <w:rPr>
                <w:rFonts w:eastAsia="Times New Roman"/>
                <w:bCs/>
                <w:iCs/>
                <w:color w:val="000000"/>
                <w:lang w:eastAsia="pl-PL"/>
              </w:rPr>
            </w:pPr>
            <w:r w:rsidRPr="00170743">
              <w:rPr>
                <w:rFonts w:eastAsia="Times New Roman"/>
                <w:bCs/>
                <w:iCs/>
                <w:color w:val="000000"/>
                <w:lang w:eastAsia="pl-PL"/>
              </w:rPr>
              <w:t>Zwiększenie aktywności energetycznej</w:t>
            </w:r>
          </w:p>
          <w:p w:rsidR="00170743" w:rsidRPr="00170743" w:rsidRDefault="00170743" w:rsidP="00170743">
            <w:pPr>
              <w:rPr>
                <w:rFonts w:eastAsia="Times New Roman"/>
                <w:bCs/>
                <w:iCs/>
                <w:color w:val="000000"/>
                <w:lang w:eastAsia="pl-PL"/>
              </w:rPr>
            </w:pPr>
            <w:r w:rsidRPr="00170743">
              <w:rPr>
                <w:rFonts w:eastAsia="Times New Roman"/>
                <w:bCs/>
                <w:iCs/>
                <w:color w:val="000000"/>
                <w:lang w:eastAsia="pl-PL"/>
              </w:rPr>
              <w:t>Ograniczenie zużycia gazów cieplarnianych</w:t>
            </w:r>
          </w:p>
          <w:p w:rsidR="00170743" w:rsidRPr="00170743" w:rsidRDefault="00170743" w:rsidP="00170743">
            <w:pPr>
              <w:rPr>
                <w:rFonts w:eastAsia="Times New Roman"/>
                <w:bCs/>
                <w:iCs/>
                <w:color w:val="000000"/>
                <w:lang w:eastAsia="pl-PL"/>
              </w:rPr>
            </w:pPr>
            <w:r w:rsidRPr="00170743">
              <w:rPr>
                <w:rFonts w:eastAsia="Times New Roman"/>
                <w:bCs/>
                <w:iCs/>
                <w:color w:val="000000"/>
                <w:lang w:eastAsia="pl-PL"/>
              </w:rPr>
              <w:t>Rozwój handlu</w:t>
            </w:r>
          </w:p>
          <w:p w:rsidR="00170743" w:rsidRPr="00170743" w:rsidRDefault="00170743" w:rsidP="00170743">
            <w:pPr>
              <w:rPr>
                <w:rFonts w:eastAsia="Times New Roman"/>
                <w:bCs/>
                <w:iCs/>
                <w:color w:val="000000"/>
                <w:lang w:eastAsia="pl-PL"/>
              </w:rPr>
            </w:pPr>
            <w:r w:rsidRPr="00170743">
              <w:rPr>
                <w:rFonts w:eastAsia="Times New Roman"/>
                <w:bCs/>
                <w:iCs/>
                <w:color w:val="000000"/>
                <w:lang w:eastAsia="pl-PL"/>
              </w:rPr>
              <w:t xml:space="preserve">Zwiększenie estetyki </w:t>
            </w:r>
            <w:r w:rsidRPr="00170743">
              <w:rPr>
                <w:rFonts w:eastAsia="Times New Roman"/>
                <w:bCs/>
                <w:iCs/>
                <w:color w:val="000000"/>
                <w:lang w:eastAsia="pl-PL"/>
              </w:rPr>
              <w:br/>
              <w:t>w przestrzeni centrum Mirca</w:t>
            </w:r>
          </w:p>
          <w:p w:rsidR="00170743" w:rsidRPr="00170743" w:rsidRDefault="00170743" w:rsidP="00170743">
            <w:pPr>
              <w:spacing w:after="200" w:line="276" w:lineRule="auto"/>
              <w:rPr>
                <w:rFonts w:eastAsia="Times New Roman"/>
                <w:bCs/>
                <w:iCs/>
                <w:color w:val="000000"/>
                <w:lang w:eastAsia="pl-PL"/>
              </w:rPr>
            </w:pPr>
            <w:r w:rsidRPr="00170743">
              <w:rPr>
                <w:rFonts w:eastAsia="Times New Roman"/>
                <w:bCs/>
                <w:iCs/>
                <w:color w:val="000000"/>
                <w:lang w:eastAsia="pl-PL"/>
              </w:rPr>
              <w:t>Aktywizacja zawodowa</w:t>
            </w:r>
          </w:p>
        </w:tc>
        <w:tc>
          <w:tcPr>
            <w:tcW w:w="1778" w:type="dxa"/>
            <w:tcBorders>
              <w:top w:val="single" w:sz="4" w:space="0" w:color="auto"/>
              <w:left w:val="single" w:sz="4" w:space="0" w:color="auto"/>
              <w:bottom w:val="single" w:sz="4" w:space="0" w:color="auto"/>
              <w:right w:val="single" w:sz="4" w:space="0" w:color="auto"/>
            </w:tcBorders>
          </w:tcPr>
          <w:p w:rsidR="00170743" w:rsidRPr="00170743" w:rsidRDefault="00170743" w:rsidP="00170743">
            <w:pPr>
              <w:rPr>
                <w:rFonts w:eastAsia="Times New Roman"/>
                <w:bCs/>
                <w:iCs/>
                <w:color w:val="000000"/>
                <w:lang w:eastAsia="pl-PL"/>
              </w:rPr>
            </w:pPr>
            <w:r w:rsidRPr="00170743">
              <w:rPr>
                <w:rFonts w:eastAsia="Times New Roman"/>
                <w:bCs/>
                <w:iCs/>
                <w:color w:val="000000"/>
                <w:lang w:eastAsia="pl-PL"/>
              </w:rPr>
              <w:t xml:space="preserve">Dom Handlowy KAJ </w:t>
            </w:r>
          </w:p>
          <w:p w:rsidR="00170743" w:rsidRPr="00170743" w:rsidRDefault="00170743" w:rsidP="00170743">
            <w:pPr>
              <w:rPr>
                <w:rFonts w:eastAsia="Times New Roman"/>
                <w:bCs/>
                <w:iCs/>
                <w:color w:val="000000"/>
                <w:lang w:eastAsia="pl-PL"/>
              </w:rPr>
            </w:pPr>
          </w:p>
          <w:p w:rsidR="00170743" w:rsidRPr="00170743" w:rsidRDefault="00170743" w:rsidP="00170743">
            <w:pPr>
              <w:spacing w:after="200" w:line="276" w:lineRule="auto"/>
              <w:rPr>
                <w:rFonts w:eastAsia="Times New Roman"/>
                <w:bCs/>
                <w:iCs/>
                <w:color w:val="000000"/>
                <w:lang w:eastAsia="pl-PL"/>
              </w:rPr>
            </w:pPr>
            <w:r w:rsidRPr="00170743">
              <w:rPr>
                <w:rFonts w:eastAsia="Times New Roman"/>
                <w:bCs/>
                <w:iCs/>
                <w:color w:val="000000"/>
                <w:lang w:eastAsia="pl-PL"/>
              </w:rPr>
              <w:t>2016-2019</w:t>
            </w:r>
          </w:p>
        </w:tc>
      </w:tr>
      <w:tr w:rsidR="00170743" w:rsidRPr="00170743" w:rsidTr="00170743">
        <w:tc>
          <w:tcPr>
            <w:tcW w:w="529" w:type="dxa"/>
            <w:tcBorders>
              <w:top w:val="single" w:sz="4" w:space="0" w:color="auto"/>
              <w:left w:val="single" w:sz="4" w:space="0" w:color="auto"/>
              <w:bottom w:val="single" w:sz="4" w:space="0" w:color="auto"/>
              <w:right w:val="single" w:sz="4" w:space="0" w:color="auto"/>
            </w:tcBorders>
            <w:hideMark/>
          </w:tcPr>
          <w:p w:rsidR="00170743" w:rsidRPr="00170743" w:rsidRDefault="00170743" w:rsidP="00170743">
            <w:pPr>
              <w:spacing w:after="200" w:line="276" w:lineRule="auto"/>
              <w:rPr>
                <w:rFonts w:eastAsia="Times New Roman"/>
                <w:b/>
                <w:bCs/>
                <w:iCs/>
                <w:color w:val="4F81BD"/>
                <w:sz w:val="28"/>
                <w:szCs w:val="28"/>
                <w:lang w:eastAsia="pl-PL"/>
              </w:rPr>
            </w:pPr>
            <w:r w:rsidRPr="00170743">
              <w:rPr>
                <w:rFonts w:eastAsia="Times New Roman"/>
                <w:b/>
                <w:bCs/>
                <w:iCs/>
                <w:color w:val="4F81BD"/>
                <w:sz w:val="28"/>
                <w:szCs w:val="28"/>
                <w:lang w:eastAsia="pl-PL"/>
              </w:rPr>
              <w:t>1</w:t>
            </w:r>
            <w:r>
              <w:rPr>
                <w:rFonts w:eastAsia="Times New Roman"/>
                <w:b/>
                <w:bCs/>
                <w:iCs/>
                <w:color w:val="4F81BD"/>
                <w:sz w:val="28"/>
                <w:szCs w:val="28"/>
                <w:lang w:eastAsia="pl-PL"/>
              </w:rPr>
              <w:t>3</w:t>
            </w:r>
          </w:p>
        </w:tc>
        <w:tc>
          <w:tcPr>
            <w:tcW w:w="1989" w:type="dxa"/>
            <w:gridSpan w:val="2"/>
            <w:tcBorders>
              <w:top w:val="single" w:sz="4" w:space="0" w:color="auto"/>
              <w:left w:val="single" w:sz="4" w:space="0" w:color="auto"/>
              <w:bottom w:val="single" w:sz="4" w:space="0" w:color="auto"/>
              <w:right w:val="single" w:sz="4" w:space="0" w:color="auto"/>
            </w:tcBorders>
            <w:hideMark/>
          </w:tcPr>
          <w:p w:rsidR="00170743" w:rsidRPr="00170743" w:rsidRDefault="00170743" w:rsidP="00170743">
            <w:pPr>
              <w:spacing w:after="200" w:line="276" w:lineRule="auto"/>
              <w:rPr>
                <w:rFonts w:eastAsia="Times New Roman"/>
                <w:b/>
                <w:bCs/>
                <w:iCs/>
                <w:color w:val="000000"/>
                <w:lang w:eastAsia="pl-PL"/>
              </w:rPr>
            </w:pPr>
            <w:r w:rsidRPr="00170743">
              <w:rPr>
                <w:rFonts w:eastAsia="Times New Roman"/>
                <w:b/>
                <w:bCs/>
                <w:iCs/>
                <w:color w:val="000000"/>
                <w:lang w:eastAsia="pl-PL"/>
              </w:rPr>
              <w:t xml:space="preserve">Infrastruktura edukacyjno-rekreacyjna  </w:t>
            </w:r>
            <w:r w:rsidRPr="00170743">
              <w:rPr>
                <w:rFonts w:eastAsia="Times New Roman"/>
                <w:b/>
                <w:bCs/>
                <w:iCs/>
                <w:color w:val="000000"/>
                <w:lang w:eastAsia="pl-PL"/>
              </w:rPr>
              <w:br/>
              <w:t xml:space="preserve">w  zagrodzie wiejskiej </w:t>
            </w:r>
          </w:p>
        </w:tc>
        <w:tc>
          <w:tcPr>
            <w:tcW w:w="3684" w:type="dxa"/>
            <w:tcBorders>
              <w:top w:val="single" w:sz="4" w:space="0" w:color="auto"/>
              <w:left w:val="single" w:sz="4" w:space="0" w:color="auto"/>
              <w:bottom w:val="single" w:sz="4" w:space="0" w:color="auto"/>
              <w:right w:val="single" w:sz="4" w:space="0" w:color="auto"/>
            </w:tcBorders>
            <w:hideMark/>
          </w:tcPr>
          <w:p w:rsidR="00170743" w:rsidRPr="00170743" w:rsidRDefault="00170743" w:rsidP="00170743">
            <w:pPr>
              <w:rPr>
                <w:rFonts w:eastAsia="Times New Roman"/>
                <w:bCs/>
                <w:iCs/>
                <w:color w:val="000000"/>
                <w:lang w:eastAsia="pl-PL"/>
              </w:rPr>
            </w:pPr>
            <w:r w:rsidRPr="00170743">
              <w:rPr>
                <w:rFonts w:eastAsia="Times New Roman"/>
                <w:bCs/>
                <w:iCs/>
                <w:color w:val="000000"/>
                <w:lang w:eastAsia="pl-PL"/>
              </w:rPr>
              <w:t xml:space="preserve">Wykonanie wiaty edukacyjnej </w:t>
            </w:r>
            <w:r w:rsidRPr="00170743">
              <w:rPr>
                <w:rFonts w:eastAsia="Times New Roman"/>
                <w:bCs/>
                <w:iCs/>
                <w:color w:val="000000"/>
                <w:lang w:eastAsia="pl-PL"/>
              </w:rPr>
              <w:br/>
              <w:t>z wyposażeniem i pomocami edukacyjnymi</w:t>
            </w:r>
          </w:p>
          <w:p w:rsidR="00170743" w:rsidRPr="00170743" w:rsidRDefault="00170743" w:rsidP="00170743">
            <w:pPr>
              <w:rPr>
                <w:rFonts w:eastAsia="Times New Roman"/>
                <w:bCs/>
                <w:iCs/>
                <w:color w:val="000000"/>
                <w:lang w:eastAsia="pl-PL"/>
              </w:rPr>
            </w:pPr>
            <w:r w:rsidRPr="00170743">
              <w:rPr>
                <w:rFonts w:eastAsia="Times New Roman"/>
                <w:bCs/>
                <w:iCs/>
                <w:color w:val="000000"/>
                <w:lang w:eastAsia="pl-PL"/>
              </w:rPr>
              <w:t>Wykonanie ogrodu pokazowego</w:t>
            </w:r>
          </w:p>
          <w:p w:rsidR="00170743" w:rsidRPr="00170743" w:rsidRDefault="00170743" w:rsidP="00170743">
            <w:pPr>
              <w:spacing w:after="200" w:line="276" w:lineRule="auto"/>
              <w:rPr>
                <w:rFonts w:eastAsia="Times New Roman"/>
                <w:bCs/>
                <w:iCs/>
                <w:color w:val="000000"/>
                <w:lang w:eastAsia="pl-PL"/>
              </w:rPr>
            </w:pPr>
            <w:r w:rsidRPr="00170743">
              <w:rPr>
                <w:rFonts w:eastAsia="Times New Roman"/>
                <w:bCs/>
                <w:iCs/>
                <w:color w:val="000000"/>
                <w:lang w:eastAsia="pl-PL"/>
              </w:rPr>
              <w:t>Węzeł sanitarny dla odwiedzających</w:t>
            </w:r>
          </w:p>
        </w:tc>
        <w:tc>
          <w:tcPr>
            <w:tcW w:w="2692" w:type="dxa"/>
            <w:tcBorders>
              <w:top w:val="single" w:sz="4" w:space="0" w:color="auto"/>
              <w:left w:val="single" w:sz="4" w:space="0" w:color="auto"/>
              <w:bottom w:val="single" w:sz="4" w:space="0" w:color="auto"/>
              <w:right w:val="single" w:sz="4" w:space="0" w:color="auto"/>
            </w:tcBorders>
            <w:hideMark/>
          </w:tcPr>
          <w:p w:rsidR="00170743" w:rsidRPr="00170743" w:rsidRDefault="00170743" w:rsidP="00170743">
            <w:pPr>
              <w:rPr>
                <w:rFonts w:eastAsia="Times New Roman"/>
                <w:bCs/>
                <w:iCs/>
                <w:color w:val="000000"/>
                <w:lang w:eastAsia="pl-PL"/>
              </w:rPr>
            </w:pPr>
            <w:r w:rsidRPr="00170743">
              <w:rPr>
                <w:rFonts w:eastAsia="Times New Roman"/>
                <w:bCs/>
                <w:iCs/>
                <w:color w:val="000000"/>
                <w:lang w:eastAsia="pl-PL"/>
              </w:rPr>
              <w:t xml:space="preserve">Nr działki 3/1203 , pow. Ok. 0,21 ha </w:t>
            </w:r>
          </w:p>
          <w:p w:rsidR="00170743" w:rsidRPr="00170743" w:rsidRDefault="00170743" w:rsidP="00170743">
            <w:pPr>
              <w:spacing w:after="200" w:line="276" w:lineRule="auto"/>
              <w:rPr>
                <w:rFonts w:eastAsia="Times New Roman"/>
                <w:bCs/>
                <w:iCs/>
                <w:color w:val="000000"/>
                <w:lang w:eastAsia="pl-PL"/>
              </w:rPr>
            </w:pPr>
            <w:r w:rsidRPr="00170743">
              <w:rPr>
                <w:rFonts w:eastAsia="Times New Roman"/>
                <w:bCs/>
                <w:iCs/>
                <w:color w:val="000000"/>
                <w:lang w:eastAsia="pl-PL"/>
              </w:rPr>
              <w:t>Miejscowość Mirzec Malcówki 60</w:t>
            </w:r>
          </w:p>
        </w:tc>
        <w:tc>
          <w:tcPr>
            <w:tcW w:w="1558" w:type="dxa"/>
            <w:tcBorders>
              <w:top w:val="single" w:sz="4" w:space="0" w:color="auto"/>
              <w:left w:val="single" w:sz="4" w:space="0" w:color="auto"/>
              <w:bottom w:val="single" w:sz="4" w:space="0" w:color="auto"/>
              <w:right w:val="single" w:sz="4" w:space="0" w:color="auto"/>
            </w:tcBorders>
            <w:hideMark/>
          </w:tcPr>
          <w:p w:rsidR="00170743" w:rsidRPr="00170743" w:rsidRDefault="00170743" w:rsidP="00170743">
            <w:pPr>
              <w:spacing w:after="200" w:line="276" w:lineRule="auto"/>
              <w:rPr>
                <w:rFonts w:eastAsia="Times New Roman"/>
                <w:b/>
                <w:bCs/>
                <w:iCs/>
                <w:color w:val="000000"/>
                <w:lang w:eastAsia="pl-PL"/>
              </w:rPr>
            </w:pPr>
            <w:r w:rsidRPr="00170743">
              <w:rPr>
                <w:rFonts w:eastAsia="Times New Roman"/>
                <w:b/>
                <w:bCs/>
                <w:iCs/>
                <w:color w:val="000000"/>
                <w:lang w:eastAsia="pl-PL"/>
              </w:rPr>
              <w:t>140 000</w:t>
            </w:r>
          </w:p>
        </w:tc>
        <w:tc>
          <w:tcPr>
            <w:tcW w:w="3400" w:type="dxa"/>
            <w:tcBorders>
              <w:top w:val="single" w:sz="4" w:space="0" w:color="auto"/>
              <w:left w:val="single" w:sz="4" w:space="0" w:color="auto"/>
              <w:bottom w:val="single" w:sz="4" w:space="0" w:color="auto"/>
              <w:right w:val="single" w:sz="4" w:space="0" w:color="auto"/>
            </w:tcBorders>
            <w:hideMark/>
          </w:tcPr>
          <w:p w:rsidR="00170743" w:rsidRPr="00170743" w:rsidRDefault="00170743" w:rsidP="00170743">
            <w:pPr>
              <w:rPr>
                <w:rFonts w:eastAsia="Times New Roman"/>
                <w:bCs/>
                <w:iCs/>
                <w:color w:val="000000"/>
                <w:lang w:eastAsia="pl-PL"/>
              </w:rPr>
            </w:pPr>
            <w:r w:rsidRPr="00170743">
              <w:rPr>
                <w:rFonts w:eastAsia="Times New Roman"/>
                <w:bCs/>
                <w:iCs/>
                <w:color w:val="000000"/>
                <w:lang w:eastAsia="pl-PL"/>
              </w:rPr>
              <w:t xml:space="preserve">Poszerzenie oferty edukacyjnej gminy </w:t>
            </w:r>
          </w:p>
          <w:p w:rsidR="00170743" w:rsidRPr="00170743" w:rsidRDefault="00170743" w:rsidP="00170743">
            <w:pPr>
              <w:rPr>
                <w:rFonts w:eastAsia="Times New Roman"/>
                <w:bCs/>
                <w:iCs/>
                <w:color w:val="000000"/>
                <w:lang w:eastAsia="pl-PL"/>
              </w:rPr>
            </w:pPr>
            <w:r w:rsidRPr="00170743">
              <w:rPr>
                <w:rFonts w:eastAsia="Times New Roman"/>
                <w:bCs/>
                <w:iCs/>
                <w:color w:val="000000"/>
                <w:lang w:eastAsia="pl-PL"/>
              </w:rPr>
              <w:t xml:space="preserve">Wykorzystanie walorów edukacyjnych gospodarstw niskotowarowych </w:t>
            </w:r>
          </w:p>
          <w:p w:rsidR="00170743" w:rsidRPr="00170743" w:rsidRDefault="00170743" w:rsidP="00170743">
            <w:pPr>
              <w:spacing w:after="200" w:line="276" w:lineRule="auto"/>
              <w:rPr>
                <w:rFonts w:eastAsia="Times New Roman"/>
                <w:bCs/>
                <w:iCs/>
                <w:color w:val="000000"/>
                <w:lang w:eastAsia="pl-PL"/>
              </w:rPr>
            </w:pPr>
            <w:r w:rsidRPr="00170743">
              <w:rPr>
                <w:rFonts w:eastAsia="Times New Roman"/>
                <w:bCs/>
                <w:iCs/>
                <w:color w:val="000000"/>
                <w:lang w:eastAsia="pl-PL"/>
              </w:rPr>
              <w:t xml:space="preserve">Promowanie rolnictwa </w:t>
            </w:r>
            <w:r w:rsidRPr="00170743">
              <w:rPr>
                <w:rFonts w:eastAsia="Times New Roman"/>
                <w:bCs/>
                <w:iCs/>
                <w:color w:val="000000"/>
                <w:lang w:eastAsia="pl-PL"/>
              </w:rPr>
              <w:lastRenderedPageBreak/>
              <w:t>ekologicznego stworzenie miejsca promocji produktów pochodzących z gospodarstw ekologicznych</w:t>
            </w:r>
          </w:p>
        </w:tc>
        <w:tc>
          <w:tcPr>
            <w:tcW w:w="1778" w:type="dxa"/>
            <w:tcBorders>
              <w:top w:val="single" w:sz="4" w:space="0" w:color="auto"/>
              <w:left w:val="single" w:sz="4" w:space="0" w:color="auto"/>
              <w:bottom w:val="single" w:sz="4" w:space="0" w:color="auto"/>
              <w:right w:val="single" w:sz="4" w:space="0" w:color="auto"/>
            </w:tcBorders>
          </w:tcPr>
          <w:p w:rsidR="00170743" w:rsidRPr="00170743" w:rsidRDefault="00170743" w:rsidP="00170743">
            <w:pPr>
              <w:rPr>
                <w:rFonts w:eastAsia="Times New Roman"/>
                <w:bCs/>
                <w:iCs/>
                <w:color w:val="000000"/>
                <w:lang w:eastAsia="pl-PL"/>
              </w:rPr>
            </w:pPr>
            <w:r w:rsidRPr="00170743">
              <w:rPr>
                <w:rFonts w:eastAsia="Times New Roman"/>
                <w:bCs/>
                <w:iCs/>
                <w:color w:val="000000"/>
                <w:lang w:eastAsia="pl-PL"/>
              </w:rPr>
              <w:lastRenderedPageBreak/>
              <w:t>Koniarz Ewa</w:t>
            </w:r>
          </w:p>
          <w:p w:rsidR="00170743" w:rsidRPr="00170743" w:rsidRDefault="00170743" w:rsidP="00170743">
            <w:pPr>
              <w:rPr>
                <w:rFonts w:eastAsia="Times New Roman"/>
                <w:bCs/>
                <w:iCs/>
                <w:color w:val="000000"/>
                <w:lang w:eastAsia="pl-PL"/>
              </w:rPr>
            </w:pPr>
          </w:p>
          <w:p w:rsidR="00170743" w:rsidRPr="00170743" w:rsidRDefault="00170743" w:rsidP="00170743">
            <w:pPr>
              <w:spacing w:after="200" w:line="276" w:lineRule="auto"/>
              <w:rPr>
                <w:rFonts w:eastAsia="Times New Roman"/>
                <w:bCs/>
                <w:iCs/>
                <w:color w:val="000000"/>
                <w:lang w:eastAsia="pl-PL"/>
              </w:rPr>
            </w:pPr>
            <w:r w:rsidRPr="00170743">
              <w:rPr>
                <w:rFonts w:eastAsia="Times New Roman"/>
                <w:bCs/>
                <w:iCs/>
                <w:color w:val="000000"/>
                <w:lang w:eastAsia="pl-PL"/>
              </w:rPr>
              <w:t>2018</w:t>
            </w:r>
          </w:p>
        </w:tc>
      </w:tr>
      <w:tr w:rsidR="00170743" w:rsidRPr="00170743" w:rsidTr="00170743">
        <w:tc>
          <w:tcPr>
            <w:tcW w:w="529" w:type="dxa"/>
            <w:tcBorders>
              <w:top w:val="single" w:sz="4" w:space="0" w:color="auto"/>
              <w:left w:val="single" w:sz="4" w:space="0" w:color="auto"/>
              <w:bottom w:val="single" w:sz="4" w:space="0" w:color="auto"/>
              <w:right w:val="single" w:sz="4" w:space="0" w:color="auto"/>
            </w:tcBorders>
            <w:hideMark/>
          </w:tcPr>
          <w:p w:rsidR="00170743" w:rsidRPr="00170743" w:rsidRDefault="00170743" w:rsidP="00170743">
            <w:pPr>
              <w:spacing w:after="200" w:line="276" w:lineRule="auto"/>
              <w:rPr>
                <w:rFonts w:eastAsia="Times New Roman"/>
                <w:b/>
                <w:bCs/>
                <w:iCs/>
                <w:color w:val="4F81BD"/>
                <w:sz w:val="28"/>
                <w:szCs w:val="28"/>
                <w:lang w:eastAsia="pl-PL"/>
              </w:rPr>
            </w:pPr>
            <w:r w:rsidRPr="00170743">
              <w:rPr>
                <w:rFonts w:eastAsia="Times New Roman"/>
                <w:b/>
                <w:bCs/>
                <w:iCs/>
                <w:color w:val="4F81BD"/>
                <w:sz w:val="28"/>
                <w:szCs w:val="28"/>
                <w:lang w:eastAsia="pl-PL"/>
              </w:rPr>
              <w:lastRenderedPageBreak/>
              <w:t>1</w:t>
            </w:r>
            <w:r>
              <w:rPr>
                <w:rFonts w:eastAsia="Times New Roman"/>
                <w:b/>
                <w:bCs/>
                <w:iCs/>
                <w:color w:val="4F81BD"/>
                <w:sz w:val="28"/>
                <w:szCs w:val="28"/>
                <w:lang w:eastAsia="pl-PL"/>
              </w:rPr>
              <w:t>4</w:t>
            </w:r>
          </w:p>
        </w:tc>
        <w:tc>
          <w:tcPr>
            <w:tcW w:w="1989" w:type="dxa"/>
            <w:gridSpan w:val="2"/>
            <w:tcBorders>
              <w:top w:val="single" w:sz="4" w:space="0" w:color="auto"/>
              <w:left w:val="single" w:sz="4" w:space="0" w:color="auto"/>
              <w:bottom w:val="single" w:sz="4" w:space="0" w:color="auto"/>
              <w:right w:val="single" w:sz="4" w:space="0" w:color="auto"/>
            </w:tcBorders>
            <w:hideMark/>
          </w:tcPr>
          <w:p w:rsidR="00170743" w:rsidRPr="00170743" w:rsidRDefault="00170743" w:rsidP="00170743">
            <w:pPr>
              <w:spacing w:after="200" w:line="276" w:lineRule="auto"/>
              <w:rPr>
                <w:rFonts w:eastAsia="Times New Roman"/>
                <w:b/>
                <w:bCs/>
                <w:iCs/>
                <w:color w:val="000000"/>
                <w:lang w:eastAsia="pl-PL"/>
              </w:rPr>
            </w:pPr>
            <w:r w:rsidRPr="00170743">
              <w:rPr>
                <w:rFonts w:eastAsia="Times New Roman"/>
                <w:b/>
                <w:bCs/>
                <w:iCs/>
                <w:color w:val="000000"/>
                <w:lang w:eastAsia="pl-PL"/>
              </w:rPr>
              <w:t xml:space="preserve">Kompleksowa rozbudowa wraz z zagospodarowaniem terenu na Kompleksie Dom Opieki Helena (Dom Opieki </w:t>
            </w:r>
          </w:p>
        </w:tc>
        <w:tc>
          <w:tcPr>
            <w:tcW w:w="3684" w:type="dxa"/>
            <w:tcBorders>
              <w:top w:val="single" w:sz="4" w:space="0" w:color="auto"/>
              <w:left w:val="single" w:sz="4" w:space="0" w:color="auto"/>
              <w:bottom w:val="single" w:sz="4" w:space="0" w:color="auto"/>
              <w:right w:val="single" w:sz="4" w:space="0" w:color="auto"/>
            </w:tcBorders>
            <w:hideMark/>
          </w:tcPr>
          <w:p w:rsidR="00170743" w:rsidRPr="00170743" w:rsidRDefault="00170743" w:rsidP="00170743">
            <w:pPr>
              <w:rPr>
                <w:rFonts w:eastAsia="Times New Roman"/>
                <w:bCs/>
                <w:iCs/>
                <w:color w:val="000000"/>
                <w:lang w:eastAsia="pl-PL"/>
              </w:rPr>
            </w:pPr>
            <w:r w:rsidRPr="00170743">
              <w:rPr>
                <w:rFonts w:eastAsia="Times New Roman"/>
                <w:bCs/>
                <w:iCs/>
                <w:color w:val="000000"/>
                <w:lang w:eastAsia="pl-PL"/>
              </w:rPr>
              <w:t xml:space="preserve">Kompleksowa rozbudowa wraz </w:t>
            </w:r>
            <w:r w:rsidRPr="00170743">
              <w:rPr>
                <w:rFonts w:eastAsia="Times New Roman"/>
                <w:bCs/>
                <w:iCs/>
                <w:color w:val="000000"/>
                <w:lang w:eastAsia="pl-PL"/>
              </w:rPr>
              <w:br/>
              <w:t>z zagospodarowaniem terenu na Kompleksie Dom Opieki Helena (Dom Opieki Społecznej) polegająca na:</w:t>
            </w:r>
          </w:p>
          <w:p w:rsidR="00170743" w:rsidRPr="00170743" w:rsidRDefault="00170743" w:rsidP="00170743">
            <w:pPr>
              <w:numPr>
                <w:ilvl w:val="0"/>
                <w:numId w:val="60"/>
              </w:numPr>
              <w:spacing w:after="200" w:line="276" w:lineRule="auto"/>
              <w:ind w:left="332" w:hanging="283"/>
              <w:contextualSpacing/>
              <w:rPr>
                <w:rFonts w:eastAsia="Times New Roman"/>
                <w:bCs/>
                <w:iCs/>
                <w:color w:val="000000"/>
                <w:lang w:eastAsia="pl-PL"/>
              </w:rPr>
            </w:pPr>
            <w:r w:rsidRPr="00170743">
              <w:rPr>
                <w:rFonts w:eastAsia="Times New Roman"/>
                <w:bCs/>
                <w:iCs/>
                <w:color w:val="000000"/>
                <w:lang w:eastAsia="pl-PL"/>
              </w:rPr>
              <w:t>altana biesiadna – integracyjna</w:t>
            </w:r>
          </w:p>
          <w:p w:rsidR="00170743" w:rsidRPr="00170743" w:rsidRDefault="00170743" w:rsidP="00170743">
            <w:pPr>
              <w:numPr>
                <w:ilvl w:val="0"/>
                <w:numId w:val="60"/>
              </w:numPr>
              <w:spacing w:after="200" w:line="276" w:lineRule="auto"/>
              <w:ind w:left="332" w:hanging="283"/>
              <w:contextualSpacing/>
              <w:rPr>
                <w:rFonts w:eastAsia="Times New Roman"/>
                <w:bCs/>
                <w:iCs/>
                <w:color w:val="000000"/>
                <w:lang w:eastAsia="pl-PL"/>
              </w:rPr>
            </w:pPr>
            <w:r w:rsidRPr="00170743">
              <w:rPr>
                <w:rFonts w:eastAsia="Times New Roman"/>
                <w:bCs/>
                <w:iCs/>
                <w:color w:val="000000"/>
                <w:lang w:eastAsia="pl-PL"/>
              </w:rPr>
              <w:t>wyposażenie terenu w zieleń osłonową i ozdobną</w:t>
            </w:r>
          </w:p>
          <w:p w:rsidR="00170743" w:rsidRPr="00170743" w:rsidRDefault="00170743" w:rsidP="00170743">
            <w:pPr>
              <w:numPr>
                <w:ilvl w:val="0"/>
                <w:numId w:val="60"/>
              </w:numPr>
              <w:spacing w:after="200" w:line="276" w:lineRule="auto"/>
              <w:ind w:left="332" w:hanging="283"/>
              <w:contextualSpacing/>
              <w:rPr>
                <w:rFonts w:eastAsia="Times New Roman"/>
                <w:bCs/>
                <w:iCs/>
                <w:color w:val="000000"/>
                <w:lang w:eastAsia="pl-PL"/>
              </w:rPr>
            </w:pPr>
            <w:r w:rsidRPr="00170743">
              <w:rPr>
                <w:rFonts w:eastAsia="Times New Roman"/>
                <w:bCs/>
                <w:iCs/>
                <w:color w:val="000000"/>
                <w:lang w:eastAsia="pl-PL"/>
              </w:rPr>
              <w:t>alejki spacerowe</w:t>
            </w:r>
          </w:p>
          <w:p w:rsidR="00170743" w:rsidRPr="00170743" w:rsidRDefault="00170743" w:rsidP="00170743">
            <w:pPr>
              <w:numPr>
                <w:ilvl w:val="0"/>
                <w:numId w:val="60"/>
              </w:numPr>
              <w:spacing w:after="200" w:line="276" w:lineRule="auto"/>
              <w:ind w:left="332" w:hanging="283"/>
              <w:contextualSpacing/>
              <w:rPr>
                <w:rFonts w:eastAsia="Times New Roman"/>
                <w:bCs/>
                <w:iCs/>
                <w:color w:val="000000"/>
                <w:lang w:eastAsia="pl-PL"/>
              </w:rPr>
            </w:pPr>
            <w:r w:rsidRPr="00170743">
              <w:rPr>
                <w:rFonts w:eastAsia="Times New Roman"/>
                <w:bCs/>
                <w:iCs/>
                <w:color w:val="000000"/>
                <w:lang w:eastAsia="pl-PL"/>
              </w:rPr>
              <w:t>kosze na śmieci</w:t>
            </w:r>
          </w:p>
          <w:p w:rsidR="00170743" w:rsidRPr="00170743" w:rsidRDefault="00170743" w:rsidP="00170743">
            <w:pPr>
              <w:numPr>
                <w:ilvl w:val="0"/>
                <w:numId w:val="60"/>
              </w:numPr>
              <w:spacing w:after="200" w:line="276" w:lineRule="auto"/>
              <w:ind w:left="332" w:hanging="283"/>
              <w:contextualSpacing/>
              <w:rPr>
                <w:rFonts w:eastAsia="Times New Roman"/>
                <w:bCs/>
                <w:iCs/>
                <w:color w:val="000000"/>
                <w:lang w:eastAsia="pl-PL"/>
              </w:rPr>
            </w:pPr>
            <w:r w:rsidRPr="00170743">
              <w:rPr>
                <w:rFonts w:eastAsia="Times New Roman"/>
                <w:bCs/>
                <w:iCs/>
                <w:color w:val="000000"/>
                <w:lang w:eastAsia="pl-PL"/>
              </w:rPr>
              <w:t>rozbudowa pomieszczeń pod zwiększoną liczbę pensjonariuszy (II kondygnacja)</w:t>
            </w:r>
          </w:p>
        </w:tc>
        <w:tc>
          <w:tcPr>
            <w:tcW w:w="2692" w:type="dxa"/>
            <w:tcBorders>
              <w:top w:val="single" w:sz="4" w:space="0" w:color="auto"/>
              <w:left w:val="single" w:sz="4" w:space="0" w:color="auto"/>
              <w:bottom w:val="single" w:sz="4" w:space="0" w:color="auto"/>
              <w:right w:val="single" w:sz="4" w:space="0" w:color="auto"/>
            </w:tcBorders>
            <w:hideMark/>
          </w:tcPr>
          <w:p w:rsidR="00170743" w:rsidRPr="00170743" w:rsidRDefault="00170743" w:rsidP="00170743">
            <w:pPr>
              <w:spacing w:after="200" w:line="276" w:lineRule="auto"/>
              <w:rPr>
                <w:rFonts w:eastAsia="Times New Roman"/>
                <w:bCs/>
                <w:iCs/>
                <w:color w:val="000000"/>
                <w:lang w:eastAsia="pl-PL"/>
              </w:rPr>
            </w:pPr>
            <w:r w:rsidRPr="00170743">
              <w:rPr>
                <w:rFonts w:eastAsia="Times New Roman"/>
                <w:bCs/>
                <w:iCs/>
                <w:color w:val="000000"/>
                <w:lang w:eastAsia="pl-PL"/>
              </w:rPr>
              <w:t>Dom Opieki Helena (Dom Opieki Społecznej) Mirzec Majorat 19</w:t>
            </w:r>
          </w:p>
        </w:tc>
        <w:tc>
          <w:tcPr>
            <w:tcW w:w="1558" w:type="dxa"/>
            <w:tcBorders>
              <w:top w:val="single" w:sz="4" w:space="0" w:color="auto"/>
              <w:left w:val="single" w:sz="4" w:space="0" w:color="auto"/>
              <w:bottom w:val="single" w:sz="4" w:space="0" w:color="auto"/>
              <w:right w:val="single" w:sz="4" w:space="0" w:color="auto"/>
            </w:tcBorders>
            <w:hideMark/>
          </w:tcPr>
          <w:p w:rsidR="00170743" w:rsidRPr="00170743" w:rsidRDefault="00170743" w:rsidP="00170743">
            <w:pPr>
              <w:spacing w:after="200" w:line="276" w:lineRule="auto"/>
              <w:rPr>
                <w:rFonts w:eastAsia="Times New Roman"/>
                <w:b/>
                <w:bCs/>
                <w:iCs/>
                <w:color w:val="000000"/>
                <w:lang w:eastAsia="pl-PL"/>
              </w:rPr>
            </w:pPr>
            <w:r w:rsidRPr="00170743">
              <w:rPr>
                <w:rFonts w:eastAsia="Times New Roman"/>
                <w:b/>
                <w:bCs/>
                <w:iCs/>
                <w:color w:val="000000"/>
                <w:lang w:eastAsia="pl-PL"/>
              </w:rPr>
              <w:t>800 000</w:t>
            </w:r>
          </w:p>
        </w:tc>
        <w:tc>
          <w:tcPr>
            <w:tcW w:w="3400" w:type="dxa"/>
            <w:tcBorders>
              <w:top w:val="single" w:sz="4" w:space="0" w:color="auto"/>
              <w:left w:val="single" w:sz="4" w:space="0" w:color="auto"/>
              <w:bottom w:val="single" w:sz="4" w:space="0" w:color="auto"/>
              <w:right w:val="single" w:sz="4" w:space="0" w:color="auto"/>
            </w:tcBorders>
            <w:hideMark/>
          </w:tcPr>
          <w:p w:rsidR="00170743" w:rsidRPr="00170743" w:rsidRDefault="00170743" w:rsidP="00170743">
            <w:pPr>
              <w:rPr>
                <w:rFonts w:eastAsia="Times New Roman"/>
                <w:bCs/>
                <w:iCs/>
                <w:color w:val="000000"/>
                <w:lang w:eastAsia="pl-PL"/>
              </w:rPr>
            </w:pPr>
            <w:r w:rsidRPr="00170743">
              <w:rPr>
                <w:rFonts w:eastAsia="Times New Roman"/>
                <w:bCs/>
                <w:iCs/>
                <w:color w:val="000000"/>
                <w:lang w:eastAsia="pl-PL"/>
              </w:rPr>
              <w:t>Realizacja zapisów polityki senioralnej państwa</w:t>
            </w:r>
          </w:p>
          <w:p w:rsidR="00170743" w:rsidRPr="00170743" w:rsidRDefault="00170743" w:rsidP="00170743">
            <w:pPr>
              <w:rPr>
                <w:rFonts w:eastAsia="Times New Roman"/>
                <w:bCs/>
                <w:iCs/>
                <w:color w:val="000000"/>
                <w:lang w:eastAsia="pl-PL"/>
              </w:rPr>
            </w:pPr>
            <w:r w:rsidRPr="00170743">
              <w:rPr>
                <w:rFonts w:eastAsia="Times New Roman"/>
                <w:bCs/>
                <w:iCs/>
                <w:color w:val="000000"/>
                <w:lang w:eastAsia="pl-PL"/>
              </w:rPr>
              <w:t xml:space="preserve">Zwiększenie dostępności do usług społecznych </w:t>
            </w:r>
            <w:r w:rsidRPr="00170743">
              <w:rPr>
                <w:rFonts w:eastAsia="Times New Roman"/>
                <w:bCs/>
                <w:iCs/>
                <w:color w:val="000000"/>
                <w:lang w:eastAsia="pl-PL"/>
              </w:rPr>
              <w:br/>
              <w:t>w warunkach stacjonarnych</w:t>
            </w:r>
          </w:p>
          <w:p w:rsidR="00170743" w:rsidRPr="00170743" w:rsidRDefault="00170743" w:rsidP="00170743">
            <w:pPr>
              <w:rPr>
                <w:rFonts w:eastAsia="Times New Roman"/>
                <w:bCs/>
                <w:iCs/>
                <w:color w:val="000000"/>
                <w:lang w:eastAsia="pl-PL"/>
              </w:rPr>
            </w:pPr>
            <w:r w:rsidRPr="00170743">
              <w:rPr>
                <w:rFonts w:eastAsia="Times New Roman"/>
                <w:bCs/>
                <w:iCs/>
                <w:color w:val="000000"/>
                <w:lang w:eastAsia="pl-PL"/>
              </w:rPr>
              <w:t xml:space="preserve">Zwiększenie użyteczności rewitalizowanego obszaru </w:t>
            </w:r>
          </w:p>
          <w:p w:rsidR="00170743" w:rsidRPr="00170743" w:rsidRDefault="00170743" w:rsidP="00170743">
            <w:pPr>
              <w:spacing w:after="200" w:line="276" w:lineRule="auto"/>
              <w:rPr>
                <w:rFonts w:eastAsia="Times New Roman"/>
                <w:bCs/>
                <w:iCs/>
                <w:color w:val="000000"/>
                <w:lang w:eastAsia="pl-PL"/>
              </w:rPr>
            </w:pPr>
            <w:r w:rsidRPr="00170743">
              <w:rPr>
                <w:rFonts w:eastAsia="Times New Roman"/>
                <w:bCs/>
                <w:iCs/>
                <w:color w:val="000000"/>
                <w:lang w:eastAsia="pl-PL"/>
              </w:rPr>
              <w:t>Poprawa funkcjonalności obiektu</w:t>
            </w:r>
          </w:p>
        </w:tc>
        <w:tc>
          <w:tcPr>
            <w:tcW w:w="1778" w:type="dxa"/>
            <w:tcBorders>
              <w:top w:val="single" w:sz="4" w:space="0" w:color="auto"/>
              <w:left w:val="single" w:sz="4" w:space="0" w:color="auto"/>
              <w:bottom w:val="single" w:sz="4" w:space="0" w:color="auto"/>
              <w:right w:val="single" w:sz="4" w:space="0" w:color="auto"/>
            </w:tcBorders>
          </w:tcPr>
          <w:p w:rsidR="00170743" w:rsidRPr="00170743" w:rsidRDefault="00170743" w:rsidP="00170743">
            <w:pPr>
              <w:rPr>
                <w:rFonts w:eastAsia="Times New Roman"/>
                <w:bCs/>
                <w:iCs/>
                <w:color w:val="000000"/>
                <w:lang w:eastAsia="pl-PL"/>
              </w:rPr>
            </w:pPr>
            <w:r w:rsidRPr="00170743">
              <w:rPr>
                <w:rFonts w:eastAsia="Times New Roman"/>
                <w:bCs/>
                <w:iCs/>
                <w:color w:val="000000"/>
                <w:lang w:eastAsia="pl-PL"/>
              </w:rPr>
              <w:t>Agnieszka Dudek – Dom Opieki Społecznej</w:t>
            </w:r>
          </w:p>
          <w:p w:rsidR="00170743" w:rsidRPr="00170743" w:rsidRDefault="00170743" w:rsidP="00170743">
            <w:pPr>
              <w:rPr>
                <w:rFonts w:eastAsia="Times New Roman"/>
                <w:bCs/>
                <w:iCs/>
                <w:color w:val="000000"/>
                <w:lang w:eastAsia="pl-PL"/>
              </w:rPr>
            </w:pPr>
          </w:p>
          <w:p w:rsidR="00170743" w:rsidRPr="00170743" w:rsidRDefault="00170743" w:rsidP="00170743">
            <w:pPr>
              <w:spacing w:after="200" w:line="276" w:lineRule="auto"/>
              <w:rPr>
                <w:rFonts w:eastAsia="Times New Roman"/>
                <w:b/>
                <w:bCs/>
                <w:iCs/>
                <w:color w:val="000000"/>
                <w:lang w:eastAsia="pl-PL"/>
              </w:rPr>
            </w:pPr>
            <w:r w:rsidRPr="00170743">
              <w:rPr>
                <w:rFonts w:eastAsia="Times New Roman"/>
                <w:bCs/>
                <w:iCs/>
                <w:color w:val="000000"/>
                <w:lang w:eastAsia="pl-PL"/>
              </w:rPr>
              <w:t>2016-2017</w:t>
            </w:r>
          </w:p>
        </w:tc>
      </w:tr>
      <w:tr w:rsidR="00170743" w:rsidRPr="00170743" w:rsidTr="00170743">
        <w:tc>
          <w:tcPr>
            <w:tcW w:w="529" w:type="dxa"/>
            <w:tcBorders>
              <w:top w:val="single" w:sz="4" w:space="0" w:color="auto"/>
              <w:left w:val="single" w:sz="4" w:space="0" w:color="auto"/>
              <w:bottom w:val="single" w:sz="4" w:space="0" w:color="auto"/>
              <w:right w:val="single" w:sz="4" w:space="0" w:color="auto"/>
            </w:tcBorders>
            <w:hideMark/>
          </w:tcPr>
          <w:p w:rsidR="00170743" w:rsidRPr="00170743" w:rsidRDefault="00170743" w:rsidP="00170743">
            <w:pPr>
              <w:spacing w:after="200" w:line="276" w:lineRule="auto"/>
              <w:rPr>
                <w:rFonts w:eastAsia="Times New Roman"/>
                <w:b/>
                <w:bCs/>
                <w:iCs/>
                <w:color w:val="4F81BD"/>
                <w:sz w:val="28"/>
                <w:szCs w:val="28"/>
                <w:lang w:eastAsia="pl-PL"/>
              </w:rPr>
            </w:pPr>
            <w:r w:rsidRPr="00170743">
              <w:rPr>
                <w:rFonts w:eastAsia="Times New Roman"/>
                <w:b/>
                <w:bCs/>
                <w:iCs/>
                <w:color w:val="4F81BD"/>
                <w:sz w:val="28"/>
                <w:szCs w:val="28"/>
                <w:lang w:eastAsia="pl-PL"/>
              </w:rPr>
              <w:t>1</w:t>
            </w:r>
            <w:r>
              <w:rPr>
                <w:rFonts w:eastAsia="Times New Roman"/>
                <w:b/>
                <w:bCs/>
                <w:iCs/>
                <w:color w:val="4F81BD"/>
                <w:sz w:val="28"/>
                <w:szCs w:val="28"/>
                <w:lang w:eastAsia="pl-PL"/>
              </w:rPr>
              <w:t>5</w:t>
            </w:r>
          </w:p>
        </w:tc>
        <w:tc>
          <w:tcPr>
            <w:tcW w:w="1989" w:type="dxa"/>
            <w:gridSpan w:val="2"/>
            <w:tcBorders>
              <w:top w:val="single" w:sz="4" w:space="0" w:color="auto"/>
              <w:left w:val="single" w:sz="4" w:space="0" w:color="auto"/>
              <w:bottom w:val="single" w:sz="4" w:space="0" w:color="auto"/>
              <w:right w:val="single" w:sz="4" w:space="0" w:color="auto"/>
            </w:tcBorders>
            <w:hideMark/>
          </w:tcPr>
          <w:p w:rsidR="00170743" w:rsidRPr="00170743" w:rsidRDefault="00170743" w:rsidP="00170743">
            <w:pPr>
              <w:spacing w:after="200" w:line="276" w:lineRule="auto"/>
              <w:rPr>
                <w:rFonts w:eastAsia="Times New Roman"/>
                <w:b/>
                <w:bCs/>
                <w:iCs/>
                <w:color w:val="000000"/>
                <w:lang w:eastAsia="pl-PL"/>
              </w:rPr>
            </w:pPr>
            <w:r w:rsidRPr="00170743">
              <w:rPr>
                <w:rFonts w:eastAsia="Times New Roman"/>
                <w:b/>
                <w:bCs/>
                <w:iCs/>
                <w:color w:val="000000"/>
                <w:lang w:eastAsia="pl-PL"/>
              </w:rPr>
              <w:t xml:space="preserve">Efektywność energetyczna </w:t>
            </w:r>
            <w:r w:rsidRPr="00170743">
              <w:rPr>
                <w:rFonts w:eastAsia="Times New Roman"/>
                <w:b/>
                <w:bCs/>
                <w:iCs/>
                <w:color w:val="000000"/>
                <w:lang w:eastAsia="pl-PL"/>
              </w:rPr>
              <w:br/>
              <w:t>w budynkach mieszkalnych (osób fizycznych) poprzez termomodernizację z możliwością zakupu i montażu instalacji OZE</w:t>
            </w:r>
          </w:p>
        </w:tc>
        <w:tc>
          <w:tcPr>
            <w:tcW w:w="3684" w:type="dxa"/>
            <w:tcBorders>
              <w:top w:val="single" w:sz="4" w:space="0" w:color="auto"/>
              <w:left w:val="single" w:sz="4" w:space="0" w:color="auto"/>
              <w:bottom w:val="single" w:sz="4" w:space="0" w:color="auto"/>
              <w:right w:val="single" w:sz="4" w:space="0" w:color="auto"/>
            </w:tcBorders>
            <w:hideMark/>
          </w:tcPr>
          <w:p w:rsidR="00170743" w:rsidRPr="00170743" w:rsidRDefault="00170743" w:rsidP="00170743">
            <w:pPr>
              <w:spacing w:after="200" w:line="276" w:lineRule="auto"/>
              <w:rPr>
                <w:rFonts w:eastAsia="Times New Roman"/>
                <w:bCs/>
                <w:iCs/>
                <w:color w:val="000000"/>
                <w:lang w:eastAsia="pl-PL"/>
              </w:rPr>
            </w:pPr>
            <w:r w:rsidRPr="00170743">
              <w:rPr>
                <w:rFonts w:eastAsia="Times New Roman"/>
                <w:bCs/>
                <w:iCs/>
                <w:color w:val="000000"/>
                <w:lang w:eastAsia="pl-PL"/>
              </w:rPr>
              <w:t>Termomodernizacja w budynkach jednorodzinnych poprzez ocieplenie ścian  budynków, ocieplenie dachów stropodachów, ocieplenie ścian piwnic, wymiana okien drzwi zewnętrznych, wymiana instalacji co i ccw, zakup i montaż urządzań OZE produkujących energię na potrzeby własne w ilości odpowiadającej zapotrzebowaniu na energię budynku mieszkalnego jednorodzinnego</w:t>
            </w:r>
          </w:p>
        </w:tc>
        <w:tc>
          <w:tcPr>
            <w:tcW w:w="2692" w:type="dxa"/>
            <w:tcBorders>
              <w:top w:val="single" w:sz="4" w:space="0" w:color="auto"/>
              <w:left w:val="single" w:sz="4" w:space="0" w:color="auto"/>
              <w:bottom w:val="single" w:sz="4" w:space="0" w:color="auto"/>
              <w:right w:val="single" w:sz="4" w:space="0" w:color="auto"/>
            </w:tcBorders>
          </w:tcPr>
          <w:p w:rsidR="00170743" w:rsidRPr="00170743" w:rsidRDefault="00170743" w:rsidP="00170743">
            <w:pPr>
              <w:rPr>
                <w:rFonts w:eastAsia="Times New Roman"/>
                <w:bCs/>
                <w:iCs/>
                <w:color w:val="000000"/>
                <w:lang w:eastAsia="pl-PL"/>
              </w:rPr>
            </w:pPr>
            <w:r w:rsidRPr="00170743">
              <w:rPr>
                <w:rFonts w:eastAsia="Times New Roman"/>
                <w:bCs/>
                <w:iCs/>
                <w:color w:val="000000"/>
                <w:lang w:eastAsia="pl-PL"/>
              </w:rPr>
              <w:t>Sołectwa Mirzec I oraz Mirzec II (docelowo również na cały obszar zdegradowany gminy)</w:t>
            </w:r>
          </w:p>
          <w:p w:rsidR="00170743" w:rsidRPr="00170743" w:rsidRDefault="00170743" w:rsidP="00170743">
            <w:pPr>
              <w:spacing w:after="200" w:line="276" w:lineRule="auto"/>
              <w:rPr>
                <w:rFonts w:eastAsia="Times New Roman"/>
                <w:bCs/>
                <w:iCs/>
                <w:color w:val="000000"/>
                <w:lang w:eastAsia="pl-PL"/>
              </w:rPr>
            </w:pPr>
          </w:p>
        </w:tc>
        <w:tc>
          <w:tcPr>
            <w:tcW w:w="1558" w:type="dxa"/>
            <w:tcBorders>
              <w:top w:val="single" w:sz="4" w:space="0" w:color="auto"/>
              <w:left w:val="single" w:sz="4" w:space="0" w:color="auto"/>
              <w:bottom w:val="single" w:sz="4" w:space="0" w:color="auto"/>
              <w:right w:val="single" w:sz="4" w:space="0" w:color="auto"/>
            </w:tcBorders>
          </w:tcPr>
          <w:p w:rsidR="00170743" w:rsidRPr="00170743" w:rsidRDefault="00170743" w:rsidP="00170743">
            <w:pPr>
              <w:spacing w:after="200" w:line="276" w:lineRule="auto"/>
              <w:rPr>
                <w:rFonts w:eastAsia="Times New Roman"/>
                <w:b/>
                <w:bCs/>
                <w:iCs/>
                <w:color w:val="000000"/>
                <w:lang w:eastAsia="pl-PL"/>
              </w:rPr>
            </w:pPr>
          </w:p>
        </w:tc>
        <w:tc>
          <w:tcPr>
            <w:tcW w:w="3400" w:type="dxa"/>
            <w:tcBorders>
              <w:top w:val="single" w:sz="4" w:space="0" w:color="auto"/>
              <w:left w:val="single" w:sz="4" w:space="0" w:color="auto"/>
              <w:bottom w:val="single" w:sz="4" w:space="0" w:color="auto"/>
              <w:right w:val="single" w:sz="4" w:space="0" w:color="auto"/>
            </w:tcBorders>
            <w:hideMark/>
          </w:tcPr>
          <w:p w:rsidR="00170743" w:rsidRPr="00170743" w:rsidRDefault="00170743" w:rsidP="00170743">
            <w:pPr>
              <w:rPr>
                <w:rFonts w:eastAsia="Times New Roman"/>
                <w:bCs/>
                <w:iCs/>
                <w:color w:val="000000"/>
                <w:lang w:eastAsia="pl-PL"/>
              </w:rPr>
            </w:pPr>
            <w:r w:rsidRPr="00170743">
              <w:rPr>
                <w:rFonts w:eastAsia="Times New Roman"/>
                <w:bCs/>
                <w:iCs/>
                <w:color w:val="000000"/>
                <w:lang w:eastAsia="pl-PL"/>
              </w:rPr>
              <w:t xml:space="preserve">Ograniczenie niskiej emisji, ograniczenia zużycia co2 </w:t>
            </w:r>
          </w:p>
          <w:p w:rsidR="00170743" w:rsidRPr="00170743" w:rsidRDefault="00170743" w:rsidP="00170743">
            <w:pPr>
              <w:rPr>
                <w:rFonts w:eastAsia="Times New Roman"/>
                <w:bCs/>
                <w:iCs/>
                <w:color w:val="000000"/>
                <w:lang w:eastAsia="pl-PL"/>
              </w:rPr>
            </w:pPr>
            <w:r w:rsidRPr="00170743">
              <w:rPr>
                <w:rFonts w:eastAsia="Times New Roman"/>
                <w:bCs/>
                <w:iCs/>
                <w:color w:val="000000"/>
                <w:lang w:eastAsia="pl-PL"/>
              </w:rPr>
              <w:t>Zwiększenie efektywności energetycznej budynków</w:t>
            </w:r>
          </w:p>
          <w:p w:rsidR="00170743" w:rsidRPr="00170743" w:rsidRDefault="00170743" w:rsidP="00170743">
            <w:pPr>
              <w:spacing w:after="200" w:line="276" w:lineRule="auto"/>
              <w:rPr>
                <w:rFonts w:eastAsia="Times New Roman"/>
                <w:bCs/>
                <w:iCs/>
                <w:color w:val="000000"/>
                <w:lang w:eastAsia="pl-PL"/>
              </w:rPr>
            </w:pPr>
            <w:r w:rsidRPr="00170743">
              <w:rPr>
                <w:rFonts w:eastAsia="Times New Roman"/>
                <w:bCs/>
                <w:iCs/>
                <w:color w:val="000000"/>
                <w:lang w:eastAsia="pl-PL"/>
              </w:rPr>
              <w:t>Zwiększenie udziału instalacji OZE</w:t>
            </w:r>
          </w:p>
        </w:tc>
        <w:tc>
          <w:tcPr>
            <w:tcW w:w="1778" w:type="dxa"/>
            <w:tcBorders>
              <w:top w:val="single" w:sz="4" w:space="0" w:color="auto"/>
              <w:left w:val="single" w:sz="4" w:space="0" w:color="auto"/>
              <w:bottom w:val="single" w:sz="4" w:space="0" w:color="auto"/>
              <w:right w:val="single" w:sz="4" w:space="0" w:color="auto"/>
            </w:tcBorders>
          </w:tcPr>
          <w:p w:rsidR="00170743" w:rsidRPr="00170743" w:rsidRDefault="00170743" w:rsidP="00170743">
            <w:pPr>
              <w:rPr>
                <w:rFonts w:eastAsia="Times New Roman"/>
                <w:bCs/>
                <w:iCs/>
                <w:color w:val="000000"/>
                <w:lang w:eastAsia="pl-PL"/>
              </w:rPr>
            </w:pPr>
            <w:r w:rsidRPr="00170743">
              <w:rPr>
                <w:rFonts w:eastAsia="Times New Roman"/>
                <w:bCs/>
                <w:iCs/>
                <w:color w:val="000000"/>
                <w:lang w:eastAsia="pl-PL"/>
              </w:rPr>
              <w:t xml:space="preserve">Osoba fizyczna zasadniczo </w:t>
            </w:r>
            <w:r w:rsidRPr="00170743">
              <w:rPr>
                <w:rFonts w:eastAsia="Times New Roman"/>
                <w:bCs/>
                <w:iCs/>
                <w:color w:val="000000"/>
                <w:lang w:eastAsia="pl-PL"/>
              </w:rPr>
              <w:br/>
              <w:t>z obszaru rewitalizacji</w:t>
            </w:r>
          </w:p>
          <w:p w:rsidR="00170743" w:rsidRPr="00170743" w:rsidRDefault="00170743" w:rsidP="00170743">
            <w:pPr>
              <w:rPr>
                <w:rFonts w:eastAsia="Times New Roman"/>
                <w:bCs/>
                <w:iCs/>
                <w:color w:val="000000"/>
                <w:lang w:eastAsia="pl-PL"/>
              </w:rPr>
            </w:pPr>
          </w:p>
          <w:p w:rsidR="00170743" w:rsidRPr="00170743" w:rsidRDefault="00170743" w:rsidP="00170743">
            <w:pPr>
              <w:spacing w:after="200" w:line="276" w:lineRule="auto"/>
              <w:rPr>
                <w:rFonts w:eastAsia="Times New Roman"/>
                <w:bCs/>
                <w:iCs/>
                <w:color w:val="000000"/>
                <w:lang w:eastAsia="pl-PL"/>
              </w:rPr>
            </w:pPr>
            <w:r w:rsidRPr="00170743">
              <w:rPr>
                <w:rFonts w:eastAsia="Times New Roman"/>
                <w:bCs/>
                <w:iCs/>
                <w:color w:val="000000"/>
                <w:lang w:eastAsia="pl-PL"/>
              </w:rPr>
              <w:t>2016-2022</w:t>
            </w:r>
          </w:p>
        </w:tc>
      </w:tr>
      <w:tr w:rsidR="00170743" w:rsidRPr="00170743" w:rsidTr="00170743">
        <w:tc>
          <w:tcPr>
            <w:tcW w:w="529" w:type="dxa"/>
            <w:tcBorders>
              <w:top w:val="single" w:sz="4" w:space="0" w:color="auto"/>
              <w:left w:val="single" w:sz="4" w:space="0" w:color="auto"/>
              <w:bottom w:val="single" w:sz="4" w:space="0" w:color="auto"/>
              <w:right w:val="single" w:sz="4" w:space="0" w:color="auto"/>
            </w:tcBorders>
            <w:hideMark/>
          </w:tcPr>
          <w:p w:rsidR="00170743" w:rsidRPr="00170743" w:rsidRDefault="00170743" w:rsidP="00170743">
            <w:pPr>
              <w:spacing w:after="200" w:line="276" w:lineRule="auto"/>
              <w:rPr>
                <w:rFonts w:eastAsia="Times New Roman"/>
                <w:b/>
                <w:bCs/>
                <w:iCs/>
                <w:color w:val="4F81BD"/>
                <w:sz w:val="28"/>
                <w:szCs w:val="28"/>
                <w:lang w:eastAsia="pl-PL"/>
              </w:rPr>
            </w:pPr>
            <w:r w:rsidRPr="00170743">
              <w:rPr>
                <w:rFonts w:eastAsia="Times New Roman"/>
                <w:b/>
                <w:bCs/>
                <w:iCs/>
                <w:color w:val="4F81BD"/>
                <w:sz w:val="28"/>
                <w:szCs w:val="28"/>
                <w:lang w:eastAsia="pl-PL"/>
              </w:rPr>
              <w:lastRenderedPageBreak/>
              <w:t>1</w:t>
            </w:r>
            <w:r>
              <w:rPr>
                <w:rFonts w:eastAsia="Times New Roman"/>
                <w:b/>
                <w:bCs/>
                <w:iCs/>
                <w:color w:val="4F81BD"/>
                <w:sz w:val="28"/>
                <w:szCs w:val="28"/>
                <w:lang w:eastAsia="pl-PL"/>
              </w:rPr>
              <w:t>6</w:t>
            </w:r>
          </w:p>
        </w:tc>
        <w:tc>
          <w:tcPr>
            <w:tcW w:w="1989" w:type="dxa"/>
            <w:gridSpan w:val="2"/>
            <w:tcBorders>
              <w:top w:val="single" w:sz="4" w:space="0" w:color="auto"/>
              <w:left w:val="single" w:sz="4" w:space="0" w:color="auto"/>
              <w:bottom w:val="single" w:sz="4" w:space="0" w:color="auto"/>
              <w:right w:val="single" w:sz="4" w:space="0" w:color="auto"/>
            </w:tcBorders>
          </w:tcPr>
          <w:p w:rsidR="00170743" w:rsidRPr="00170743" w:rsidRDefault="00170743" w:rsidP="00170743">
            <w:pPr>
              <w:rPr>
                <w:rFonts w:eastAsia="Times New Roman"/>
                <w:b/>
                <w:bCs/>
                <w:iCs/>
                <w:color w:val="000000"/>
                <w:lang w:eastAsia="pl-PL"/>
              </w:rPr>
            </w:pPr>
            <w:r w:rsidRPr="00170743">
              <w:rPr>
                <w:rFonts w:eastAsia="Times New Roman"/>
                <w:b/>
                <w:bCs/>
                <w:iCs/>
                <w:color w:val="000000"/>
                <w:lang w:eastAsia="pl-PL"/>
              </w:rPr>
              <w:t xml:space="preserve">Wyposażenie </w:t>
            </w:r>
            <w:r w:rsidRPr="00170743">
              <w:rPr>
                <w:rFonts w:eastAsia="Times New Roman"/>
                <w:b/>
                <w:bCs/>
                <w:iCs/>
                <w:color w:val="000000"/>
                <w:lang w:eastAsia="pl-PL"/>
              </w:rPr>
              <w:br/>
              <w:t xml:space="preserve">w sprzęt zakładu fryzjerskiego </w:t>
            </w:r>
            <w:r w:rsidRPr="00170743">
              <w:rPr>
                <w:rFonts w:eastAsia="Times New Roman"/>
                <w:b/>
                <w:bCs/>
                <w:iCs/>
                <w:color w:val="000000"/>
                <w:lang w:eastAsia="pl-PL"/>
              </w:rPr>
              <w:br/>
              <w:t xml:space="preserve">i solarium pn.,, GOLD HAIR” </w:t>
            </w:r>
            <w:r w:rsidRPr="00170743">
              <w:rPr>
                <w:rFonts w:eastAsia="Times New Roman"/>
                <w:b/>
                <w:bCs/>
                <w:iCs/>
                <w:color w:val="000000"/>
                <w:lang w:eastAsia="pl-PL"/>
              </w:rPr>
              <w:br/>
              <w:t>w centrum Mirca</w:t>
            </w:r>
          </w:p>
          <w:p w:rsidR="00170743" w:rsidRPr="00170743" w:rsidRDefault="00170743" w:rsidP="00170743">
            <w:pPr>
              <w:spacing w:after="200" w:line="276" w:lineRule="auto"/>
              <w:rPr>
                <w:rFonts w:eastAsia="Times New Roman"/>
                <w:b/>
                <w:bCs/>
                <w:iCs/>
                <w:color w:val="000000"/>
                <w:lang w:eastAsia="pl-PL"/>
              </w:rPr>
            </w:pPr>
          </w:p>
        </w:tc>
        <w:tc>
          <w:tcPr>
            <w:tcW w:w="3684" w:type="dxa"/>
            <w:tcBorders>
              <w:top w:val="single" w:sz="4" w:space="0" w:color="auto"/>
              <w:left w:val="single" w:sz="4" w:space="0" w:color="auto"/>
              <w:bottom w:val="single" w:sz="4" w:space="0" w:color="auto"/>
              <w:right w:val="single" w:sz="4" w:space="0" w:color="auto"/>
            </w:tcBorders>
            <w:hideMark/>
          </w:tcPr>
          <w:p w:rsidR="00170743" w:rsidRPr="00170743" w:rsidRDefault="00170743" w:rsidP="00170743">
            <w:pPr>
              <w:rPr>
                <w:rFonts w:eastAsia="Times New Roman"/>
                <w:bCs/>
                <w:iCs/>
                <w:color w:val="000000"/>
                <w:lang w:eastAsia="pl-PL"/>
              </w:rPr>
            </w:pPr>
            <w:r w:rsidRPr="00170743">
              <w:rPr>
                <w:rFonts w:eastAsia="Times New Roman"/>
                <w:bCs/>
                <w:iCs/>
                <w:color w:val="000000"/>
                <w:lang w:eastAsia="pl-PL"/>
              </w:rPr>
              <w:t>Zakup nowego sprzętu tj.</w:t>
            </w:r>
          </w:p>
          <w:p w:rsidR="00170743" w:rsidRPr="00170743" w:rsidRDefault="00170743" w:rsidP="00170743">
            <w:pPr>
              <w:rPr>
                <w:rFonts w:eastAsia="Times New Roman"/>
                <w:bCs/>
                <w:iCs/>
                <w:color w:val="000000"/>
                <w:lang w:eastAsia="pl-PL"/>
              </w:rPr>
            </w:pPr>
            <w:r w:rsidRPr="00170743">
              <w:rPr>
                <w:rFonts w:eastAsia="Times New Roman"/>
                <w:bCs/>
                <w:iCs/>
                <w:color w:val="000000"/>
                <w:lang w:eastAsia="pl-PL"/>
              </w:rPr>
              <w:t>-myjka fryzjerska</w:t>
            </w:r>
          </w:p>
          <w:p w:rsidR="00170743" w:rsidRPr="00170743" w:rsidRDefault="00170743" w:rsidP="00170743">
            <w:pPr>
              <w:rPr>
                <w:rFonts w:eastAsia="Times New Roman"/>
                <w:bCs/>
                <w:iCs/>
                <w:color w:val="000000"/>
                <w:lang w:eastAsia="pl-PL"/>
              </w:rPr>
            </w:pPr>
            <w:r w:rsidRPr="00170743">
              <w:rPr>
                <w:rFonts w:eastAsia="Times New Roman"/>
                <w:bCs/>
                <w:iCs/>
                <w:color w:val="000000"/>
                <w:lang w:eastAsia="pl-PL"/>
              </w:rPr>
              <w:t>-maszynki do strzyżenia</w:t>
            </w:r>
          </w:p>
          <w:p w:rsidR="00170743" w:rsidRPr="00170743" w:rsidRDefault="00170743" w:rsidP="00170743">
            <w:pPr>
              <w:rPr>
                <w:rFonts w:eastAsia="Times New Roman"/>
                <w:bCs/>
                <w:iCs/>
                <w:color w:val="000000"/>
                <w:lang w:eastAsia="pl-PL"/>
              </w:rPr>
            </w:pPr>
            <w:r w:rsidRPr="00170743">
              <w:rPr>
                <w:rFonts w:eastAsia="Times New Roman"/>
                <w:bCs/>
                <w:iCs/>
                <w:color w:val="000000"/>
                <w:lang w:eastAsia="pl-PL"/>
              </w:rPr>
              <w:t>-sauna do włosów</w:t>
            </w:r>
          </w:p>
          <w:p w:rsidR="00170743" w:rsidRPr="00170743" w:rsidRDefault="00170743" w:rsidP="00170743">
            <w:pPr>
              <w:rPr>
                <w:rFonts w:eastAsia="Times New Roman"/>
                <w:bCs/>
                <w:iCs/>
                <w:color w:val="000000"/>
                <w:lang w:eastAsia="pl-PL"/>
              </w:rPr>
            </w:pPr>
            <w:r w:rsidRPr="00170743">
              <w:rPr>
                <w:rFonts w:eastAsia="Times New Roman"/>
                <w:bCs/>
                <w:iCs/>
                <w:color w:val="000000"/>
                <w:lang w:eastAsia="pl-PL"/>
              </w:rPr>
              <w:t>-infrazon do włosów</w:t>
            </w:r>
          </w:p>
          <w:p w:rsidR="00170743" w:rsidRPr="00170743" w:rsidRDefault="00170743" w:rsidP="00170743">
            <w:pPr>
              <w:rPr>
                <w:rFonts w:eastAsia="Times New Roman"/>
                <w:bCs/>
                <w:iCs/>
                <w:color w:val="000000"/>
                <w:lang w:eastAsia="pl-PL"/>
              </w:rPr>
            </w:pPr>
            <w:r w:rsidRPr="00170743">
              <w:rPr>
                <w:rFonts w:eastAsia="Times New Roman"/>
                <w:bCs/>
                <w:iCs/>
                <w:color w:val="000000"/>
                <w:lang w:eastAsia="pl-PL"/>
              </w:rPr>
              <w:t>-lampy do solarium</w:t>
            </w:r>
          </w:p>
          <w:p w:rsidR="00170743" w:rsidRPr="00170743" w:rsidRDefault="00170743" w:rsidP="00170743">
            <w:pPr>
              <w:spacing w:after="200" w:line="276" w:lineRule="auto"/>
              <w:rPr>
                <w:rFonts w:eastAsia="Times New Roman"/>
                <w:b/>
                <w:bCs/>
                <w:iCs/>
                <w:color w:val="000000"/>
                <w:lang w:eastAsia="pl-PL"/>
              </w:rPr>
            </w:pPr>
            <w:r w:rsidRPr="00170743">
              <w:rPr>
                <w:rFonts w:eastAsia="Times New Roman"/>
                <w:bCs/>
                <w:iCs/>
                <w:color w:val="000000"/>
                <w:lang w:eastAsia="pl-PL"/>
              </w:rPr>
              <w:t>-inne środki potrzebne do użytku codziennego</w:t>
            </w:r>
          </w:p>
        </w:tc>
        <w:tc>
          <w:tcPr>
            <w:tcW w:w="2692" w:type="dxa"/>
            <w:tcBorders>
              <w:top w:val="single" w:sz="4" w:space="0" w:color="auto"/>
              <w:left w:val="single" w:sz="4" w:space="0" w:color="auto"/>
              <w:bottom w:val="single" w:sz="4" w:space="0" w:color="auto"/>
              <w:right w:val="single" w:sz="4" w:space="0" w:color="auto"/>
            </w:tcBorders>
            <w:hideMark/>
          </w:tcPr>
          <w:p w:rsidR="00170743" w:rsidRPr="00170743" w:rsidRDefault="00170743" w:rsidP="00170743">
            <w:pPr>
              <w:rPr>
                <w:rFonts w:eastAsia="Times New Roman"/>
                <w:bCs/>
                <w:iCs/>
                <w:color w:val="000000"/>
                <w:lang w:eastAsia="pl-PL"/>
              </w:rPr>
            </w:pPr>
            <w:r w:rsidRPr="00170743">
              <w:rPr>
                <w:rFonts w:eastAsia="Times New Roman"/>
                <w:bCs/>
                <w:iCs/>
                <w:color w:val="000000"/>
                <w:lang w:eastAsia="pl-PL"/>
              </w:rPr>
              <w:t xml:space="preserve">Zakład fryzjerski zlokalizowany w budynku SPZOZ w Mircu </w:t>
            </w:r>
          </w:p>
          <w:p w:rsidR="00170743" w:rsidRPr="00170743" w:rsidRDefault="00170743" w:rsidP="00170743">
            <w:pPr>
              <w:spacing w:after="200" w:line="276" w:lineRule="auto"/>
              <w:rPr>
                <w:rFonts w:eastAsia="Times New Roman"/>
                <w:bCs/>
                <w:iCs/>
                <w:color w:val="000000"/>
                <w:lang w:eastAsia="pl-PL"/>
              </w:rPr>
            </w:pPr>
            <w:r w:rsidRPr="00170743">
              <w:rPr>
                <w:rFonts w:eastAsia="Times New Roman"/>
                <w:bCs/>
                <w:iCs/>
                <w:color w:val="000000"/>
                <w:lang w:eastAsia="pl-PL"/>
              </w:rPr>
              <w:t>Działka nr 2656/9</w:t>
            </w:r>
          </w:p>
        </w:tc>
        <w:tc>
          <w:tcPr>
            <w:tcW w:w="1558" w:type="dxa"/>
            <w:tcBorders>
              <w:top w:val="single" w:sz="4" w:space="0" w:color="auto"/>
              <w:left w:val="single" w:sz="4" w:space="0" w:color="auto"/>
              <w:bottom w:val="single" w:sz="4" w:space="0" w:color="auto"/>
              <w:right w:val="single" w:sz="4" w:space="0" w:color="auto"/>
            </w:tcBorders>
            <w:hideMark/>
          </w:tcPr>
          <w:p w:rsidR="00170743" w:rsidRPr="00170743" w:rsidRDefault="00170743" w:rsidP="00170743">
            <w:pPr>
              <w:spacing w:before="100" w:beforeAutospacing="1" w:after="200" w:line="276" w:lineRule="auto"/>
              <w:rPr>
                <w:rFonts w:eastAsia="Times New Roman"/>
                <w:b/>
                <w:lang w:eastAsia="pl-PL"/>
              </w:rPr>
            </w:pPr>
            <w:r w:rsidRPr="00170743">
              <w:rPr>
                <w:rFonts w:eastAsia="Times New Roman"/>
                <w:b/>
                <w:lang w:eastAsia="pl-PL"/>
              </w:rPr>
              <w:t xml:space="preserve">50 000 </w:t>
            </w:r>
          </w:p>
        </w:tc>
        <w:tc>
          <w:tcPr>
            <w:tcW w:w="3400" w:type="dxa"/>
            <w:tcBorders>
              <w:top w:val="single" w:sz="4" w:space="0" w:color="auto"/>
              <w:left w:val="single" w:sz="4" w:space="0" w:color="auto"/>
              <w:bottom w:val="single" w:sz="4" w:space="0" w:color="auto"/>
              <w:right w:val="single" w:sz="4" w:space="0" w:color="auto"/>
            </w:tcBorders>
          </w:tcPr>
          <w:p w:rsidR="00170743" w:rsidRPr="00170743" w:rsidRDefault="00170743" w:rsidP="00170743">
            <w:pPr>
              <w:spacing w:before="100" w:beforeAutospacing="1" w:after="119"/>
              <w:rPr>
                <w:rFonts w:eastAsia="Times New Roman"/>
                <w:lang w:eastAsia="pl-PL"/>
              </w:rPr>
            </w:pPr>
            <w:r w:rsidRPr="00170743">
              <w:rPr>
                <w:rFonts w:eastAsia="Times New Roman"/>
                <w:lang w:eastAsia="pl-PL"/>
              </w:rPr>
              <w:t xml:space="preserve">-Rozwój mikroprzedsiębiorstw w sektorze usług ( poszerzenie oferty) </w:t>
            </w:r>
          </w:p>
          <w:p w:rsidR="00170743" w:rsidRPr="00170743" w:rsidRDefault="00170743" w:rsidP="00170743">
            <w:pPr>
              <w:spacing w:before="100" w:beforeAutospacing="1" w:after="119"/>
              <w:rPr>
                <w:rFonts w:eastAsia="Times New Roman"/>
                <w:lang w:eastAsia="pl-PL"/>
              </w:rPr>
            </w:pPr>
            <w:r w:rsidRPr="00170743">
              <w:rPr>
                <w:rFonts w:eastAsia="Times New Roman"/>
                <w:lang w:eastAsia="pl-PL"/>
              </w:rPr>
              <w:t xml:space="preserve">-Ożywienie gospodarcze </w:t>
            </w:r>
          </w:p>
          <w:p w:rsidR="00170743" w:rsidRPr="00170743" w:rsidRDefault="00170743" w:rsidP="00170743">
            <w:pPr>
              <w:spacing w:before="100" w:beforeAutospacing="1" w:after="119"/>
              <w:rPr>
                <w:rFonts w:eastAsia="Times New Roman"/>
                <w:lang w:eastAsia="pl-PL"/>
              </w:rPr>
            </w:pPr>
            <w:r w:rsidRPr="00170743">
              <w:rPr>
                <w:rFonts w:eastAsia="Times New Roman"/>
                <w:lang w:eastAsia="pl-PL"/>
              </w:rPr>
              <w:t>-Aktywizacja zawodowa</w:t>
            </w:r>
          </w:p>
          <w:p w:rsidR="00170743" w:rsidRPr="00170743" w:rsidRDefault="00170743" w:rsidP="00170743">
            <w:pPr>
              <w:spacing w:before="100" w:beforeAutospacing="1" w:after="119"/>
              <w:rPr>
                <w:rFonts w:eastAsia="Times New Roman"/>
                <w:lang w:eastAsia="pl-PL"/>
              </w:rPr>
            </w:pPr>
          </w:p>
          <w:p w:rsidR="00170743" w:rsidRPr="00170743" w:rsidRDefault="00170743" w:rsidP="00170743">
            <w:pPr>
              <w:spacing w:before="100" w:beforeAutospacing="1" w:after="119" w:line="276" w:lineRule="auto"/>
              <w:rPr>
                <w:rFonts w:eastAsia="Times New Roman"/>
                <w:lang w:eastAsia="pl-PL"/>
              </w:rPr>
            </w:pPr>
            <w:r w:rsidRPr="00170743">
              <w:rPr>
                <w:rFonts w:eastAsia="Times New Roman"/>
                <w:lang w:eastAsia="pl-PL"/>
              </w:rPr>
              <w:t>-Promocja centrum Mirca</w:t>
            </w:r>
          </w:p>
        </w:tc>
        <w:tc>
          <w:tcPr>
            <w:tcW w:w="1778" w:type="dxa"/>
            <w:tcBorders>
              <w:top w:val="single" w:sz="4" w:space="0" w:color="auto"/>
              <w:left w:val="single" w:sz="4" w:space="0" w:color="auto"/>
              <w:bottom w:val="single" w:sz="4" w:space="0" w:color="auto"/>
              <w:right w:val="single" w:sz="4" w:space="0" w:color="auto"/>
            </w:tcBorders>
            <w:hideMark/>
          </w:tcPr>
          <w:p w:rsidR="00170743" w:rsidRPr="00170743" w:rsidRDefault="00170743" w:rsidP="00170743">
            <w:pPr>
              <w:spacing w:before="100" w:beforeAutospacing="1"/>
              <w:jc w:val="center"/>
              <w:rPr>
                <w:rFonts w:eastAsia="Times New Roman"/>
                <w:lang w:eastAsia="pl-PL"/>
              </w:rPr>
            </w:pPr>
            <w:r w:rsidRPr="00170743">
              <w:rPr>
                <w:rFonts w:eastAsia="Times New Roman"/>
                <w:lang w:eastAsia="pl-PL"/>
              </w:rPr>
              <w:t xml:space="preserve">Zakład fryzjerski ,, GOLD HAIR ” – Marzena Sikora </w:t>
            </w:r>
          </w:p>
          <w:p w:rsidR="00170743" w:rsidRPr="00170743" w:rsidRDefault="00170743" w:rsidP="00170743">
            <w:pPr>
              <w:spacing w:before="100" w:beforeAutospacing="1" w:after="200" w:line="276" w:lineRule="auto"/>
              <w:jc w:val="center"/>
              <w:rPr>
                <w:rFonts w:eastAsia="Times New Roman"/>
                <w:lang w:eastAsia="pl-PL"/>
              </w:rPr>
            </w:pPr>
            <w:r w:rsidRPr="00170743">
              <w:rPr>
                <w:rFonts w:eastAsia="Times New Roman"/>
                <w:lang w:eastAsia="pl-PL"/>
              </w:rPr>
              <w:t>2016-2018</w:t>
            </w:r>
          </w:p>
        </w:tc>
      </w:tr>
      <w:tr w:rsidR="00170743" w:rsidRPr="00170743" w:rsidTr="00170743">
        <w:tc>
          <w:tcPr>
            <w:tcW w:w="15630" w:type="dxa"/>
            <w:gridSpan w:val="8"/>
            <w:tcBorders>
              <w:top w:val="single" w:sz="4" w:space="0" w:color="auto"/>
              <w:left w:val="single" w:sz="4" w:space="0" w:color="auto"/>
              <w:bottom w:val="single" w:sz="4" w:space="0" w:color="auto"/>
              <w:right w:val="single" w:sz="4" w:space="0" w:color="auto"/>
            </w:tcBorders>
            <w:hideMark/>
          </w:tcPr>
          <w:p w:rsidR="00170743" w:rsidRDefault="00170743" w:rsidP="00170743">
            <w:pPr>
              <w:tabs>
                <w:tab w:val="left" w:pos="340"/>
              </w:tabs>
              <w:spacing w:before="100" w:beforeAutospacing="1" w:after="200" w:line="276" w:lineRule="auto"/>
              <w:rPr>
                <w:rFonts w:eastAsia="Times New Roman"/>
                <w:lang w:eastAsia="pl-PL"/>
              </w:rPr>
            </w:pPr>
            <w:r w:rsidRPr="00170743">
              <w:rPr>
                <w:rFonts w:eastAsia="Times New Roman"/>
                <w:lang w:eastAsia="pl-PL"/>
              </w:rPr>
              <w:t xml:space="preserve">RAZEM SZACUKOWE KOSZTY NAKŁADÓW                                                                                                                                                                                </w:t>
            </w:r>
            <w:r w:rsidR="001B3D12">
              <w:rPr>
                <w:rFonts w:eastAsia="Times New Roman"/>
                <w:lang w:eastAsia="pl-PL"/>
              </w:rPr>
              <w:t xml:space="preserve">                           </w:t>
            </w:r>
            <w:r w:rsidR="001B3D12" w:rsidRPr="001B3D12">
              <w:rPr>
                <w:rFonts w:eastAsia="Times New Roman"/>
                <w:b/>
                <w:color w:val="000000"/>
                <w:u w:val="single"/>
                <w:lang w:eastAsia="pl-PL"/>
              </w:rPr>
              <w:t>8 765 610</w:t>
            </w:r>
            <w:r w:rsidRPr="00170743">
              <w:rPr>
                <w:rFonts w:eastAsia="Times New Roman"/>
                <w:b/>
                <w:u w:val="single"/>
                <w:lang w:eastAsia="pl-PL"/>
              </w:rPr>
              <w:t xml:space="preserve"> PLN</w:t>
            </w:r>
            <w:r w:rsidRPr="00170743">
              <w:rPr>
                <w:rFonts w:eastAsia="Times New Roman"/>
                <w:lang w:eastAsia="pl-PL"/>
              </w:rPr>
              <w:br/>
              <w:t>NA ZADANIA INWESTYCYJNE</w:t>
            </w:r>
            <w:r w:rsidR="001B3D12">
              <w:rPr>
                <w:rFonts w:eastAsia="Times New Roman"/>
                <w:lang w:eastAsia="pl-PL"/>
              </w:rPr>
              <w:t xml:space="preserve">  W TYM:</w:t>
            </w:r>
          </w:p>
          <w:p w:rsidR="001B3D12" w:rsidRPr="00170743" w:rsidRDefault="001B3D12" w:rsidP="001B3D12">
            <w:pPr>
              <w:tabs>
                <w:tab w:val="left" w:pos="340"/>
                <w:tab w:val="left" w:pos="12287"/>
              </w:tabs>
              <w:spacing w:before="100" w:beforeAutospacing="1" w:after="200" w:line="276" w:lineRule="auto"/>
              <w:rPr>
                <w:rFonts w:eastAsia="Times New Roman"/>
                <w:lang w:eastAsia="pl-PL"/>
              </w:rPr>
            </w:pPr>
            <w:r>
              <w:rPr>
                <w:rFonts w:eastAsia="Times New Roman"/>
                <w:lang w:eastAsia="pl-PL"/>
              </w:rPr>
              <w:t>ZADANIA PUBLICZNE:</w:t>
            </w:r>
            <w:r>
              <w:rPr>
                <w:rFonts w:eastAsia="Times New Roman"/>
                <w:lang w:eastAsia="pl-PL"/>
              </w:rPr>
              <w:tab/>
              <w:t xml:space="preserve">                              6 435 610 PLN</w:t>
            </w:r>
            <w:r>
              <w:rPr>
                <w:rFonts w:eastAsia="Times New Roman"/>
                <w:lang w:eastAsia="pl-PL"/>
              </w:rPr>
              <w:br/>
              <w:t>ZADANIA PRYWATNE:                                                                                                                                                                                                                                              2 330 000 PLN</w:t>
            </w:r>
          </w:p>
        </w:tc>
      </w:tr>
    </w:tbl>
    <w:p w:rsidR="00170743" w:rsidRPr="00170743" w:rsidRDefault="00170743" w:rsidP="00170743">
      <w:pPr>
        <w:spacing w:before="100" w:beforeAutospacing="1" w:after="0" w:line="240" w:lineRule="auto"/>
        <w:jc w:val="center"/>
        <w:rPr>
          <w:rFonts w:ascii="Calibri" w:eastAsia="Times New Roman" w:hAnsi="Calibri" w:cs="Times New Roman"/>
          <w:lang w:eastAsia="pl-PL"/>
        </w:rPr>
      </w:pPr>
      <w:r w:rsidRPr="00170743">
        <w:rPr>
          <w:rFonts w:ascii="Calibri" w:eastAsia="Times New Roman" w:hAnsi="Calibri" w:cs="Times New Roman"/>
          <w:b/>
          <w:bCs/>
          <w:lang w:eastAsia="pl-PL"/>
        </w:rPr>
        <w:t>Planowane zadania inwestycyjne w Gminnym Programie Rewitalizacji gminy Mirzec na lata 2016-2022</w:t>
      </w:r>
    </w:p>
    <w:p w:rsidR="00170743" w:rsidRPr="00170743" w:rsidRDefault="00170743" w:rsidP="00170743">
      <w:pPr>
        <w:spacing w:before="100" w:beforeAutospacing="1" w:after="0" w:line="240" w:lineRule="auto"/>
        <w:jc w:val="center"/>
        <w:rPr>
          <w:rFonts w:ascii="Calibri" w:eastAsia="Times New Roman" w:hAnsi="Calibri" w:cs="Times New Roman"/>
          <w:lang w:eastAsia="pl-PL"/>
        </w:rPr>
      </w:pPr>
      <w:r w:rsidRPr="00170743">
        <w:rPr>
          <w:rFonts w:ascii="Calibri" w:eastAsia="Times New Roman" w:hAnsi="Calibri" w:cs="Times New Roman"/>
          <w:lang w:eastAsia="pl-PL"/>
        </w:rPr>
        <w:t xml:space="preserve">Uwaga: zadania inwestycyjne z pozycji </w:t>
      </w:r>
      <w:r w:rsidRPr="00170743">
        <w:rPr>
          <w:rFonts w:ascii="Calibri" w:eastAsia="Times New Roman" w:hAnsi="Calibri" w:cs="Times New Roman"/>
          <w:b/>
          <w:bCs/>
          <w:lang w:eastAsia="pl-PL"/>
        </w:rPr>
        <w:t>1,2,3,4,</w:t>
      </w:r>
      <w:r>
        <w:rPr>
          <w:rFonts w:ascii="Calibri" w:eastAsia="Times New Roman" w:hAnsi="Calibri" w:cs="Times New Roman"/>
          <w:b/>
          <w:bCs/>
          <w:lang w:eastAsia="pl-PL"/>
        </w:rPr>
        <w:t>5</w:t>
      </w:r>
      <w:r w:rsidRPr="00170743">
        <w:rPr>
          <w:rFonts w:ascii="Calibri" w:eastAsia="Times New Roman" w:hAnsi="Calibri" w:cs="Times New Roman"/>
          <w:b/>
          <w:bCs/>
          <w:lang w:eastAsia="pl-PL"/>
        </w:rPr>
        <w:t xml:space="preserve">, </w:t>
      </w:r>
      <w:r>
        <w:rPr>
          <w:rFonts w:ascii="Calibri" w:eastAsia="Times New Roman" w:hAnsi="Calibri" w:cs="Times New Roman"/>
          <w:b/>
          <w:bCs/>
          <w:lang w:eastAsia="pl-PL"/>
        </w:rPr>
        <w:t>6</w:t>
      </w:r>
      <w:r w:rsidRPr="00170743">
        <w:rPr>
          <w:rFonts w:ascii="Calibri" w:eastAsia="Times New Roman" w:hAnsi="Calibri" w:cs="Times New Roman"/>
          <w:b/>
          <w:bCs/>
          <w:lang w:eastAsia="pl-PL"/>
        </w:rPr>
        <w:t xml:space="preserve">, </w:t>
      </w:r>
      <w:r>
        <w:rPr>
          <w:rFonts w:ascii="Calibri" w:eastAsia="Times New Roman" w:hAnsi="Calibri" w:cs="Times New Roman"/>
          <w:b/>
          <w:bCs/>
          <w:lang w:eastAsia="pl-PL"/>
        </w:rPr>
        <w:t>7</w:t>
      </w:r>
      <w:r w:rsidRPr="00170743">
        <w:rPr>
          <w:rFonts w:ascii="Calibri" w:eastAsia="Times New Roman" w:hAnsi="Calibri" w:cs="Times New Roman"/>
          <w:b/>
          <w:bCs/>
          <w:lang w:eastAsia="pl-PL"/>
        </w:rPr>
        <w:t xml:space="preserve">  o łącznych  szacunkowych kosztach 6 435 610 </w:t>
      </w:r>
      <w:r w:rsidRPr="00170743">
        <w:rPr>
          <w:rFonts w:ascii="Calibri" w:eastAsia="Times New Roman" w:hAnsi="Calibri" w:cs="Times New Roman"/>
          <w:lang w:eastAsia="pl-PL"/>
        </w:rPr>
        <w:t xml:space="preserve"> winny być zgodnie z art. 21 ustawy z dnia 9 października 2015r. o rewitalizacji uwzględnione w wieloletniej prognozie finansowej gminy Mirzec, o której mowa w art. 226 ust 3 ustawy z dnia 27 sierpnia 2009r. o finansach publicznych</w:t>
      </w:r>
    </w:p>
    <w:p w:rsidR="00EE0C8C" w:rsidRPr="00EE0C8C" w:rsidRDefault="00EE0C8C" w:rsidP="00EE0C8C">
      <w:pPr>
        <w:rPr>
          <w:b/>
          <w:bCs/>
          <w:iCs/>
          <w:color w:val="4F81BD" w:themeColor="accent1"/>
          <w:sz w:val="28"/>
          <w:szCs w:val="28"/>
        </w:rPr>
        <w:sectPr w:rsidR="00EE0C8C" w:rsidRPr="00EE0C8C" w:rsidSect="00A76BDB">
          <w:type w:val="continuous"/>
          <w:pgSz w:w="16838" w:h="11906" w:orient="landscape"/>
          <w:pgMar w:top="1417" w:right="1417" w:bottom="1417" w:left="1417" w:header="709" w:footer="709" w:gutter="0"/>
          <w:cols w:space="708"/>
          <w:docGrid w:linePitch="360"/>
        </w:sectPr>
      </w:pPr>
    </w:p>
    <w:p w:rsidR="00EE0C8C" w:rsidRPr="00EE0C8C" w:rsidRDefault="00EE0C8C" w:rsidP="00A76BDB">
      <w:pPr>
        <w:pStyle w:val="Nagwek2"/>
      </w:pPr>
      <w:bookmarkStart w:id="118" w:name="_Toc450562521"/>
      <w:r w:rsidRPr="00EE0C8C">
        <w:lastRenderedPageBreak/>
        <w:t>6.2. ZADANIA SPOŁECZNE</w:t>
      </w:r>
      <w:bookmarkEnd w:id="118"/>
    </w:p>
    <w:tbl>
      <w:tblPr>
        <w:tblStyle w:val="Tabela-Siatka6"/>
        <w:tblpPr w:leftFromText="141" w:rightFromText="141" w:vertAnchor="text" w:horzAnchor="margin" w:tblpXSpec="center" w:tblpY="215"/>
        <w:tblW w:w="15060" w:type="dxa"/>
        <w:tblLook w:val="04A0" w:firstRow="1" w:lastRow="0" w:firstColumn="1" w:lastColumn="0" w:noHBand="0" w:noVBand="1"/>
      </w:tblPr>
      <w:tblGrid>
        <w:gridCol w:w="559"/>
        <w:gridCol w:w="2242"/>
        <w:gridCol w:w="3770"/>
        <w:gridCol w:w="2021"/>
        <w:gridCol w:w="1583"/>
        <w:gridCol w:w="3002"/>
        <w:gridCol w:w="1883"/>
      </w:tblGrid>
      <w:tr w:rsidR="00EE0C8C" w:rsidRPr="00EE0C8C" w:rsidTr="00A76BDB">
        <w:trPr>
          <w:trHeight w:val="97"/>
        </w:trPr>
        <w:tc>
          <w:tcPr>
            <w:tcW w:w="559" w:type="dxa"/>
            <w:vMerge w:val="restart"/>
          </w:tcPr>
          <w:p w:rsidR="00EE0C8C" w:rsidRPr="00EE0C8C" w:rsidRDefault="00EE0C8C" w:rsidP="00EE0C8C">
            <w:pPr>
              <w:spacing w:after="200" w:line="276" w:lineRule="auto"/>
              <w:rPr>
                <w:b/>
                <w:bCs/>
                <w:iCs/>
                <w:color w:val="4F81BD" w:themeColor="accent1"/>
                <w:sz w:val="24"/>
                <w:szCs w:val="24"/>
              </w:rPr>
            </w:pPr>
            <w:r w:rsidRPr="00EE0C8C">
              <w:rPr>
                <w:b/>
                <w:bCs/>
                <w:iCs/>
                <w:color w:val="4F81BD" w:themeColor="accent1"/>
                <w:sz w:val="24"/>
                <w:szCs w:val="24"/>
              </w:rPr>
              <w:t>LP</w:t>
            </w:r>
          </w:p>
        </w:tc>
        <w:tc>
          <w:tcPr>
            <w:tcW w:w="2242" w:type="dxa"/>
            <w:vMerge w:val="restart"/>
          </w:tcPr>
          <w:p w:rsidR="00EE0C8C" w:rsidRPr="00EE0C8C" w:rsidRDefault="00EE0C8C" w:rsidP="00EE0C8C">
            <w:pPr>
              <w:spacing w:after="200" w:line="276" w:lineRule="auto"/>
              <w:rPr>
                <w:b/>
                <w:bCs/>
                <w:iCs/>
                <w:color w:val="4F81BD" w:themeColor="accent1"/>
                <w:sz w:val="24"/>
                <w:szCs w:val="24"/>
              </w:rPr>
            </w:pPr>
            <w:r w:rsidRPr="00EE0C8C">
              <w:rPr>
                <w:b/>
                <w:bCs/>
                <w:iCs/>
                <w:color w:val="4F81BD" w:themeColor="accent1"/>
                <w:sz w:val="24"/>
                <w:szCs w:val="24"/>
              </w:rPr>
              <w:t>Nazwa zadania</w:t>
            </w:r>
          </w:p>
        </w:tc>
        <w:tc>
          <w:tcPr>
            <w:tcW w:w="3770" w:type="dxa"/>
            <w:vMerge w:val="restart"/>
          </w:tcPr>
          <w:p w:rsidR="00EE0C8C" w:rsidRPr="00EE0C8C" w:rsidRDefault="00EE0C8C" w:rsidP="00EE0C8C">
            <w:pPr>
              <w:spacing w:after="200" w:line="276" w:lineRule="auto"/>
              <w:rPr>
                <w:b/>
                <w:bCs/>
                <w:iCs/>
                <w:color w:val="4F81BD" w:themeColor="accent1"/>
                <w:sz w:val="24"/>
                <w:szCs w:val="24"/>
              </w:rPr>
            </w:pPr>
            <w:r w:rsidRPr="00EE0C8C">
              <w:rPr>
                <w:b/>
                <w:bCs/>
                <w:iCs/>
                <w:color w:val="4F81BD" w:themeColor="accent1"/>
                <w:sz w:val="24"/>
                <w:szCs w:val="24"/>
              </w:rPr>
              <w:t>Zakres rzeczowy</w:t>
            </w:r>
          </w:p>
        </w:tc>
        <w:tc>
          <w:tcPr>
            <w:tcW w:w="2021" w:type="dxa"/>
            <w:vMerge w:val="restart"/>
          </w:tcPr>
          <w:p w:rsidR="00EE0C8C" w:rsidRPr="00EE0C8C" w:rsidRDefault="00EE0C8C" w:rsidP="00EE0C8C">
            <w:pPr>
              <w:spacing w:after="200" w:line="276" w:lineRule="auto"/>
              <w:rPr>
                <w:b/>
                <w:bCs/>
                <w:iCs/>
                <w:color w:val="4F81BD" w:themeColor="accent1"/>
                <w:sz w:val="24"/>
                <w:szCs w:val="24"/>
              </w:rPr>
            </w:pPr>
            <w:r w:rsidRPr="00EE0C8C">
              <w:rPr>
                <w:b/>
                <w:bCs/>
                <w:iCs/>
                <w:color w:val="4F81BD" w:themeColor="accent1"/>
                <w:sz w:val="24"/>
                <w:szCs w:val="24"/>
              </w:rPr>
              <w:t>Lokalizacja</w:t>
            </w:r>
          </w:p>
        </w:tc>
        <w:tc>
          <w:tcPr>
            <w:tcW w:w="1583" w:type="dxa"/>
            <w:vMerge w:val="restart"/>
          </w:tcPr>
          <w:p w:rsidR="00EE0C8C" w:rsidRPr="00EE0C8C" w:rsidRDefault="00EE0C8C" w:rsidP="00EE0C8C">
            <w:pPr>
              <w:spacing w:after="200" w:line="276" w:lineRule="auto"/>
              <w:rPr>
                <w:b/>
                <w:bCs/>
                <w:iCs/>
                <w:color w:val="4F81BD" w:themeColor="accent1"/>
                <w:sz w:val="24"/>
                <w:szCs w:val="24"/>
              </w:rPr>
            </w:pPr>
            <w:r w:rsidRPr="00EE0C8C">
              <w:rPr>
                <w:b/>
                <w:bCs/>
                <w:iCs/>
                <w:color w:val="4F81BD" w:themeColor="accent1"/>
                <w:sz w:val="24"/>
                <w:szCs w:val="24"/>
              </w:rPr>
              <w:t>Szacunkowa wartość w zł</w:t>
            </w:r>
          </w:p>
        </w:tc>
        <w:tc>
          <w:tcPr>
            <w:tcW w:w="3002" w:type="dxa"/>
            <w:vMerge w:val="restart"/>
          </w:tcPr>
          <w:p w:rsidR="00EE0C8C" w:rsidRPr="00EE0C8C" w:rsidRDefault="00EE0C8C" w:rsidP="00EE0C8C">
            <w:pPr>
              <w:spacing w:after="200" w:line="276" w:lineRule="auto"/>
              <w:rPr>
                <w:b/>
                <w:bCs/>
                <w:iCs/>
                <w:color w:val="4F81BD" w:themeColor="accent1"/>
                <w:sz w:val="24"/>
                <w:szCs w:val="24"/>
              </w:rPr>
            </w:pPr>
            <w:r w:rsidRPr="00EE0C8C">
              <w:rPr>
                <w:b/>
                <w:bCs/>
                <w:iCs/>
                <w:color w:val="4F81BD" w:themeColor="accent1"/>
                <w:sz w:val="24"/>
                <w:szCs w:val="24"/>
              </w:rPr>
              <w:t xml:space="preserve"> Rezultaty</w:t>
            </w:r>
          </w:p>
        </w:tc>
        <w:tc>
          <w:tcPr>
            <w:tcW w:w="1883" w:type="dxa"/>
          </w:tcPr>
          <w:p w:rsidR="00EE0C8C" w:rsidRPr="00EE0C8C" w:rsidRDefault="00EE0C8C" w:rsidP="00EE0C8C">
            <w:pPr>
              <w:spacing w:after="200" w:line="276" w:lineRule="auto"/>
              <w:rPr>
                <w:b/>
                <w:bCs/>
                <w:iCs/>
                <w:color w:val="4F81BD" w:themeColor="accent1"/>
                <w:sz w:val="24"/>
                <w:szCs w:val="24"/>
              </w:rPr>
            </w:pPr>
            <w:r w:rsidRPr="00EE0C8C">
              <w:rPr>
                <w:b/>
                <w:bCs/>
                <w:iCs/>
                <w:color w:val="4F81BD" w:themeColor="accent1"/>
                <w:sz w:val="24"/>
                <w:szCs w:val="24"/>
              </w:rPr>
              <w:t>Realizator</w:t>
            </w:r>
          </w:p>
        </w:tc>
      </w:tr>
      <w:tr w:rsidR="00EE0C8C" w:rsidRPr="00EE0C8C" w:rsidTr="00A76BDB">
        <w:trPr>
          <w:trHeight w:val="97"/>
        </w:trPr>
        <w:tc>
          <w:tcPr>
            <w:tcW w:w="559" w:type="dxa"/>
            <w:vMerge/>
          </w:tcPr>
          <w:p w:rsidR="00EE0C8C" w:rsidRPr="00EE0C8C" w:rsidRDefault="00EE0C8C" w:rsidP="00EE0C8C">
            <w:pPr>
              <w:spacing w:after="200" w:line="276" w:lineRule="auto"/>
              <w:rPr>
                <w:b/>
                <w:bCs/>
                <w:iCs/>
                <w:color w:val="4F81BD" w:themeColor="accent1"/>
                <w:sz w:val="24"/>
                <w:szCs w:val="24"/>
              </w:rPr>
            </w:pPr>
          </w:p>
        </w:tc>
        <w:tc>
          <w:tcPr>
            <w:tcW w:w="2242" w:type="dxa"/>
            <w:vMerge/>
          </w:tcPr>
          <w:p w:rsidR="00EE0C8C" w:rsidRPr="00EE0C8C" w:rsidRDefault="00EE0C8C" w:rsidP="00EE0C8C">
            <w:pPr>
              <w:spacing w:after="200" w:line="276" w:lineRule="auto"/>
              <w:rPr>
                <w:b/>
                <w:bCs/>
                <w:iCs/>
                <w:color w:val="4F81BD" w:themeColor="accent1"/>
                <w:sz w:val="24"/>
                <w:szCs w:val="24"/>
              </w:rPr>
            </w:pPr>
          </w:p>
        </w:tc>
        <w:tc>
          <w:tcPr>
            <w:tcW w:w="3770" w:type="dxa"/>
            <w:vMerge/>
          </w:tcPr>
          <w:p w:rsidR="00EE0C8C" w:rsidRPr="00EE0C8C" w:rsidRDefault="00EE0C8C" w:rsidP="00EE0C8C">
            <w:pPr>
              <w:spacing w:after="200" w:line="276" w:lineRule="auto"/>
              <w:rPr>
                <w:b/>
                <w:bCs/>
                <w:iCs/>
                <w:color w:val="4F81BD" w:themeColor="accent1"/>
                <w:sz w:val="24"/>
                <w:szCs w:val="24"/>
              </w:rPr>
            </w:pPr>
          </w:p>
        </w:tc>
        <w:tc>
          <w:tcPr>
            <w:tcW w:w="2021" w:type="dxa"/>
            <w:vMerge/>
          </w:tcPr>
          <w:p w:rsidR="00EE0C8C" w:rsidRPr="00EE0C8C" w:rsidRDefault="00EE0C8C" w:rsidP="00EE0C8C">
            <w:pPr>
              <w:spacing w:after="200" w:line="276" w:lineRule="auto"/>
              <w:rPr>
                <w:b/>
                <w:bCs/>
                <w:iCs/>
                <w:color w:val="4F81BD" w:themeColor="accent1"/>
                <w:sz w:val="24"/>
                <w:szCs w:val="24"/>
              </w:rPr>
            </w:pPr>
          </w:p>
        </w:tc>
        <w:tc>
          <w:tcPr>
            <w:tcW w:w="1583" w:type="dxa"/>
            <w:vMerge/>
          </w:tcPr>
          <w:p w:rsidR="00EE0C8C" w:rsidRPr="00EE0C8C" w:rsidRDefault="00EE0C8C" w:rsidP="00EE0C8C">
            <w:pPr>
              <w:spacing w:after="200" w:line="276" w:lineRule="auto"/>
              <w:rPr>
                <w:b/>
                <w:bCs/>
                <w:iCs/>
                <w:color w:val="4F81BD" w:themeColor="accent1"/>
                <w:sz w:val="24"/>
                <w:szCs w:val="24"/>
              </w:rPr>
            </w:pPr>
          </w:p>
        </w:tc>
        <w:tc>
          <w:tcPr>
            <w:tcW w:w="3002" w:type="dxa"/>
            <w:vMerge/>
          </w:tcPr>
          <w:p w:rsidR="00EE0C8C" w:rsidRPr="00EE0C8C" w:rsidRDefault="00EE0C8C" w:rsidP="00EE0C8C">
            <w:pPr>
              <w:spacing w:after="200" w:line="276" w:lineRule="auto"/>
              <w:rPr>
                <w:b/>
                <w:bCs/>
                <w:iCs/>
                <w:color w:val="4F81BD" w:themeColor="accent1"/>
                <w:sz w:val="24"/>
                <w:szCs w:val="24"/>
              </w:rPr>
            </w:pPr>
          </w:p>
        </w:tc>
        <w:tc>
          <w:tcPr>
            <w:tcW w:w="1883" w:type="dxa"/>
          </w:tcPr>
          <w:p w:rsidR="00EE0C8C" w:rsidRPr="00EE0C8C" w:rsidRDefault="00EE0C8C" w:rsidP="00EE0C8C">
            <w:pPr>
              <w:spacing w:after="200" w:line="276" w:lineRule="auto"/>
              <w:rPr>
                <w:b/>
                <w:bCs/>
                <w:iCs/>
                <w:color w:val="4F81BD" w:themeColor="accent1"/>
                <w:sz w:val="24"/>
                <w:szCs w:val="24"/>
              </w:rPr>
            </w:pPr>
            <w:r w:rsidRPr="00EE0C8C">
              <w:rPr>
                <w:b/>
                <w:bCs/>
                <w:iCs/>
                <w:color w:val="4F81BD" w:themeColor="accent1"/>
                <w:sz w:val="24"/>
                <w:szCs w:val="24"/>
              </w:rPr>
              <w:t>Okres realizacji</w:t>
            </w:r>
          </w:p>
        </w:tc>
      </w:tr>
      <w:tr w:rsidR="00EE0C8C" w:rsidRPr="00EE0C8C" w:rsidTr="00A76BDB">
        <w:trPr>
          <w:trHeight w:val="453"/>
        </w:trPr>
        <w:tc>
          <w:tcPr>
            <w:tcW w:w="559" w:type="dxa"/>
            <w:vMerge w:val="restart"/>
          </w:tcPr>
          <w:p w:rsidR="00EE0C8C" w:rsidRPr="00EE0C8C" w:rsidRDefault="00EE0C8C" w:rsidP="00EE0C8C">
            <w:pPr>
              <w:spacing w:after="200" w:line="276" w:lineRule="auto"/>
              <w:rPr>
                <w:b/>
                <w:bCs/>
                <w:iCs/>
                <w:color w:val="4F81BD" w:themeColor="accent1"/>
                <w:sz w:val="24"/>
                <w:szCs w:val="24"/>
              </w:rPr>
            </w:pPr>
            <w:r w:rsidRPr="00EE0C8C">
              <w:rPr>
                <w:b/>
                <w:bCs/>
                <w:iCs/>
                <w:color w:val="4F81BD" w:themeColor="accent1"/>
                <w:sz w:val="24"/>
                <w:szCs w:val="24"/>
              </w:rPr>
              <w:t>1</w:t>
            </w:r>
          </w:p>
        </w:tc>
        <w:tc>
          <w:tcPr>
            <w:tcW w:w="2242" w:type="dxa"/>
            <w:vMerge w:val="restart"/>
          </w:tcPr>
          <w:p w:rsidR="00EE0C8C" w:rsidRPr="00EE0C8C" w:rsidRDefault="00EE0C8C" w:rsidP="00EE0C8C">
            <w:pPr>
              <w:spacing w:after="200" w:line="276" w:lineRule="auto"/>
              <w:rPr>
                <w:b/>
                <w:bCs/>
                <w:iCs/>
                <w:color w:val="000000" w:themeColor="text1"/>
              </w:rPr>
            </w:pPr>
            <w:r w:rsidRPr="00EE0C8C">
              <w:rPr>
                <w:b/>
                <w:bCs/>
                <w:iCs/>
                <w:color w:val="000000" w:themeColor="text1"/>
              </w:rPr>
              <w:t>Program gimnastyki korekcyjnej i zapobiegania wadom postawy ciała wśród uczniów z terenu gminy Mirzec</w:t>
            </w:r>
          </w:p>
        </w:tc>
        <w:tc>
          <w:tcPr>
            <w:tcW w:w="3770" w:type="dxa"/>
            <w:vMerge w:val="restart"/>
          </w:tcPr>
          <w:p w:rsidR="00EE0C8C" w:rsidRPr="00EE0C8C" w:rsidRDefault="00EE0C8C" w:rsidP="00EE0C8C">
            <w:pPr>
              <w:spacing w:after="200" w:line="276" w:lineRule="auto"/>
              <w:rPr>
                <w:bCs/>
                <w:iCs/>
                <w:color w:val="000000" w:themeColor="text1"/>
              </w:rPr>
            </w:pPr>
            <w:r w:rsidRPr="00EE0C8C">
              <w:rPr>
                <w:bCs/>
                <w:iCs/>
                <w:color w:val="000000" w:themeColor="text1"/>
              </w:rPr>
              <w:t xml:space="preserve">Dla potrzeb gimnastyki korekcyjnej </w:t>
            </w:r>
            <w:r w:rsidRPr="00EE0C8C">
              <w:rPr>
                <w:bCs/>
                <w:iCs/>
                <w:color w:val="000000" w:themeColor="text1"/>
              </w:rPr>
              <w:br/>
              <w:t xml:space="preserve">w plenerze powstanie tzw. Zielonej siłowni pod kątem rehabilitacji). Stały cykl zajęć z dziećmi pod kierunkiem rehabilitanta, promocja zdrowia, pogadanki profilaktyczne </w:t>
            </w:r>
            <w:r w:rsidRPr="00EE0C8C">
              <w:rPr>
                <w:bCs/>
                <w:iCs/>
                <w:color w:val="000000" w:themeColor="text1"/>
              </w:rPr>
              <w:br/>
              <w:t>w kierunku zdrowego stylu życia.</w:t>
            </w:r>
          </w:p>
          <w:p w:rsidR="00EE0C8C" w:rsidRPr="00EE0C8C" w:rsidRDefault="00EE0C8C" w:rsidP="00EE0C8C">
            <w:pPr>
              <w:spacing w:after="200" w:line="276" w:lineRule="auto"/>
              <w:rPr>
                <w:bCs/>
                <w:iCs/>
                <w:color w:val="000000" w:themeColor="text1"/>
              </w:rPr>
            </w:pPr>
            <w:r w:rsidRPr="00EE0C8C">
              <w:rPr>
                <w:bCs/>
                <w:iCs/>
                <w:color w:val="000000" w:themeColor="text1"/>
              </w:rPr>
              <w:t>Działania w sferze aktywnej rekreacji.</w:t>
            </w:r>
          </w:p>
        </w:tc>
        <w:tc>
          <w:tcPr>
            <w:tcW w:w="2021" w:type="dxa"/>
            <w:vMerge w:val="restart"/>
          </w:tcPr>
          <w:p w:rsidR="00EE0C8C" w:rsidRPr="00EE0C8C" w:rsidRDefault="00EE0C8C" w:rsidP="00EE0C8C">
            <w:pPr>
              <w:spacing w:after="200" w:line="276" w:lineRule="auto"/>
              <w:rPr>
                <w:bCs/>
                <w:iCs/>
                <w:color w:val="000000" w:themeColor="text1"/>
              </w:rPr>
            </w:pPr>
            <w:r w:rsidRPr="00EE0C8C">
              <w:rPr>
                <w:bCs/>
                <w:iCs/>
                <w:color w:val="000000" w:themeColor="text1"/>
              </w:rPr>
              <w:t>Część działki 2656/29 pow. ok. 1,36 ha (pozostałość po działce na której usytuowano kompleks ORLIK).</w:t>
            </w:r>
          </w:p>
        </w:tc>
        <w:tc>
          <w:tcPr>
            <w:tcW w:w="1583" w:type="dxa"/>
          </w:tcPr>
          <w:p w:rsidR="00EE0C8C" w:rsidRPr="00EE0C8C" w:rsidRDefault="00EE0C8C" w:rsidP="00EE0C8C">
            <w:pPr>
              <w:spacing w:after="200" w:line="276" w:lineRule="auto"/>
              <w:rPr>
                <w:bCs/>
                <w:iCs/>
                <w:color w:val="000000" w:themeColor="text1"/>
              </w:rPr>
            </w:pPr>
            <w:r w:rsidRPr="00EE0C8C">
              <w:rPr>
                <w:b/>
                <w:bCs/>
                <w:iCs/>
                <w:color w:val="000000" w:themeColor="text1"/>
              </w:rPr>
              <w:t xml:space="preserve">Ok. 100,000 </w:t>
            </w:r>
            <w:r w:rsidRPr="00EE0C8C">
              <w:rPr>
                <w:b/>
                <w:bCs/>
                <w:iCs/>
                <w:color w:val="000000" w:themeColor="text1"/>
              </w:rPr>
              <w:br/>
              <w:t>(w okresie realizacji do 2020r.)</w:t>
            </w:r>
          </w:p>
        </w:tc>
        <w:tc>
          <w:tcPr>
            <w:tcW w:w="3002" w:type="dxa"/>
            <w:vMerge w:val="restart"/>
          </w:tcPr>
          <w:p w:rsidR="00EE0C8C" w:rsidRPr="00EE0C8C" w:rsidRDefault="00EE0C8C" w:rsidP="00EE0C8C">
            <w:pPr>
              <w:spacing w:after="200" w:line="276" w:lineRule="auto"/>
              <w:rPr>
                <w:bCs/>
                <w:iCs/>
                <w:color w:val="000000" w:themeColor="text1"/>
              </w:rPr>
            </w:pPr>
            <w:r w:rsidRPr="00EE0C8C">
              <w:rPr>
                <w:bCs/>
                <w:iCs/>
                <w:color w:val="000000" w:themeColor="text1"/>
              </w:rPr>
              <w:t xml:space="preserve">Rozwiązanie problematyki wad postawy wśród uczniów. </w:t>
            </w:r>
          </w:p>
          <w:p w:rsidR="00EE0C8C" w:rsidRPr="00EE0C8C" w:rsidRDefault="00EE0C8C" w:rsidP="00EE0C8C">
            <w:pPr>
              <w:spacing w:after="200" w:line="276" w:lineRule="auto"/>
              <w:rPr>
                <w:bCs/>
                <w:iCs/>
                <w:color w:val="000000" w:themeColor="text1"/>
              </w:rPr>
            </w:pPr>
            <w:r w:rsidRPr="00EE0C8C">
              <w:rPr>
                <w:bCs/>
                <w:iCs/>
                <w:color w:val="000000" w:themeColor="text1"/>
              </w:rPr>
              <w:t xml:space="preserve">Stały cykl zajęć gimnastyki korekcyjnej dla dzieci </w:t>
            </w:r>
            <w:r w:rsidRPr="00EE0C8C">
              <w:rPr>
                <w:bCs/>
                <w:iCs/>
                <w:color w:val="000000" w:themeColor="text1"/>
              </w:rPr>
              <w:br/>
              <w:t>i młodzieży.</w:t>
            </w:r>
          </w:p>
          <w:p w:rsidR="00EE0C8C" w:rsidRPr="00EE0C8C" w:rsidRDefault="00EE0C8C" w:rsidP="00EE0C8C">
            <w:pPr>
              <w:spacing w:after="200" w:line="276" w:lineRule="auto"/>
              <w:rPr>
                <w:bCs/>
                <w:iCs/>
                <w:color w:val="000000" w:themeColor="text1"/>
              </w:rPr>
            </w:pPr>
            <w:r w:rsidRPr="00EE0C8C">
              <w:rPr>
                <w:bCs/>
                <w:iCs/>
                <w:color w:val="000000" w:themeColor="text1"/>
              </w:rPr>
              <w:t>Promocja zdrowego stylu życia.</w:t>
            </w:r>
          </w:p>
          <w:p w:rsidR="00EE0C8C" w:rsidRPr="00EE0C8C" w:rsidRDefault="00EE0C8C" w:rsidP="00EE0C8C">
            <w:pPr>
              <w:spacing w:after="200" w:line="276" w:lineRule="auto"/>
              <w:rPr>
                <w:bCs/>
                <w:iCs/>
                <w:color w:val="000000" w:themeColor="text1"/>
              </w:rPr>
            </w:pPr>
            <w:r w:rsidRPr="00EE0C8C">
              <w:rPr>
                <w:bCs/>
                <w:iCs/>
                <w:color w:val="000000" w:themeColor="text1"/>
              </w:rPr>
              <w:t>Profilaktyka prawidłowej postawy ciała i narządu ruchu.</w:t>
            </w:r>
          </w:p>
          <w:p w:rsidR="00EE0C8C" w:rsidRPr="00EE0C8C" w:rsidRDefault="00EE0C8C" w:rsidP="00EE0C8C">
            <w:pPr>
              <w:spacing w:after="200" w:line="276" w:lineRule="auto"/>
              <w:rPr>
                <w:bCs/>
                <w:iCs/>
                <w:color w:val="000000" w:themeColor="text1"/>
              </w:rPr>
            </w:pPr>
          </w:p>
        </w:tc>
        <w:tc>
          <w:tcPr>
            <w:tcW w:w="1883" w:type="dxa"/>
            <w:vMerge w:val="restart"/>
          </w:tcPr>
          <w:p w:rsidR="00EE0C8C" w:rsidRPr="00EE0C8C" w:rsidRDefault="00EE0C8C" w:rsidP="00EE0C8C">
            <w:pPr>
              <w:spacing w:after="200" w:line="276" w:lineRule="auto"/>
              <w:rPr>
                <w:bCs/>
                <w:iCs/>
                <w:color w:val="000000" w:themeColor="text1"/>
              </w:rPr>
            </w:pPr>
            <w:r w:rsidRPr="00EE0C8C">
              <w:rPr>
                <w:bCs/>
                <w:iCs/>
                <w:color w:val="000000" w:themeColor="text1"/>
              </w:rPr>
              <w:t>Gmina Mirzec przy udziale SPZOZ ośrodek zdrowia w Mircu</w:t>
            </w:r>
          </w:p>
          <w:p w:rsidR="00EE0C8C" w:rsidRPr="00EE0C8C" w:rsidRDefault="00EE0C8C" w:rsidP="00EE0C8C">
            <w:pPr>
              <w:spacing w:after="200" w:line="276" w:lineRule="auto"/>
              <w:rPr>
                <w:bCs/>
                <w:iCs/>
                <w:color w:val="000000" w:themeColor="text1"/>
              </w:rPr>
            </w:pPr>
          </w:p>
          <w:p w:rsidR="00EE0C8C" w:rsidRPr="00EE0C8C" w:rsidRDefault="00EE0C8C" w:rsidP="00EE0C8C">
            <w:pPr>
              <w:spacing w:after="200" w:line="276" w:lineRule="auto"/>
              <w:rPr>
                <w:bCs/>
                <w:iCs/>
                <w:color w:val="000000" w:themeColor="text1"/>
              </w:rPr>
            </w:pPr>
          </w:p>
          <w:p w:rsidR="00EE0C8C" w:rsidRPr="00EE0C8C" w:rsidRDefault="00EE0C8C" w:rsidP="00EE0C8C">
            <w:pPr>
              <w:spacing w:after="200" w:line="276" w:lineRule="auto"/>
              <w:rPr>
                <w:bCs/>
                <w:iCs/>
                <w:color w:val="000000" w:themeColor="text1"/>
              </w:rPr>
            </w:pPr>
            <w:r w:rsidRPr="00EE0C8C">
              <w:rPr>
                <w:bCs/>
                <w:iCs/>
                <w:color w:val="000000" w:themeColor="text1"/>
              </w:rPr>
              <w:t>2017-2022</w:t>
            </w:r>
          </w:p>
        </w:tc>
      </w:tr>
      <w:tr w:rsidR="00EE0C8C" w:rsidRPr="00EE0C8C" w:rsidTr="00A76BDB">
        <w:trPr>
          <w:trHeight w:val="452"/>
        </w:trPr>
        <w:tc>
          <w:tcPr>
            <w:tcW w:w="559" w:type="dxa"/>
            <w:vMerge/>
          </w:tcPr>
          <w:p w:rsidR="00EE0C8C" w:rsidRPr="00EE0C8C" w:rsidRDefault="00EE0C8C" w:rsidP="00EE0C8C">
            <w:pPr>
              <w:spacing w:after="200" w:line="276" w:lineRule="auto"/>
              <w:rPr>
                <w:b/>
                <w:bCs/>
                <w:iCs/>
                <w:color w:val="4F81BD" w:themeColor="accent1"/>
                <w:sz w:val="24"/>
                <w:szCs w:val="24"/>
              </w:rPr>
            </w:pPr>
          </w:p>
        </w:tc>
        <w:tc>
          <w:tcPr>
            <w:tcW w:w="2242" w:type="dxa"/>
            <w:vMerge/>
          </w:tcPr>
          <w:p w:rsidR="00EE0C8C" w:rsidRPr="00EE0C8C" w:rsidRDefault="00EE0C8C" w:rsidP="00EE0C8C">
            <w:pPr>
              <w:spacing w:after="200" w:line="276" w:lineRule="auto"/>
              <w:rPr>
                <w:b/>
                <w:bCs/>
                <w:iCs/>
                <w:color w:val="000000" w:themeColor="text1"/>
              </w:rPr>
            </w:pPr>
          </w:p>
        </w:tc>
        <w:tc>
          <w:tcPr>
            <w:tcW w:w="3770" w:type="dxa"/>
            <w:vMerge/>
          </w:tcPr>
          <w:p w:rsidR="00EE0C8C" w:rsidRPr="00EE0C8C" w:rsidRDefault="00EE0C8C" w:rsidP="00EE0C8C">
            <w:pPr>
              <w:spacing w:after="200" w:line="276" w:lineRule="auto"/>
              <w:rPr>
                <w:bCs/>
                <w:iCs/>
                <w:color w:val="000000" w:themeColor="text1"/>
              </w:rPr>
            </w:pPr>
          </w:p>
        </w:tc>
        <w:tc>
          <w:tcPr>
            <w:tcW w:w="2021" w:type="dxa"/>
            <w:vMerge/>
          </w:tcPr>
          <w:p w:rsidR="00EE0C8C" w:rsidRPr="00EE0C8C" w:rsidRDefault="00EE0C8C" w:rsidP="00EE0C8C">
            <w:pPr>
              <w:spacing w:after="200" w:line="276" w:lineRule="auto"/>
              <w:rPr>
                <w:bCs/>
                <w:iCs/>
                <w:color w:val="000000" w:themeColor="text1"/>
              </w:rPr>
            </w:pPr>
          </w:p>
        </w:tc>
        <w:tc>
          <w:tcPr>
            <w:tcW w:w="1583" w:type="dxa"/>
          </w:tcPr>
          <w:p w:rsidR="00EE0C8C" w:rsidRPr="00EE0C8C" w:rsidRDefault="00EE0C8C" w:rsidP="00EE0C8C">
            <w:pPr>
              <w:spacing w:after="200" w:line="276" w:lineRule="auto"/>
              <w:rPr>
                <w:bCs/>
                <w:iCs/>
                <w:color w:val="000000" w:themeColor="text1"/>
              </w:rPr>
            </w:pPr>
            <w:r w:rsidRPr="00EE0C8C">
              <w:rPr>
                <w:b/>
                <w:bCs/>
                <w:iCs/>
                <w:color w:val="000000" w:themeColor="text1"/>
              </w:rPr>
              <w:t>Ok. 125 000 (w okresie realizacji do 2022 r.)</w:t>
            </w:r>
          </w:p>
        </w:tc>
        <w:tc>
          <w:tcPr>
            <w:tcW w:w="3002" w:type="dxa"/>
            <w:vMerge/>
          </w:tcPr>
          <w:p w:rsidR="00EE0C8C" w:rsidRPr="00EE0C8C" w:rsidRDefault="00EE0C8C" w:rsidP="00EE0C8C">
            <w:pPr>
              <w:spacing w:after="200" w:line="276" w:lineRule="auto"/>
              <w:rPr>
                <w:bCs/>
                <w:iCs/>
                <w:color w:val="000000" w:themeColor="text1"/>
              </w:rPr>
            </w:pPr>
          </w:p>
        </w:tc>
        <w:tc>
          <w:tcPr>
            <w:tcW w:w="1883" w:type="dxa"/>
            <w:vMerge/>
          </w:tcPr>
          <w:p w:rsidR="00EE0C8C" w:rsidRPr="00EE0C8C" w:rsidRDefault="00EE0C8C" w:rsidP="00EE0C8C">
            <w:pPr>
              <w:spacing w:after="200" w:line="276" w:lineRule="auto"/>
              <w:rPr>
                <w:bCs/>
                <w:iCs/>
                <w:color w:val="000000" w:themeColor="text1"/>
              </w:rPr>
            </w:pPr>
          </w:p>
        </w:tc>
      </w:tr>
      <w:tr w:rsidR="00EE0C8C" w:rsidRPr="00EE0C8C" w:rsidTr="00A76BDB">
        <w:trPr>
          <w:trHeight w:val="97"/>
        </w:trPr>
        <w:tc>
          <w:tcPr>
            <w:tcW w:w="559" w:type="dxa"/>
          </w:tcPr>
          <w:p w:rsidR="00EE0C8C" w:rsidRPr="00EE0C8C" w:rsidRDefault="00EE0C8C" w:rsidP="00EE0C8C">
            <w:pPr>
              <w:spacing w:after="200" w:line="276" w:lineRule="auto"/>
              <w:rPr>
                <w:b/>
                <w:bCs/>
                <w:iCs/>
                <w:color w:val="4F81BD" w:themeColor="accent1"/>
                <w:sz w:val="24"/>
                <w:szCs w:val="24"/>
              </w:rPr>
            </w:pPr>
            <w:r w:rsidRPr="00EE0C8C">
              <w:rPr>
                <w:b/>
                <w:bCs/>
                <w:iCs/>
                <w:color w:val="4F81BD" w:themeColor="accent1"/>
                <w:sz w:val="24"/>
                <w:szCs w:val="24"/>
              </w:rPr>
              <w:t>2</w:t>
            </w:r>
          </w:p>
        </w:tc>
        <w:tc>
          <w:tcPr>
            <w:tcW w:w="2242" w:type="dxa"/>
          </w:tcPr>
          <w:p w:rsidR="00EE0C8C" w:rsidRPr="00EE0C8C" w:rsidRDefault="00EE0C8C" w:rsidP="00EE0C8C">
            <w:pPr>
              <w:spacing w:after="200" w:line="276" w:lineRule="auto"/>
              <w:rPr>
                <w:b/>
                <w:bCs/>
                <w:iCs/>
                <w:color w:val="000000" w:themeColor="text1"/>
              </w:rPr>
            </w:pPr>
            <w:r w:rsidRPr="00EE0C8C">
              <w:rPr>
                <w:b/>
                <w:bCs/>
                <w:iCs/>
                <w:color w:val="000000" w:themeColor="text1"/>
              </w:rPr>
              <w:t>Młodzieżowa Rada Gminy Mirzec</w:t>
            </w:r>
          </w:p>
        </w:tc>
        <w:tc>
          <w:tcPr>
            <w:tcW w:w="3770" w:type="dxa"/>
          </w:tcPr>
          <w:p w:rsidR="00EE0C8C" w:rsidRPr="00EE0C8C" w:rsidRDefault="00EE0C8C" w:rsidP="00EE0C8C">
            <w:pPr>
              <w:spacing w:after="200" w:line="276" w:lineRule="auto"/>
              <w:rPr>
                <w:bCs/>
                <w:iCs/>
                <w:color w:val="000000" w:themeColor="text1"/>
              </w:rPr>
            </w:pPr>
            <w:r w:rsidRPr="00EE0C8C">
              <w:rPr>
                <w:bCs/>
                <w:iCs/>
                <w:color w:val="000000" w:themeColor="text1"/>
              </w:rPr>
              <w:t xml:space="preserve">Powstanie młodzieżowej Rady Gminy Mirzec. Osoby w wieku przedprodukcyjnym (ok. 15 osób) </w:t>
            </w:r>
            <w:r w:rsidRPr="00EE0C8C">
              <w:rPr>
                <w:bCs/>
                <w:iCs/>
                <w:color w:val="000000" w:themeColor="text1"/>
              </w:rPr>
              <w:br/>
              <w:t>z terenu gminy Mirzec. Preferowana siedziba – zespół szkół w Mircu, preferowane sesje MRG – sala posiedzeń Urzędu Gminy w Mircu.</w:t>
            </w:r>
          </w:p>
        </w:tc>
        <w:tc>
          <w:tcPr>
            <w:tcW w:w="2021" w:type="dxa"/>
          </w:tcPr>
          <w:p w:rsidR="00EE0C8C" w:rsidRPr="00EE0C8C" w:rsidRDefault="00EE0C8C" w:rsidP="00EE0C8C">
            <w:pPr>
              <w:spacing w:after="200" w:line="276" w:lineRule="auto"/>
              <w:rPr>
                <w:bCs/>
                <w:iCs/>
                <w:color w:val="000000" w:themeColor="text1"/>
              </w:rPr>
            </w:pPr>
            <w:r w:rsidRPr="00EE0C8C">
              <w:rPr>
                <w:bCs/>
                <w:iCs/>
                <w:color w:val="000000" w:themeColor="text1"/>
              </w:rPr>
              <w:t xml:space="preserve">Zespół Szkół </w:t>
            </w:r>
            <w:r w:rsidRPr="00EE0C8C">
              <w:rPr>
                <w:bCs/>
                <w:iCs/>
                <w:color w:val="000000" w:themeColor="text1"/>
              </w:rPr>
              <w:br/>
              <w:t>w Mircu</w:t>
            </w:r>
          </w:p>
          <w:p w:rsidR="00EE0C8C" w:rsidRPr="00EE0C8C" w:rsidRDefault="00EE0C8C" w:rsidP="00EE0C8C">
            <w:pPr>
              <w:spacing w:after="200" w:line="276" w:lineRule="auto"/>
              <w:rPr>
                <w:bCs/>
                <w:iCs/>
                <w:color w:val="000000" w:themeColor="text1"/>
              </w:rPr>
            </w:pPr>
            <w:r w:rsidRPr="00EE0C8C">
              <w:rPr>
                <w:bCs/>
                <w:iCs/>
                <w:color w:val="000000" w:themeColor="text1"/>
              </w:rPr>
              <w:t xml:space="preserve">Urząd Gminy </w:t>
            </w:r>
            <w:r w:rsidRPr="00EE0C8C">
              <w:rPr>
                <w:bCs/>
                <w:iCs/>
                <w:color w:val="000000" w:themeColor="text1"/>
              </w:rPr>
              <w:br/>
              <w:t>w Mircu</w:t>
            </w:r>
          </w:p>
        </w:tc>
        <w:tc>
          <w:tcPr>
            <w:tcW w:w="1583" w:type="dxa"/>
          </w:tcPr>
          <w:p w:rsidR="00EE0C8C" w:rsidRPr="00EE0C8C" w:rsidRDefault="00EE0C8C" w:rsidP="00EE0C8C">
            <w:pPr>
              <w:spacing w:after="200" w:line="276" w:lineRule="auto"/>
              <w:rPr>
                <w:b/>
                <w:bCs/>
                <w:iCs/>
                <w:color w:val="000000" w:themeColor="text1"/>
              </w:rPr>
            </w:pPr>
            <w:r w:rsidRPr="00EE0C8C">
              <w:rPr>
                <w:b/>
                <w:bCs/>
                <w:iCs/>
                <w:color w:val="000000" w:themeColor="text1"/>
              </w:rPr>
              <w:t>3 600</w:t>
            </w:r>
          </w:p>
        </w:tc>
        <w:tc>
          <w:tcPr>
            <w:tcW w:w="3002" w:type="dxa"/>
          </w:tcPr>
          <w:p w:rsidR="00EE0C8C" w:rsidRPr="00EE0C8C" w:rsidRDefault="00EE0C8C" w:rsidP="00EE0C8C">
            <w:pPr>
              <w:spacing w:after="200" w:line="276" w:lineRule="auto"/>
              <w:rPr>
                <w:bCs/>
                <w:iCs/>
                <w:color w:val="000000" w:themeColor="text1"/>
              </w:rPr>
            </w:pPr>
            <w:r w:rsidRPr="00EE0C8C">
              <w:rPr>
                <w:bCs/>
                <w:iCs/>
                <w:color w:val="000000" w:themeColor="text1"/>
              </w:rPr>
              <w:t xml:space="preserve">Promowaniem idei działań samorządu terytorialnego aktywizacja młodzieży w życiu publicznym podejmowane wielu spraw dotyczących potrzeb i aspiracji młodzieży z tereny gminy Mirzec. </w:t>
            </w:r>
          </w:p>
          <w:p w:rsidR="00EE0C8C" w:rsidRPr="00EE0C8C" w:rsidRDefault="00EE0C8C" w:rsidP="00EE0C8C">
            <w:pPr>
              <w:spacing w:after="200" w:line="276" w:lineRule="auto"/>
              <w:rPr>
                <w:bCs/>
                <w:iCs/>
                <w:color w:val="000000" w:themeColor="text1"/>
              </w:rPr>
            </w:pPr>
            <w:r w:rsidRPr="00EE0C8C">
              <w:rPr>
                <w:bCs/>
                <w:iCs/>
                <w:color w:val="000000" w:themeColor="text1"/>
              </w:rPr>
              <w:t xml:space="preserve">Opiniowanie w wielu sprawach życia wiejskiego dotyczącego </w:t>
            </w:r>
            <w:r w:rsidRPr="00EE0C8C">
              <w:rPr>
                <w:bCs/>
                <w:iCs/>
                <w:color w:val="000000" w:themeColor="text1"/>
              </w:rPr>
              <w:lastRenderedPageBreak/>
              <w:t>młodzieży wobec Rady Gminy w Mircu i wójta gminy Mirzec.</w:t>
            </w:r>
          </w:p>
          <w:p w:rsidR="00EE0C8C" w:rsidRPr="00EE0C8C" w:rsidRDefault="00EE0C8C" w:rsidP="00EE0C8C">
            <w:pPr>
              <w:spacing w:after="200" w:line="276" w:lineRule="auto"/>
              <w:rPr>
                <w:bCs/>
                <w:iCs/>
                <w:color w:val="000000" w:themeColor="text1"/>
              </w:rPr>
            </w:pPr>
            <w:r w:rsidRPr="00EE0C8C">
              <w:rPr>
                <w:bCs/>
                <w:iCs/>
                <w:color w:val="000000" w:themeColor="text1"/>
              </w:rPr>
              <w:t>Umożliwienie młodzieży udziału w życiu publicznym, społecznym, kulturalnym i politycznym na równi z innymi grupami społecznymi.</w:t>
            </w:r>
          </w:p>
        </w:tc>
        <w:tc>
          <w:tcPr>
            <w:tcW w:w="1883" w:type="dxa"/>
          </w:tcPr>
          <w:p w:rsidR="00EE0C8C" w:rsidRPr="00EE0C8C" w:rsidRDefault="00EE0C8C" w:rsidP="00EE0C8C">
            <w:pPr>
              <w:spacing w:after="200" w:line="276" w:lineRule="auto"/>
              <w:rPr>
                <w:bCs/>
                <w:iCs/>
                <w:color w:val="000000" w:themeColor="text1"/>
              </w:rPr>
            </w:pPr>
            <w:r w:rsidRPr="00EE0C8C">
              <w:rPr>
                <w:bCs/>
                <w:iCs/>
                <w:color w:val="000000" w:themeColor="text1"/>
              </w:rPr>
              <w:lastRenderedPageBreak/>
              <w:t>Wójt Gminy Mirzec</w:t>
            </w:r>
          </w:p>
          <w:p w:rsidR="00EE0C8C" w:rsidRPr="00EE0C8C" w:rsidRDefault="00EE0C8C" w:rsidP="00EE0C8C">
            <w:pPr>
              <w:spacing w:after="200" w:line="276" w:lineRule="auto"/>
              <w:rPr>
                <w:bCs/>
                <w:iCs/>
                <w:color w:val="000000" w:themeColor="text1"/>
              </w:rPr>
            </w:pPr>
          </w:p>
          <w:p w:rsidR="00EE0C8C" w:rsidRPr="00EE0C8C" w:rsidRDefault="00EE0C8C" w:rsidP="00EE0C8C">
            <w:pPr>
              <w:spacing w:after="200" w:line="276" w:lineRule="auto"/>
              <w:rPr>
                <w:bCs/>
                <w:iCs/>
                <w:color w:val="000000" w:themeColor="text1"/>
              </w:rPr>
            </w:pPr>
            <w:r w:rsidRPr="00EE0C8C">
              <w:rPr>
                <w:bCs/>
                <w:iCs/>
                <w:color w:val="000000" w:themeColor="text1"/>
              </w:rPr>
              <w:t>Od 2016r.</w:t>
            </w:r>
          </w:p>
        </w:tc>
      </w:tr>
      <w:tr w:rsidR="00EE0C8C" w:rsidRPr="00EE0C8C" w:rsidTr="00A76BDB">
        <w:trPr>
          <w:trHeight w:val="97"/>
        </w:trPr>
        <w:tc>
          <w:tcPr>
            <w:tcW w:w="559" w:type="dxa"/>
          </w:tcPr>
          <w:p w:rsidR="00EE0C8C" w:rsidRPr="00EE0C8C" w:rsidRDefault="00EE0C8C" w:rsidP="00EE0C8C">
            <w:pPr>
              <w:spacing w:after="200" w:line="276" w:lineRule="auto"/>
              <w:rPr>
                <w:b/>
                <w:bCs/>
                <w:iCs/>
                <w:color w:val="4F81BD" w:themeColor="accent1"/>
                <w:sz w:val="24"/>
                <w:szCs w:val="24"/>
              </w:rPr>
            </w:pPr>
            <w:r w:rsidRPr="00EE0C8C">
              <w:rPr>
                <w:b/>
                <w:bCs/>
                <w:iCs/>
                <w:color w:val="4F81BD" w:themeColor="accent1"/>
                <w:sz w:val="24"/>
                <w:szCs w:val="24"/>
              </w:rPr>
              <w:lastRenderedPageBreak/>
              <w:t>3</w:t>
            </w:r>
          </w:p>
        </w:tc>
        <w:tc>
          <w:tcPr>
            <w:tcW w:w="2242" w:type="dxa"/>
          </w:tcPr>
          <w:p w:rsidR="00EE0C8C" w:rsidRPr="00EE0C8C" w:rsidRDefault="00EE0C8C" w:rsidP="00EE0C8C">
            <w:pPr>
              <w:spacing w:before="100" w:beforeAutospacing="1" w:after="200" w:line="276" w:lineRule="auto"/>
              <w:rPr>
                <w:rFonts w:eastAsia="Times New Roman" w:cs="Times New Roman"/>
                <w:lang w:eastAsia="pl-PL"/>
              </w:rPr>
            </w:pPr>
            <w:r w:rsidRPr="00EE0C8C">
              <w:rPr>
                <w:rFonts w:eastAsia="Times New Roman" w:cs="Times New Roman"/>
                <w:b/>
                <w:bCs/>
                <w:lang w:eastAsia="pl-PL"/>
              </w:rPr>
              <w:t>Wspólna Sprawa</w:t>
            </w:r>
          </w:p>
          <w:p w:rsidR="00EE0C8C" w:rsidRPr="00EE0C8C" w:rsidRDefault="00EE0C8C" w:rsidP="00EE0C8C">
            <w:pPr>
              <w:spacing w:before="100" w:beforeAutospacing="1" w:after="200" w:line="276" w:lineRule="auto"/>
              <w:rPr>
                <w:rFonts w:eastAsia="Times New Roman" w:cs="Times New Roman"/>
                <w:lang w:eastAsia="pl-PL"/>
              </w:rPr>
            </w:pPr>
          </w:p>
          <w:p w:rsidR="00EE0C8C" w:rsidRPr="00EE0C8C" w:rsidRDefault="00EE0C8C" w:rsidP="00EE0C8C">
            <w:pPr>
              <w:spacing w:before="100" w:beforeAutospacing="1" w:after="119" w:line="276" w:lineRule="auto"/>
              <w:rPr>
                <w:rFonts w:eastAsia="Times New Roman" w:cs="Times New Roman"/>
                <w:lang w:eastAsia="pl-PL"/>
              </w:rPr>
            </w:pPr>
          </w:p>
        </w:tc>
        <w:tc>
          <w:tcPr>
            <w:tcW w:w="3770" w:type="dxa"/>
          </w:tcPr>
          <w:p w:rsidR="00EE0C8C" w:rsidRPr="00EE0C8C" w:rsidRDefault="00EE0C8C" w:rsidP="00EE0C8C">
            <w:pPr>
              <w:spacing w:before="100" w:beforeAutospacing="1" w:after="200" w:line="276" w:lineRule="auto"/>
              <w:rPr>
                <w:rFonts w:eastAsia="Times New Roman" w:cs="Times New Roman"/>
                <w:lang w:eastAsia="pl-PL"/>
              </w:rPr>
            </w:pPr>
            <w:r w:rsidRPr="00EE0C8C">
              <w:rPr>
                <w:rFonts w:eastAsia="Times New Roman" w:cs="Times New Roman"/>
                <w:color w:val="000000"/>
                <w:lang w:eastAsia="pl-PL"/>
              </w:rPr>
              <w:t xml:space="preserve">Zakres rzeczowy wsparcia na rzecz prawidłowego funkcjonowania rodziny w Gminie Mirzec w skład którego wchodzą : </w:t>
            </w:r>
          </w:p>
          <w:p w:rsidR="00EE0C8C" w:rsidRPr="00EE0C8C" w:rsidRDefault="00EE0C8C" w:rsidP="00EE0C8C">
            <w:pPr>
              <w:spacing w:before="100" w:beforeAutospacing="1" w:after="200" w:line="276" w:lineRule="auto"/>
              <w:rPr>
                <w:rFonts w:eastAsia="Times New Roman" w:cs="Times New Roman"/>
                <w:lang w:eastAsia="pl-PL"/>
              </w:rPr>
            </w:pPr>
            <w:r w:rsidRPr="00EE0C8C">
              <w:rPr>
                <w:rFonts w:eastAsia="Times New Roman" w:cs="Times New Roman"/>
                <w:color w:val="000000"/>
                <w:lang w:eastAsia="pl-PL"/>
              </w:rPr>
              <w:t xml:space="preserve">- </w:t>
            </w:r>
            <w:r w:rsidR="00854CED">
              <w:rPr>
                <w:rFonts w:eastAsia="Times New Roman" w:cs="Times New Roman"/>
                <w:color w:val="000000"/>
                <w:lang w:eastAsia="pl-PL"/>
              </w:rPr>
              <w:t>zatrudnienie psychologa dziecięcego w punkcie konsultacyjnym</w:t>
            </w:r>
          </w:p>
          <w:p w:rsidR="00EE0C8C" w:rsidRPr="00EE0C8C" w:rsidRDefault="00EE0C8C" w:rsidP="00EE0C8C">
            <w:pPr>
              <w:spacing w:before="100" w:beforeAutospacing="1" w:after="200" w:line="276" w:lineRule="auto"/>
              <w:rPr>
                <w:rFonts w:eastAsia="Times New Roman" w:cs="Times New Roman"/>
                <w:lang w:eastAsia="pl-PL"/>
              </w:rPr>
            </w:pPr>
            <w:r w:rsidRPr="00EE0C8C">
              <w:rPr>
                <w:rFonts w:eastAsia="Times New Roman" w:cs="Times New Roman"/>
                <w:color w:val="000000"/>
                <w:lang w:eastAsia="pl-PL"/>
              </w:rPr>
              <w:t xml:space="preserve">- </w:t>
            </w:r>
            <w:r w:rsidR="00854CED">
              <w:rPr>
                <w:rFonts w:eastAsia="Times New Roman" w:cs="Times New Roman"/>
                <w:color w:val="000000"/>
                <w:lang w:eastAsia="pl-PL"/>
              </w:rPr>
              <w:t>porady prawne w ramach punktu konsultacyjnego</w:t>
            </w:r>
          </w:p>
          <w:p w:rsidR="00EE0C8C" w:rsidRPr="00EE0C8C" w:rsidRDefault="00EE0C8C" w:rsidP="00EE0C8C">
            <w:pPr>
              <w:spacing w:before="100" w:beforeAutospacing="1" w:after="200" w:line="276" w:lineRule="auto"/>
              <w:rPr>
                <w:rFonts w:eastAsia="Times New Roman" w:cs="Times New Roman"/>
                <w:lang w:eastAsia="pl-PL"/>
              </w:rPr>
            </w:pPr>
            <w:r w:rsidRPr="00EE0C8C">
              <w:rPr>
                <w:rFonts w:eastAsia="Times New Roman" w:cs="Times New Roman"/>
                <w:color w:val="000000"/>
                <w:lang w:eastAsia="pl-PL"/>
              </w:rPr>
              <w:t xml:space="preserve">- kontynuacja działań w punkcie konsultacyjnym – psycholog ds. uzależnień </w:t>
            </w:r>
          </w:p>
          <w:p w:rsidR="00EE0C8C" w:rsidRPr="00EE0C8C" w:rsidRDefault="00EE0C8C" w:rsidP="00EE0C8C">
            <w:pPr>
              <w:spacing w:before="100" w:beforeAutospacing="1" w:after="200" w:line="276" w:lineRule="auto"/>
              <w:rPr>
                <w:rFonts w:eastAsia="Times New Roman" w:cs="Times New Roman"/>
                <w:lang w:eastAsia="pl-PL"/>
              </w:rPr>
            </w:pPr>
            <w:r w:rsidRPr="00EE0C8C">
              <w:rPr>
                <w:rFonts w:eastAsia="Times New Roman" w:cs="Times New Roman"/>
                <w:color w:val="000000"/>
                <w:lang w:eastAsia="pl-PL"/>
              </w:rPr>
              <w:t xml:space="preserve">-kontynuacja działań w punkcie interwencji kryzysowej – terapeuta ds. przeciwdziałania przemocy </w:t>
            </w:r>
          </w:p>
          <w:p w:rsidR="00EE0C8C" w:rsidRPr="00EE0C8C" w:rsidRDefault="00EE0C8C" w:rsidP="00EE0C8C">
            <w:pPr>
              <w:spacing w:before="100" w:beforeAutospacing="1" w:after="200" w:line="276" w:lineRule="auto"/>
              <w:rPr>
                <w:rFonts w:eastAsia="Times New Roman" w:cs="Times New Roman"/>
                <w:lang w:eastAsia="pl-PL"/>
              </w:rPr>
            </w:pPr>
            <w:r w:rsidRPr="00EE0C8C">
              <w:rPr>
                <w:rFonts w:eastAsia="Times New Roman" w:cs="Times New Roman"/>
                <w:color w:val="000000"/>
                <w:lang w:eastAsia="pl-PL"/>
              </w:rPr>
              <w:t xml:space="preserve">- powstanie grupy wsparcia </w:t>
            </w:r>
            <w:r w:rsidRPr="00EE0C8C">
              <w:rPr>
                <w:rFonts w:eastAsia="Times New Roman" w:cs="Times New Roman"/>
                <w:color w:val="000000"/>
                <w:lang w:eastAsia="pl-PL"/>
              </w:rPr>
              <w:lastRenderedPageBreak/>
              <w:t xml:space="preserve">socjoterapeutycznej dla rodziców </w:t>
            </w:r>
          </w:p>
          <w:p w:rsidR="00EE0C8C" w:rsidRPr="00EE0C8C" w:rsidRDefault="00EE0C8C" w:rsidP="00EE0C8C">
            <w:pPr>
              <w:spacing w:before="100" w:beforeAutospacing="1" w:after="200" w:line="276" w:lineRule="auto"/>
              <w:rPr>
                <w:rFonts w:eastAsia="Times New Roman" w:cs="Times New Roman"/>
                <w:lang w:eastAsia="pl-PL"/>
              </w:rPr>
            </w:pPr>
            <w:r w:rsidRPr="00EE0C8C">
              <w:rPr>
                <w:rFonts w:eastAsia="Times New Roman" w:cs="Times New Roman"/>
                <w:color w:val="000000"/>
                <w:lang w:eastAsia="pl-PL"/>
              </w:rPr>
              <w:t xml:space="preserve">-prowadzenie warsztatów dla dzieci i rodziców </w:t>
            </w:r>
          </w:p>
        </w:tc>
        <w:tc>
          <w:tcPr>
            <w:tcW w:w="2021" w:type="dxa"/>
          </w:tcPr>
          <w:p w:rsidR="00EE0C8C" w:rsidRPr="00EE0C8C" w:rsidRDefault="00EE0C8C" w:rsidP="00EE0C8C">
            <w:pPr>
              <w:spacing w:before="100" w:beforeAutospacing="1" w:after="119" w:line="276" w:lineRule="auto"/>
              <w:rPr>
                <w:rFonts w:eastAsia="Times New Roman" w:cs="Times New Roman"/>
                <w:lang w:eastAsia="pl-PL"/>
              </w:rPr>
            </w:pPr>
            <w:r w:rsidRPr="00EE0C8C">
              <w:rPr>
                <w:rFonts w:eastAsia="Times New Roman" w:cs="Times New Roman"/>
                <w:lang w:eastAsia="pl-PL"/>
              </w:rPr>
              <w:lastRenderedPageBreak/>
              <w:t xml:space="preserve">Obszar zdegradowany gminy Mirzec </w:t>
            </w:r>
          </w:p>
        </w:tc>
        <w:tc>
          <w:tcPr>
            <w:tcW w:w="1583" w:type="dxa"/>
          </w:tcPr>
          <w:p w:rsidR="00EE0C8C" w:rsidRPr="00EE0C8C" w:rsidRDefault="00EE0C8C" w:rsidP="00EE0C8C">
            <w:pPr>
              <w:spacing w:before="100" w:beforeAutospacing="1" w:after="119" w:line="276" w:lineRule="auto"/>
              <w:rPr>
                <w:rFonts w:eastAsia="Times New Roman" w:cs="Times New Roman"/>
                <w:b/>
                <w:lang w:eastAsia="pl-PL"/>
              </w:rPr>
            </w:pPr>
            <w:r w:rsidRPr="00EE0C8C">
              <w:rPr>
                <w:rFonts w:eastAsia="Times New Roman" w:cs="Times New Roman"/>
                <w:b/>
                <w:bCs/>
                <w:lang w:eastAsia="pl-PL"/>
              </w:rPr>
              <w:t>140 000</w:t>
            </w:r>
          </w:p>
        </w:tc>
        <w:tc>
          <w:tcPr>
            <w:tcW w:w="3002" w:type="dxa"/>
          </w:tcPr>
          <w:p w:rsidR="00EE0C8C" w:rsidRPr="00EE0C8C" w:rsidRDefault="00EE0C8C" w:rsidP="00EE0C8C">
            <w:pPr>
              <w:spacing w:before="100" w:beforeAutospacing="1" w:after="200" w:line="276" w:lineRule="auto"/>
              <w:rPr>
                <w:rFonts w:eastAsia="Times New Roman" w:cs="Times New Roman"/>
                <w:lang w:eastAsia="pl-PL"/>
              </w:rPr>
            </w:pPr>
            <w:r w:rsidRPr="00EE0C8C">
              <w:rPr>
                <w:rFonts w:eastAsia="Times New Roman" w:cs="Times New Roman"/>
                <w:lang w:eastAsia="pl-PL"/>
              </w:rPr>
              <w:t>-Zwiększenie dostępności do usług Społecznych typu: pracownik</w:t>
            </w:r>
            <w:r w:rsidR="00854CED">
              <w:rPr>
                <w:rFonts w:eastAsia="Times New Roman" w:cs="Times New Roman"/>
                <w:lang w:eastAsia="pl-PL"/>
              </w:rPr>
              <w:t xml:space="preserve"> socjalny</w:t>
            </w:r>
            <w:r w:rsidRPr="00EE0C8C">
              <w:rPr>
                <w:rFonts w:eastAsia="Times New Roman" w:cs="Times New Roman"/>
                <w:lang w:eastAsia="pl-PL"/>
              </w:rPr>
              <w:t xml:space="preserve">, psycholog ds. uzależnień , psycholog dziecięcy , terapeuta ds. przemocy </w:t>
            </w:r>
          </w:p>
          <w:p w:rsidR="00EE0C8C" w:rsidRPr="00EE0C8C" w:rsidRDefault="00EE0C8C" w:rsidP="00EE0C8C">
            <w:pPr>
              <w:spacing w:before="100" w:beforeAutospacing="1" w:after="119" w:line="276" w:lineRule="auto"/>
              <w:rPr>
                <w:rFonts w:eastAsia="Times New Roman" w:cs="Times New Roman"/>
                <w:lang w:eastAsia="pl-PL"/>
              </w:rPr>
            </w:pPr>
            <w:r w:rsidRPr="00EE0C8C">
              <w:rPr>
                <w:rFonts w:eastAsia="Times New Roman" w:cs="Times New Roman"/>
                <w:lang w:eastAsia="pl-PL"/>
              </w:rPr>
              <w:t xml:space="preserve">-Realizacja zapisów ustawy o wspieraniu rodziny i </w:t>
            </w:r>
            <w:r w:rsidR="00854CED">
              <w:rPr>
                <w:rFonts w:eastAsia="Times New Roman" w:cs="Times New Roman"/>
                <w:lang w:eastAsia="pl-PL"/>
              </w:rPr>
              <w:t xml:space="preserve">systemie pieczy zastępczej oraz </w:t>
            </w:r>
            <w:r w:rsidRPr="00EE0C8C">
              <w:rPr>
                <w:rFonts w:eastAsia="Times New Roman" w:cs="Times New Roman"/>
                <w:lang w:eastAsia="pl-PL"/>
              </w:rPr>
              <w:t xml:space="preserve">przeciwdziałaniu przemocy </w:t>
            </w:r>
            <w:r w:rsidR="00854CED">
              <w:rPr>
                <w:rFonts w:eastAsia="Times New Roman" w:cs="Times New Roman"/>
                <w:lang w:eastAsia="pl-PL"/>
              </w:rPr>
              <w:t>w rodzinie.</w:t>
            </w:r>
          </w:p>
        </w:tc>
        <w:tc>
          <w:tcPr>
            <w:tcW w:w="1883" w:type="dxa"/>
          </w:tcPr>
          <w:p w:rsidR="00EE0C8C" w:rsidRPr="00EE0C8C" w:rsidRDefault="00EE0C8C" w:rsidP="00EE0C8C">
            <w:pPr>
              <w:spacing w:before="100" w:beforeAutospacing="1" w:after="200" w:line="276" w:lineRule="auto"/>
              <w:rPr>
                <w:rFonts w:eastAsia="Times New Roman" w:cs="Times New Roman"/>
                <w:lang w:eastAsia="pl-PL"/>
              </w:rPr>
            </w:pPr>
            <w:r w:rsidRPr="00EE0C8C">
              <w:rPr>
                <w:rFonts w:eastAsia="Times New Roman" w:cs="Times New Roman"/>
                <w:lang w:eastAsia="pl-PL"/>
              </w:rPr>
              <w:t>GOPS Mirzec</w:t>
            </w:r>
          </w:p>
          <w:p w:rsidR="00EE0C8C" w:rsidRPr="00EE0C8C" w:rsidRDefault="00EE0C8C" w:rsidP="00EE0C8C">
            <w:pPr>
              <w:spacing w:before="100" w:beforeAutospacing="1" w:after="200" w:line="276" w:lineRule="auto"/>
              <w:rPr>
                <w:rFonts w:eastAsia="Times New Roman" w:cs="Times New Roman"/>
                <w:lang w:eastAsia="pl-PL"/>
              </w:rPr>
            </w:pPr>
          </w:p>
          <w:p w:rsidR="00EE0C8C" w:rsidRPr="00EE0C8C" w:rsidRDefault="00EE0C8C" w:rsidP="00EE0C8C">
            <w:pPr>
              <w:spacing w:before="100" w:beforeAutospacing="1" w:after="119" w:line="276" w:lineRule="auto"/>
              <w:rPr>
                <w:rFonts w:eastAsia="Times New Roman" w:cs="Times New Roman"/>
                <w:lang w:eastAsia="pl-PL"/>
              </w:rPr>
            </w:pPr>
            <w:r w:rsidRPr="00EE0C8C">
              <w:rPr>
                <w:rFonts w:eastAsia="Times New Roman" w:cs="Times New Roman"/>
                <w:lang w:eastAsia="pl-PL"/>
              </w:rPr>
              <w:t>2016-2018</w:t>
            </w:r>
          </w:p>
        </w:tc>
      </w:tr>
      <w:tr w:rsidR="00EE0C8C" w:rsidRPr="00EE0C8C" w:rsidTr="00A76BDB">
        <w:trPr>
          <w:trHeight w:val="97"/>
        </w:trPr>
        <w:tc>
          <w:tcPr>
            <w:tcW w:w="559" w:type="dxa"/>
          </w:tcPr>
          <w:p w:rsidR="00EE0C8C" w:rsidRPr="00EE0C8C" w:rsidRDefault="00EE0C8C" w:rsidP="00EE0C8C">
            <w:pPr>
              <w:spacing w:after="200" w:line="276" w:lineRule="auto"/>
              <w:rPr>
                <w:b/>
                <w:bCs/>
                <w:iCs/>
                <w:color w:val="4F81BD" w:themeColor="accent1"/>
                <w:sz w:val="24"/>
                <w:szCs w:val="24"/>
              </w:rPr>
            </w:pPr>
            <w:r w:rsidRPr="00EE0C8C">
              <w:rPr>
                <w:b/>
                <w:bCs/>
                <w:iCs/>
                <w:color w:val="4F81BD" w:themeColor="accent1"/>
                <w:sz w:val="24"/>
                <w:szCs w:val="24"/>
              </w:rPr>
              <w:lastRenderedPageBreak/>
              <w:t>4</w:t>
            </w:r>
          </w:p>
        </w:tc>
        <w:tc>
          <w:tcPr>
            <w:tcW w:w="2242" w:type="dxa"/>
          </w:tcPr>
          <w:p w:rsidR="00EE0C8C" w:rsidRPr="00EE0C8C" w:rsidRDefault="00EE0C8C" w:rsidP="00EE0C8C">
            <w:pPr>
              <w:spacing w:after="200" w:line="276" w:lineRule="auto"/>
              <w:rPr>
                <w:b/>
                <w:bCs/>
                <w:iCs/>
                <w:color w:val="000000" w:themeColor="text1"/>
              </w:rPr>
            </w:pPr>
            <w:r w:rsidRPr="00EE0C8C">
              <w:rPr>
                <w:b/>
                <w:bCs/>
                <w:iCs/>
                <w:color w:val="000000" w:themeColor="text1"/>
              </w:rPr>
              <w:t>Aktywizacja zawodowa w stosunku do osób sektora branży kamienia i usługi betoniarskie</w:t>
            </w:r>
          </w:p>
        </w:tc>
        <w:tc>
          <w:tcPr>
            <w:tcW w:w="3770" w:type="dxa"/>
          </w:tcPr>
          <w:p w:rsidR="00EE0C8C" w:rsidRPr="00EE0C8C" w:rsidRDefault="00EE0C8C" w:rsidP="00EE0C8C">
            <w:pPr>
              <w:spacing w:after="200" w:line="276" w:lineRule="auto"/>
              <w:rPr>
                <w:bCs/>
                <w:iCs/>
                <w:color w:val="000000" w:themeColor="text1"/>
              </w:rPr>
            </w:pPr>
            <w:r w:rsidRPr="00EE0C8C">
              <w:rPr>
                <w:bCs/>
                <w:iCs/>
                <w:color w:val="000000" w:themeColor="text1"/>
              </w:rPr>
              <w:t>Rozbudowa i modernizacja firmy Zakład Betoniarski (osoby w wieku 25-50 lat):</w:t>
            </w:r>
          </w:p>
          <w:p w:rsidR="00EE0C8C" w:rsidRPr="00EE0C8C" w:rsidRDefault="00EE0C8C" w:rsidP="00EE0C8C">
            <w:pPr>
              <w:spacing w:after="200" w:line="276" w:lineRule="auto"/>
              <w:rPr>
                <w:bCs/>
                <w:iCs/>
                <w:color w:val="000000" w:themeColor="text1"/>
              </w:rPr>
            </w:pPr>
            <w:r w:rsidRPr="00EE0C8C">
              <w:rPr>
                <w:bCs/>
                <w:iCs/>
                <w:color w:val="000000" w:themeColor="text1"/>
              </w:rPr>
              <w:t>- Przeszkolenie pracowników</w:t>
            </w:r>
          </w:p>
          <w:p w:rsidR="00EE0C8C" w:rsidRPr="00EE0C8C" w:rsidRDefault="00EE0C8C" w:rsidP="00EE0C8C">
            <w:pPr>
              <w:spacing w:after="200" w:line="276" w:lineRule="auto"/>
              <w:rPr>
                <w:bCs/>
                <w:iCs/>
                <w:color w:val="000000" w:themeColor="text1"/>
              </w:rPr>
            </w:pPr>
            <w:r w:rsidRPr="00EE0C8C">
              <w:rPr>
                <w:bCs/>
                <w:iCs/>
                <w:color w:val="000000" w:themeColor="text1"/>
              </w:rPr>
              <w:t>- Aktywizacja pracownicza</w:t>
            </w:r>
          </w:p>
          <w:p w:rsidR="00EE0C8C" w:rsidRPr="00EE0C8C" w:rsidRDefault="00EE0C8C" w:rsidP="00EE0C8C">
            <w:pPr>
              <w:spacing w:after="200" w:line="276" w:lineRule="auto"/>
              <w:rPr>
                <w:bCs/>
                <w:iCs/>
                <w:color w:val="000000" w:themeColor="text1"/>
              </w:rPr>
            </w:pPr>
            <w:r w:rsidRPr="00EE0C8C">
              <w:rPr>
                <w:bCs/>
                <w:iCs/>
                <w:color w:val="000000" w:themeColor="text1"/>
              </w:rPr>
              <w:t>- Stworzenie miejsc pracy (czterech pracowników)</w:t>
            </w:r>
          </w:p>
        </w:tc>
        <w:tc>
          <w:tcPr>
            <w:tcW w:w="2021" w:type="dxa"/>
          </w:tcPr>
          <w:p w:rsidR="00EE0C8C" w:rsidRPr="00EE0C8C" w:rsidRDefault="00EE0C8C" w:rsidP="00EE0C8C">
            <w:pPr>
              <w:spacing w:after="200" w:line="276" w:lineRule="auto"/>
              <w:rPr>
                <w:bCs/>
                <w:iCs/>
                <w:color w:val="000000" w:themeColor="text1"/>
              </w:rPr>
            </w:pPr>
            <w:r w:rsidRPr="00EE0C8C">
              <w:rPr>
                <w:bCs/>
                <w:iCs/>
                <w:color w:val="000000" w:themeColor="text1"/>
              </w:rPr>
              <w:t>Mirzec Stary 4 a</w:t>
            </w:r>
          </w:p>
        </w:tc>
        <w:tc>
          <w:tcPr>
            <w:tcW w:w="1583" w:type="dxa"/>
          </w:tcPr>
          <w:p w:rsidR="00EE0C8C" w:rsidRPr="00EE0C8C" w:rsidRDefault="00EE0C8C" w:rsidP="00EE0C8C">
            <w:pPr>
              <w:spacing w:after="200" w:line="276" w:lineRule="auto"/>
              <w:rPr>
                <w:b/>
                <w:bCs/>
                <w:iCs/>
                <w:color w:val="000000" w:themeColor="text1"/>
              </w:rPr>
            </w:pPr>
            <w:r w:rsidRPr="00EE0C8C">
              <w:rPr>
                <w:b/>
                <w:bCs/>
                <w:iCs/>
                <w:color w:val="000000" w:themeColor="text1"/>
              </w:rPr>
              <w:t>100 000</w:t>
            </w:r>
          </w:p>
        </w:tc>
        <w:tc>
          <w:tcPr>
            <w:tcW w:w="3002" w:type="dxa"/>
          </w:tcPr>
          <w:p w:rsidR="00EE0C8C" w:rsidRPr="00EE0C8C" w:rsidRDefault="00EE0C8C" w:rsidP="00EE0C8C">
            <w:pPr>
              <w:spacing w:after="200" w:line="276" w:lineRule="auto"/>
              <w:rPr>
                <w:bCs/>
                <w:iCs/>
                <w:color w:val="000000" w:themeColor="text1"/>
              </w:rPr>
            </w:pPr>
            <w:r w:rsidRPr="00EE0C8C">
              <w:rPr>
                <w:bCs/>
                <w:iCs/>
                <w:color w:val="000000" w:themeColor="text1"/>
              </w:rPr>
              <w:t>Przeciw działaniu bezrobociu</w:t>
            </w:r>
          </w:p>
          <w:p w:rsidR="00EE0C8C" w:rsidRPr="00EE0C8C" w:rsidRDefault="00EE0C8C" w:rsidP="00EE0C8C">
            <w:pPr>
              <w:spacing w:after="200" w:line="276" w:lineRule="auto"/>
              <w:rPr>
                <w:bCs/>
                <w:iCs/>
                <w:color w:val="000000" w:themeColor="text1"/>
              </w:rPr>
            </w:pPr>
            <w:r w:rsidRPr="00EE0C8C">
              <w:rPr>
                <w:bCs/>
                <w:iCs/>
                <w:color w:val="000000" w:themeColor="text1"/>
              </w:rPr>
              <w:t>Powstanie nowych stanowisk miejsc pracy</w:t>
            </w:r>
          </w:p>
        </w:tc>
        <w:tc>
          <w:tcPr>
            <w:tcW w:w="1883" w:type="dxa"/>
          </w:tcPr>
          <w:p w:rsidR="00EE0C8C" w:rsidRPr="00EE0C8C" w:rsidRDefault="00EE0C8C" w:rsidP="00EE0C8C">
            <w:pPr>
              <w:spacing w:after="200" w:line="276" w:lineRule="auto"/>
              <w:rPr>
                <w:bCs/>
                <w:iCs/>
                <w:color w:val="000000" w:themeColor="text1"/>
              </w:rPr>
            </w:pPr>
            <w:r w:rsidRPr="00EE0C8C">
              <w:rPr>
                <w:bCs/>
                <w:iCs/>
                <w:color w:val="000000" w:themeColor="text1"/>
              </w:rPr>
              <w:t>Zakład Betoniarski Czesław Dudek</w:t>
            </w:r>
          </w:p>
        </w:tc>
      </w:tr>
      <w:tr w:rsidR="00EE0C8C" w:rsidRPr="00EE0C8C" w:rsidTr="00A76BDB">
        <w:trPr>
          <w:trHeight w:val="97"/>
        </w:trPr>
        <w:tc>
          <w:tcPr>
            <w:tcW w:w="559" w:type="dxa"/>
          </w:tcPr>
          <w:p w:rsidR="00EE0C8C" w:rsidRPr="00EE0C8C" w:rsidRDefault="00EE0C8C" w:rsidP="00EE0C8C">
            <w:pPr>
              <w:spacing w:after="200" w:line="276" w:lineRule="auto"/>
              <w:rPr>
                <w:b/>
                <w:bCs/>
                <w:iCs/>
                <w:color w:val="4F81BD" w:themeColor="accent1"/>
                <w:sz w:val="24"/>
                <w:szCs w:val="24"/>
              </w:rPr>
            </w:pPr>
            <w:r w:rsidRPr="00EE0C8C">
              <w:rPr>
                <w:b/>
                <w:bCs/>
                <w:iCs/>
                <w:color w:val="4F81BD" w:themeColor="accent1"/>
                <w:sz w:val="24"/>
                <w:szCs w:val="24"/>
              </w:rPr>
              <w:t>5</w:t>
            </w:r>
          </w:p>
        </w:tc>
        <w:tc>
          <w:tcPr>
            <w:tcW w:w="2242" w:type="dxa"/>
          </w:tcPr>
          <w:p w:rsidR="00EE0C8C" w:rsidRPr="00EE0C8C" w:rsidRDefault="00EE0C8C" w:rsidP="00EE0C8C">
            <w:pPr>
              <w:spacing w:after="200" w:line="276" w:lineRule="auto"/>
              <w:rPr>
                <w:b/>
                <w:bCs/>
                <w:iCs/>
                <w:color w:val="000000" w:themeColor="text1"/>
              </w:rPr>
            </w:pPr>
            <w:r w:rsidRPr="00EE0C8C">
              <w:rPr>
                <w:b/>
                <w:bCs/>
                <w:iCs/>
                <w:color w:val="000000" w:themeColor="text1"/>
              </w:rPr>
              <w:t>Zatrudnienie 1 osoby</w:t>
            </w:r>
          </w:p>
        </w:tc>
        <w:tc>
          <w:tcPr>
            <w:tcW w:w="3770" w:type="dxa"/>
          </w:tcPr>
          <w:p w:rsidR="00EE0C8C" w:rsidRPr="00EE0C8C" w:rsidRDefault="00EE0C8C" w:rsidP="00EE0C8C">
            <w:pPr>
              <w:spacing w:after="200" w:line="276" w:lineRule="auto"/>
              <w:rPr>
                <w:bCs/>
                <w:iCs/>
                <w:color w:val="000000" w:themeColor="text1"/>
              </w:rPr>
            </w:pPr>
            <w:r w:rsidRPr="00EE0C8C">
              <w:rPr>
                <w:bCs/>
                <w:iCs/>
                <w:color w:val="000000" w:themeColor="text1"/>
              </w:rPr>
              <w:t>Nowy Pracownik Niezbędny do wykonania pracy ściśle powiązanej z przedsięwzięciem inwestycyjnym</w:t>
            </w:r>
          </w:p>
        </w:tc>
        <w:tc>
          <w:tcPr>
            <w:tcW w:w="2021" w:type="dxa"/>
          </w:tcPr>
          <w:p w:rsidR="00EE0C8C" w:rsidRPr="00EE0C8C" w:rsidRDefault="00EE0C8C" w:rsidP="00EE0C8C">
            <w:pPr>
              <w:spacing w:after="200" w:line="276" w:lineRule="auto"/>
              <w:rPr>
                <w:bCs/>
                <w:iCs/>
                <w:color w:val="000000" w:themeColor="text1"/>
              </w:rPr>
            </w:pPr>
            <w:r w:rsidRPr="00EE0C8C">
              <w:rPr>
                <w:bCs/>
                <w:iCs/>
                <w:color w:val="000000" w:themeColor="text1"/>
              </w:rPr>
              <w:t>Restauracja Wiktoria Mirzec Majorat 8</w:t>
            </w:r>
          </w:p>
        </w:tc>
        <w:tc>
          <w:tcPr>
            <w:tcW w:w="1583" w:type="dxa"/>
          </w:tcPr>
          <w:p w:rsidR="00EE0C8C" w:rsidRPr="00EE0C8C" w:rsidRDefault="00EE0C8C" w:rsidP="00EE0C8C">
            <w:pPr>
              <w:spacing w:after="200" w:line="276" w:lineRule="auto"/>
              <w:rPr>
                <w:b/>
                <w:bCs/>
                <w:iCs/>
                <w:color w:val="000000" w:themeColor="text1"/>
              </w:rPr>
            </w:pPr>
            <w:r w:rsidRPr="00EE0C8C">
              <w:rPr>
                <w:b/>
                <w:bCs/>
                <w:iCs/>
                <w:color w:val="000000" w:themeColor="text1"/>
              </w:rPr>
              <w:t>20 000</w:t>
            </w:r>
          </w:p>
        </w:tc>
        <w:tc>
          <w:tcPr>
            <w:tcW w:w="3002" w:type="dxa"/>
          </w:tcPr>
          <w:p w:rsidR="00EE0C8C" w:rsidRPr="00EE0C8C" w:rsidRDefault="00EE0C8C" w:rsidP="00EE0C8C">
            <w:pPr>
              <w:spacing w:after="200" w:line="276" w:lineRule="auto"/>
              <w:rPr>
                <w:bCs/>
                <w:iCs/>
                <w:color w:val="000000" w:themeColor="text1"/>
              </w:rPr>
            </w:pPr>
            <w:r w:rsidRPr="00EE0C8C">
              <w:rPr>
                <w:bCs/>
                <w:iCs/>
                <w:color w:val="000000" w:themeColor="text1"/>
              </w:rPr>
              <w:t>Przeciwdziałanie bezrobociu, poprawa jakości życia zatrudnionej osoby</w:t>
            </w:r>
          </w:p>
        </w:tc>
        <w:tc>
          <w:tcPr>
            <w:tcW w:w="1883" w:type="dxa"/>
          </w:tcPr>
          <w:p w:rsidR="00EE0C8C" w:rsidRPr="00EE0C8C" w:rsidRDefault="00EE0C8C" w:rsidP="00EE0C8C">
            <w:pPr>
              <w:spacing w:after="200" w:line="276" w:lineRule="auto"/>
              <w:rPr>
                <w:bCs/>
                <w:iCs/>
                <w:color w:val="000000" w:themeColor="text1"/>
              </w:rPr>
            </w:pPr>
            <w:r w:rsidRPr="00EE0C8C">
              <w:rPr>
                <w:bCs/>
                <w:iCs/>
                <w:color w:val="000000" w:themeColor="text1"/>
              </w:rPr>
              <w:t>Jadwiga Barwin Restauracja Wiktoria Mirzec Majorat 8</w:t>
            </w:r>
          </w:p>
        </w:tc>
      </w:tr>
      <w:tr w:rsidR="00EE0C8C" w:rsidRPr="00EE0C8C" w:rsidTr="00A76BDB">
        <w:trPr>
          <w:trHeight w:val="97"/>
        </w:trPr>
        <w:tc>
          <w:tcPr>
            <w:tcW w:w="559" w:type="dxa"/>
          </w:tcPr>
          <w:p w:rsidR="00EE0C8C" w:rsidRPr="00EE0C8C" w:rsidRDefault="00EE0C8C" w:rsidP="00EE0C8C">
            <w:pPr>
              <w:spacing w:after="200" w:line="276" w:lineRule="auto"/>
              <w:rPr>
                <w:b/>
                <w:bCs/>
                <w:iCs/>
                <w:color w:val="4F81BD" w:themeColor="accent1"/>
                <w:sz w:val="24"/>
                <w:szCs w:val="24"/>
              </w:rPr>
            </w:pPr>
            <w:r w:rsidRPr="00EE0C8C">
              <w:rPr>
                <w:b/>
                <w:bCs/>
                <w:iCs/>
                <w:color w:val="4F81BD" w:themeColor="accent1"/>
                <w:sz w:val="24"/>
                <w:szCs w:val="24"/>
              </w:rPr>
              <w:t>6</w:t>
            </w:r>
          </w:p>
        </w:tc>
        <w:tc>
          <w:tcPr>
            <w:tcW w:w="2242" w:type="dxa"/>
          </w:tcPr>
          <w:p w:rsidR="00EE0C8C" w:rsidRPr="00EE0C8C" w:rsidRDefault="00EE0C8C" w:rsidP="00EE0C8C">
            <w:pPr>
              <w:spacing w:after="200" w:line="276" w:lineRule="auto"/>
              <w:rPr>
                <w:b/>
                <w:bCs/>
                <w:iCs/>
                <w:color w:val="000000" w:themeColor="text1"/>
              </w:rPr>
            </w:pPr>
            <w:r w:rsidRPr="00EE0C8C">
              <w:rPr>
                <w:b/>
                <w:bCs/>
                <w:iCs/>
                <w:color w:val="000000" w:themeColor="text1"/>
              </w:rPr>
              <w:t>Przeciwdziałanie bezrobociu poprzez zatrudnienie sprzedawców magazyniera</w:t>
            </w:r>
          </w:p>
        </w:tc>
        <w:tc>
          <w:tcPr>
            <w:tcW w:w="3770" w:type="dxa"/>
          </w:tcPr>
          <w:p w:rsidR="00EE0C8C" w:rsidRPr="00EE0C8C" w:rsidRDefault="00EE0C8C" w:rsidP="00EE0C8C">
            <w:pPr>
              <w:spacing w:after="200" w:line="276" w:lineRule="auto"/>
              <w:rPr>
                <w:bCs/>
                <w:iCs/>
                <w:color w:val="000000" w:themeColor="text1"/>
              </w:rPr>
            </w:pPr>
            <w:r w:rsidRPr="00EE0C8C">
              <w:rPr>
                <w:bCs/>
                <w:iCs/>
                <w:color w:val="000000" w:themeColor="text1"/>
              </w:rPr>
              <w:t>Wyposażenie stanowiska  pracy zatrudnionych osób zaś całe przedsięwzięcie inwestycyjne. Zatrudnienie osób zgodnie z projektem.</w:t>
            </w:r>
          </w:p>
        </w:tc>
        <w:tc>
          <w:tcPr>
            <w:tcW w:w="2021" w:type="dxa"/>
          </w:tcPr>
          <w:p w:rsidR="00EE0C8C" w:rsidRPr="00EE0C8C" w:rsidRDefault="00EE0C8C" w:rsidP="00EE0C8C">
            <w:pPr>
              <w:spacing w:after="200" w:line="276" w:lineRule="auto"/>
              <w:rPr>
                <w:bCs/>
                <w:iCs/>
                <w:color w:val="000000" w:themeColor="text1"/>
              </w:rPr>
            </w:pPr>
            <w:r w:rsidRPr="00EE0C8C">
              <w:rPr>
                <w:bCs/>
                <w:iCs/>
                <w:color w:val="000000" w:themeColor="text1"/>
              </w:rPr>
              <w:t>Dom Handlowy KAJ</w:t>
            </w:r>
          </w:p>
          <w:p w:rsidR="00EE0C8C" w:rsidRPr="00EE0C8C" w:rsidRDefault="00EE0C8C" w:rsidP="00EE0C8C">
            <w:pPr>
              <w:spacing w:after="200" w:line="276" w:lineRule="auto"/>
              <w:rPr>
                <w:bCs/>
                <w:iCs/>
                <w:color w:val="000000" w:themeColor="text1"/>
              </w:rPr>
            </w:pPr>
            <w:r w:rsidRPr="00EE0C8C">
              <w:rPr>
                <w:bCs/>
                <w:iCs/>
                <w:color w:val="000000" w:themeColor="text1"/>
              </w:rPr>
              <w:t>Mirzec Majorat 10</w:t>
            </w:r>
          </w:p>
        </w:tc>
        <w:tc>
          <w:tcPr>
            <w:tcW w:w="1583" w:type="dxa"/>
          </w:tcPr>
          <w:p w:rsidR="00EE0C8C" w:rsidRPr="00EE0C8C" w:rsidRDefault="00EE0C8C" w:rsidP="00EE0C8C">
            <w:pPr>
              <w:spacing w:after="200" w:line="276" w:lineRule="auto"/>
              <w:rPr>
                <w:b/>
                <w:bCs/>
                <w:iCs/>
                <w:color w:val="000000" w:themeColor="text1"/>
              </w:rPr>
            </w:pPr>
            <w:r w:rsidRPr="00EE0C8C">
              <w:rPr>
                <w:b/>
                <w:bCs/>
                <w:iCs/>
                <w:color w:val="000000" w:themeColor="text1"/>
              </w:rPr>
              <w:t>60 000</w:t>
            </w:r>
          </w:p>
        </w:tc>
        <w:tc>
          <w:tcPr>
            <w:tcW w:w="3002" w:type="dxa"/>
          </w:tcPr>
          <w:p w:rsidR="00EE0C8C" w:rsidRPr="00EE0C8C" w:rsidRDefault="00EE0C8C" w:rsidP="00EE0C8C">
            <w:pPr>
              <w:spacing w:after="200" w:line="276" w:lineRule="auto"/>
              <w:rPr>
                <w:bCs/>
                <w:iCs/>
                <w:color w:val="000000" w:themeColor="text1"/>
              </w:rPr>
            </w:pPr>
            <w:r w:rsidRPr="00EE0C8C">
              <w:rPr>
                <w:bCs/>
                <w:iCs/>
                <w:color w:val="000000" w:themeColor="text1"/>
              </w:rPr>
              <w:t>Ożywienie gospodarcze.</w:t>
            </w:r>
          </w:p>
          <w:p w:rsidR="00EE0C8C" w:rsidRPr="00EE0C8C" w:rsidRDefault="00EE0C8C" w:rsidP="00EE0C8C">
            <w:pPr>
              <w:spacing w:after="200" w:line="276" w:lineRule="auto"/>
              <w:rPr>
                <w:bCs/>
                <w:iCs/>
                <w:color w:val="000000" w:themeColor="text1"/>
              </w:rPr>
            </w:pPr>
            <w:r w:rsidRPr="00EE0C8C">
              <w:rPr>
                <w:bCs/>
                <w:iCs/>
                <w:color w:val="000000" w:themeColor="text1"/>
              </w:rPr>
              <w:t>Rozwój handlu.</w:t>
            </w:r>
          </w:p>
          <w:p w:rsidR="00EE0C8C" w:rsidRPr="00EE0C8C" w:rsidRDefault="00EE0C8C" w:rsidP="00EE0C8C">
            <w:pPr>
              <w:spacing w:after="200" w:line="276" w:lineRule="auto"/>
              <w:rPr>
                <w:bCs/>
                <w:iCs/>
                <w:color w:val="000000" w:themeColor="text1"/>
              </w:rPr>
            </w:pPr>
            <w:r w:rsidRPr="00EE0C8C">
              <w:rPr>
                <w:bCs/>
                <w:iCs/>
                <w:color w:val="000000" w:themeColor="text1"/>
              </w:rPr>
              <w:t>Poprawa jakości usług w centrum Mirca.</w:t>
            </w:r>
          </w:p>
          <w:p w:rsidR="00EE0C8C" w:rsidRPr="00EE0C8C" w:rsidRDefault="00EE0C8C" w:rsidP="00EE0C8C">
            <w:pPr>
              <w:spacing w:after="200" w:line="276" w:lineRule="auto"/>
              <w:rPr>
                <w:bCs/>
                <w:iCs/>
                <w:color w:val="000000" w:themeColor="text1"/>
              </w:rPr>
            </w:pPr>
            <w:r w:rsidRPr="00EE0C8C">
              <w:rPr>
                <w:bCs/>
                <w:iCs/>
                <w:color w:val="000000" w:themeColor="text1"/>
              </w:rPr>
              <w:t>Zmniejszenie bezrobocia.</w:t>
            </w:r>
          </w:p>
          <w:p w:rsidR="00EE0C8C" w:rsidRPr="00EE0C8C" w:rsidRDefault="00EE0C8C" w:rsidP="00EE0C8C">
            <w:pPr>
              <w:spacing w:after="200" w:line="276" w:lineRule="auto"/>
              <w:rPr>
                <w:bCs/>
                <w:iCs/>
                <w:color w:val="000000" w:themeColor="text1"/>
              </w:rPr>
            </w:pPr>
            <w:r w:rsidRPr="00EE0C8C">
              <w:rPr>
                <w:bCs/>
                <w:iCs/>
                <w:color w:val="000000" w:themeColor="text1"/>
              </w:rPr>
              <w:t>Poprawa jakości życia</w:t>
            </w:r>
          </w:p>
        </w:tc>
        <w:tc>
          <w:tcPr>
            <w:tcW w:w="1883" w:type="dxa"/>
          </w:tcPr>
          <w:p w:rsidR="00EE0C8C" w:rsidRPr="00EE0C8C" w:rsidRDefault="00EE0C8C" w:rsidP="00EE0C8C">
            <w:pPr>
              <w:spacing w:after="200" w:line="276" w:lineRule="auto"/>
              <w:rPr>
                <w:bCs/>
                <w:iCs/>
                <w:color w:val="000000" w:themeColor="text1"/>
              </w:rPr>
            </w:pPr>
            <w:r w:rsidRPr="00EE0C8C">
              <w:rPr>
                <w:bCs/>
                <w:iCs/>
                <w:color w:val="000000" w:themeColor="text1"/>
              </w:rPr>
              <w:t>Dom Handlowy KAJ</w:t>
            </w:r>
          </w:p>
        </w:tc>
      </w:tr>
      <w:tr w:rsidR="00EE0C8C" w:rsidRPr="00EE0C8C" w:rsidTr="00A76BDB">
        <w:trPr>
          <w:trHeight w:val="97"/>
        </w:trPr>
        <w:tc>
          <w:tcPr>
            <w:tcW w:w="559" w:type="dxa"/>
          </w:tcPr>
          <w:p w:rsidR="00EE0C8C" w:rsidRPr="00EE0C8C" w:rsidRDefault="00EE0C8C" w:rsidP="00EE0C8C">
            <w:pPr>
              <w:spacing w:after="200" w:line="276" w:lineRule="auto"/>
              <w:rPr>
                <w:b/>
                <w:bCs/>
                <w:iCs/>
                <w:color w:val="4F81BD" w:themeColor="accent1"/>
                <w:sz w:val="24"/>
                <w:szCs w:val="24"/>
              </w:rPr>
            </w:pPr>
            <w:r w:rsidRPr="00EE0C8C">
              <w:rPr>
                <w:b/>
                <w:bCs/>
                <w:iCs/>
                <w:color w:val="4F81BD" w:themeColor="accent1"/>
                <w:sz w:val="24"/>
                <w:szCs w:val="24"/>
              </w:rPr>
              <w:lastRenderedPageBreak/>
              <w:t>7</w:t>
            </w:r>
          </w:p>
        </w:tc>
        <w:tc>
          <w:tcPr>
            <w:tcW w:w="2242" w:type="dxa"/>
          </w:tcPr>
          <w:p w:rsidR="00EE0C8C" w:rsidRPr="00EE0C8C" w:rsidRDefault="00EE0C8C" w:rsidP="00EE0C8C">
            <w:pPr>
              <w:spacing w:after="200" w:line="276" w:lineRule="auto"/>
              <w:rPr>
                <w:b/>
                <w:bCs/>
                <w:iCs/>
                <w:color w:val="000000" w:themeColor="text1"/>
              </w:rPr>
            </w:pPr>
            <w:r w:rsidRPr="00EE0C8C">
              <w:rPr>
                <w:b/>
                <w:bCs/>
                <w:iCs/>
                <w:color w:val="000000" w:themeColor="text1"/>
              </w:rPr>
              <w:t>Z seniorem przez życie</w:t>
            </w:r>
          </w:p>
        </w:tc>
        <w:tc>
          <w:tcPr>
            <w:tcW w:w="3770" w:type="dxa"/>
          </w:tcPr>
          <w:p w:rsidR="00EE0C8C" w:rsidRPr="00EE0C8C" w:rsidRDefault="00EE0C8C" w:rsidP="00EE0C8C">
            <w:pPr>
              <w:spacing w:after="200" w:line="276" w:lineRule="auto"/>
              <w:rPr>
                <w:bCs/>
                <w:iCs/>
                <w:color w:val="000000" w:themeColor="text1"/>
              </w:rPr>
            </w:pPr>
            <w:r w:rsidRPr="00EE0C8C">
              <w:rPr>
                <w:bCs/>
                <w:iCs/>
                <w:color w:val="000000" w:themeColor="text1"/>
              </w:rPr>
              <w:t>Zatrudnienie 8 pracowników do opieki nad seniorami, niezbędne do wykonywania opieki</w:t>
            </w:r>
          </w:p>
        </w:tc>
        <w:tc>
          <w:tcPr>
            <w:tcW w:w="2021" w:type="dxa"/>
          </w:tcPr>
          <w:p w:rsidR="00EE0C8C" w:rsidRPr="00EE0C8C" w:rsidRDefault="00EE0C8C" w:rsidP="00EE0C8C">
            <w:pPr>
              <w:spacing w:after="200" w:line="276" w:lineRule="auto"/>
              <w:rPr>
                <w:bCs/>
                <w:iCs/>
                <w:color w:val="000000" w:themeColor="text1"/>
              </w:rPr>
            </w:pPr>
            <w:r w:rsidRPr="00EE0C8C">
              <w:rPr>
                <w:bCs/>
                <w:iCs/>
                <w:color w:val="000000" w:themeColor="text1"/>
              </w:rPr>
              <w:t>Dom Opieki Helena (Dom Opieki Społecznej) Mirzec Majorat 19, GOPS</w:t>
            </w:r>
          </w:p>
        </w:tc>
        <w:tc>
          <w:tcPr>
            <w:tcW w:w="1583" w:type="dxa"/>
          </w:tcPr>
          <w:p w:rsidR="00EE0C8C" w:rsidRPr="00EE0C8C" w:rsidRDefault="00EE0C8C" w:rsidP="00EE0C8C">
            <w:pPr>
              <w:spacing w:after="200" w:line="276" w:lineRule="auto"/>
              <w:rPr>
                <w:b/>
                <w:bCs/>
                <w:iCs/>
                <w:color w:val="000000" w:themeColor="text1"/>
              </w:rPr>
            </w:pPr>
            <w:r w:rsidRPr="00EE0C8C">
              <w:rPr>
                <w:b/>
                <w:bCs/>
                <w:iCs/>
                <w:color w:val="000000" w:themeColor="text1"/>
              </w:rPr>
              <w:t>800 000</w:t>
            </w:r>
          </w:p>
        </w:tc>
        <w:tc>
          <w:tcPr>
            <w:tcW w:w="3002" w:type="dxa"/>
          </w:tcPr>
          <w:p w:rsidR="00EE0C8C" w:rsidRPr="00EE0C8C" w:rsidRDefault="00EE0C8C" w:rsidP="00EE0C8C">
            <w:pPr>
              <w:spacing w:after="200" w:line="276" w:lineRule="auto"/>
              <w:rPr>
                <w:bCs/>
                <w:iCs/>
                <w:color w:val="000000" w:themeColor="text1"/>
              </w:rPr>
            </w:pPr>
            <w:r w:rsidRPr="00EE0C8C">
              <w:rPr>
                <w:bCs/>
                <w:iCs/>
                <w:color w:val="000000" w:themeColor="text1"/>
              </w:rPr>
              <w:t xml:space="preserve">Poprawa jakości życia </w:t>
            </w:r>
          </w:p>
          <w:p w:rsidR="00EE0C8C" w:rsidRPr="00EE0C8C" w:rsidRDefault="00EE0C8C" w:rsidP="00EE0C8C">
            <w:pPr>
              <w:spacing w:after="200" w:line="276" w:lineRule="auto"/>
              <w:rPr>
                <w:bCs/>
                <w:iCs/>
                <w:color w:val="000000" w:themeColor="text1"/>
              </w:rPr>
            </w:pPr>
            <w:r w:rsidRPr="00EE0C8C">
              <w:rPr>
                <w:bCs/>
                <w:iCs/>
                <w:color w:val="000000" w:themeColor="text1"/>
              </w:rPr>
              <w:t>Zmniejszenie bezrobocia</w:t>
            </w:r>
          </w:p>
          <w:p w:rsidR="00EE0C8C" w:rsidRPr="00EE0C8C" w:rsidRDefault="00EE0C8C" w:rsidP="00EE0C8C">
            <w:pPr>
              <w:spacing w:after="200" w:line="276" w:lineRule="auto"/>
              <w:rPr>
                <w:bCs/>
                <w:iCs/>
                <w:color w:val="000000" w:themeColor="text1"/>
              </w:rPr>
            </w:pPr>
            <w:r w:rsidRPr="00EE0C8C">
              <w:rPr>
                <w:bCs/>
                <w:iCs/>
                <w:color w:val="000000" w:themeColor="text1"/>
              </w:rPr>
              <w:t>Zwiększenie dostępności do usług społecznych</w:t>
            </w:r>
          </w:p>
          <w:p w:rsidR="00EE0C8C" w:rsidRPr="00EE0C8C" w:rsidRDefault="00EE0C8C" w:rsidP="00EE0C8C">
            <w:pPr>
              <w:spacing w:after="200" w:line="276" w:lineRule="auto"/>
              <w:rPr>
                <w:bCs/>
                <w:iCs/>
                <w:color w:val="000000" w:themeColor="text1"/>
              </w:rPr>
            </w:pPr>
            <w:r w:rsidRPr="00EE0C8C">
              <w:rPr>
                <w:bCs/>
                <w:iCs/>
                <w:color w:val="000000" w:themeColor="text1"/>
              </w:rPr>
              <w:t>Integracja osób starszych</w:t>
            </w:r>
          </w:p>
          <w:p w:rsidR="00EE0C8C" w:rsidRPr="00EE0C8C" w:rsidRDefault="00EE0C8C" w:rsidP="00EE0C8C">
            <w:pPr>
              <w:spacing w:after="200" w:line="276" w:lineRule="auto"/>
              <w:rPr>
                <w:bCs/>
                <w:iCs/>
                <w:color w:val="000000" w:themeColor="text1"/>
              </w:rPr>
            </w:pPr>
            <w:r w:rsidRPr="00EE0C8C">
              <w:rPr>
                <w:bCs/>
                <w:iCs/>
                <w:color w:val="000000" w:themeColor="text1"/>
              </w:rPr>
              <w:t>Realizacja zapisów polityki senioralnej państwa</w:t>
            </w:r>
          </w:p>
        </w:tc>
        <w:tc>
          <w:tcPr>
            <w:tcW w:w="1883" w:type="dxa"/>
          </w:tcPr>
          <w:p w:rsidR="00EE0C8C" w:rsidRPr="00EE0C8C" w:rsidRDefault="00EE0C8C" w:rsidP="00EE0C8C">
            <w:pPr>
              <w:spacing w:after="200" w:line="276" w:lineRule="auto"/>
              <w:rPr>
                <w:bCs/>
                <w:iCs/>
                <w:color w:val="000000" w:themeColor="text1"/>
              </w:rPr>
            </w:pPr>
            <w:r w:rsidRPr="00EE0C8C">
              <w:rPr>
                <w:bCs/>
                <w:iCs/>
                <w:color w:val="000000" w:themeColor="text1"/>
              </w:rPr>
              <w:t>Agnieszka Dudek – Dom Opieki Społecznej</w:t>
            </w:r>
          </w:p>
          <w:p w:rsidR="00EE0C8C" w:rsidRPr="00EE0C8C" w:rsidRDefault="00EE0C8C" w:rsidP="00EE0C8C">
            <w:pPr>
              <w:spacing w:after="200" w:line="276" w:lineRule="auto"/>
              <w:rPr>
                <w:bCs/>
                <w:iCs/>
                <w:color w:val="000000" w:themeColor="text1"/>
              </w:rPr>
            </w:pPr>
          </w:p>
          <w:p w:rsidR="00EE0C8C" w:rsidRPr="00EE0C8C" w:rsidRDefault="00EE0C8C" w:rsidP="00EE0C8C">
            <w:pPr>
              <w:spacing w:after="200" w:line="276" w:lineRule="auto"/>
              <w:rPr>
                <w:bCs/>
                <w:iCs/>
                <w:color w:val="000000" w:themeColor="text1"/>
              </w:rPr>
            </w:pPr>
            <w:r w:rsidRPr="00EE0C8C">
              <w:rPr>
                <w:bCs/>
                <w:iCs/>
                <w:color w:val="000000" w:themeColor="text1"/>
              </w:rPr>
              <w:t>2016-2017</w:t>
            </w:r>
          </w:p>
        </w:tc>
      </w:tr>
      <w:tr w:rsidR="00EE0C8C" w:rsidRPr="00EE0C8C" w:rsidTr="00FB5EB2">
        <w:trPr>
          <w:trHeight w:val="2075"/>
        </w:trPr>
        <w:tc>
          <w:tcPr>
            <w:tcW w:w="559" w:type="dxa"/>
          </w:tcPr>
          <w:p w:rsidR="00EE0C8C" w:rsidRPr="00EE0C8C" w:rsidRDefault="00EE0C8C" w:rsidP="00EE0C8C">
            <w:pPr>
              <w:spacing w:after="200" w:line="276" w:lineRule="auto"/>
              <w:rPr>
                <w:b/>
                <w:bCs/>
                <w:iCs/>
                <w:color w:val="4F81BD" w:themeColor="accent1"/>
                <w:sz w:val="24"/>
                <w:szCs w:val="24"/>
              </w:rPr>
            </w:pPr>
            <w:r w:rsidRPr="00EE0C8C">
              <w:rPr>
                <w:b/>
                <w:bCs/>
                <w:iCs/>
                <w:color w:val="4F81BD" w:themeColor="accent1"/>
                <w:sz w:val="24"/>
                <w:szCs w:val="24"/>
              </w:rPr>
              <w:t>8</w:t>
            </w:r>
          </w:p>
        </w:tc>
        <w:tc>
          <w:tcPr>
            <w:tcW w:w="2242" w:type="dxa"/>
          </w:tcPr>
          <w:p w:rsidR="00EE0C8C" w:rsidRPr="00EE0C8C" w:rsidRDefault="00EE0C8C" w:rsidP="00EE0C8C">
            <w:pPr>
              <w:spacing w:before="100" w:beforeAutospacing="1" w:after="119" w:line="276" w:lineRule="auto"/>
              <w:rPr>
                <w:rFonts w:eastAsia="Times New Roman" w:cs="Times New Roman"/>
                <w:lang w:eastAsia="pl-PL"/>
              </w:rPr>
            </w:pPr>
            <w:r w:rsidRPr="00EE0C8C">
              <w:rPr>
                <w:rFonts w:eastAsia="Times New Roman" w:cs="Times New Roman"/>
                <w:b/>
                <w:bCs/>
                <w:lang w:eastAsia="pl-PL"/>
              </w:rPr>
              <w:t>Zatrudnienie osoby do obsługi</w:t>
            </w:r>
          </w:p>
        </w:tc>
        <w:tc>
          <w:tcPr>
            <w:tcW w:w="3770" w:type="dxa"/>
          </w:tcPr>
          <w:p w:rsidR="00EE0C8C" w:rsidRPr="00EE0C8C" w:rsidRDefault="00EE0C8C" w:rsidP="00EE0C8C">
            <w:pPr>
              <w:spacing w:before="100" w:beforeAutospacing="1" w:after="119" w:line="276" w:lineRule="auto"/>
              <w:rPr>
                <w:rFonts w:eastAsia="Times New Roman" w:cs="Times New Roman"/>
                <w:lang w:eastAsia="pl-PL"/>
              </w:rPr>
            </w:pPr>
            <w:r w:rsidRPr="00EE0C8C">
              <w:rPr>
                <w:rFonts w:eastAsia="Times New Roman" w:cs="Times New Roman"/>
                <w:color w:val="000000"/>
                <w:lang w:eastAsia="pl-PL"/>
              </w:rPr>
              <w:t xml:space="preserve">Zatrudnienie 1 pracownika niezbędnego do wykonywania pracy powiązanej z przedsięwzięciem inwestycyjnym </w:t>
            </w:r>
          </w:p>
        </w:tc>
        <w:tc>
          <w:tcPr>
            <w:tcW w:w="2021" w:type="dxa"/>
          </w:tcPr>
          <w:p w:rsidR="00EE0C8C" w:rsidRPr="00EE0C8C" w:rsidRDefault="00EE0C8C" w:rsidP="00EE0C8C">
            <w:pPr>
              <w:spacing w:before="100" w:beforeAutospacing="1" w:after="200" w:line="276" w:lineRule="auto"/>
              <w:rPr>
                <w:rFonts w:eastAsia="Times New Roman" w:cs="Times New Roman"/>
                <w:lang w:eastAsia="pl-PL"/>
              </w:rPr>
            </w:pPr>
            <w:r w:rsidRPr="00EE0C8C">
              <w:rPr>
                <w:rFonts w:eastAsia="Times New Roman" w:cs="Times New Roman"/>
                <w:lang w:eastAsia="pl-PL"/>
              </w:rPr>
              <w:t xml:space="preserve">- Dworek Modrzewiowy w Mircu </w:t>
            </w:r>
          </w:p>
          <w:p w:rsidR="00EE0C8C" w:rsidRPr="00EE0C8C" w:rsidRDefault="00EE0C8C" w:rsidP="00EE0C8C">
            <w:pPr>
              <w:spacing w:before="100" w:beforeAutospacing="1" w:after="119" w:line="276" w:lineRule="auto"/>
              <w:rPr>
                <w:rFonts w:eastAsia="Times New Roman" w:cs="Times New Roman"/>
                <w:lang w:eastAsia="pl-PL"/>
              </w:rPr>
            </w:pPr>
            <w:r w:rsidRPr="00EE0C8C">
              <w:rPr>
                <w:rFonts w:eastAsia="Times New Roman" w:cs="Times New Roman"/>
                <w:lang w:eastAsia="pl-PL"/>
              </w:rPr>
              <w:t xml:space="preserve">Mirzec Majorat 2 </w:t>
            </w:r>
          </w:p>
        </w:tc>
        <w:tc>
          <w:tcPr>
            <w:tcW w:w="1583" w:type="dxa"/>
          </w:tcPr>
          <w:p w:rsidR="00EE0C8C" w:rsidRPr="00EE0C8C" w:rsidRDefault="00EE0C8C" w:rsidP="00EE0C8C">
            <w:pPr>
              <w:spacing w:before="100" w:beforeAutospacing="1" w:after="119" w:line="276" w:lineRule="auto"/>
              <w:rPr>
                <w:rFonts w:eastAsia="Times New Roman" w:cs="Times New Roman"/>
                <w:b/>
                <w:lang w:eastAsia="pl-PL"/>
              </w:rPr>
            </w:pPr>
            <w:r w:rsidRPr="00EE0C8C">
              <w:rPr>
                <w:rFonts w:eastAsia="Times New Roman" w:cs="Times New Roman"/>
                <w:b/>
                <w:bCs/>
                <w:lang w:eastAsia="pl-PL"/>
              </w:rPr>
              <w:t xml:space="preserve">30 000 koszt roczny </w:t>
            </w:r>
          </w:p>
        </w:tc>
        <w:tc>
          <w:tcPr>
            <w:tcW w:w="3002" w:type="dxa"/>
          </w:tcPr>
          <w:p w:rsidR="00EE0C8C" w:rsidRPr="00EE0C8C" w:rsidRDefault="00EE0C8C" w:rsidP="00EE0C8C">
            <w:pPr>
              <w:spacing w:before="100" w:beforeAutospacing="1" w:after="200" w:line="276" w:lineRule="auto"/>
              <w:rPr>
                <w:rFonts w:eastAsia="Times New Roman" w:cs="Times New Roman"/>
                <w:lang w:eastAsia="pl-PL"/>
              </w:rPr>
            </w:pPr>
            <w:r w:rsidRPr="00EE0C8C">
              <w:rPr>
                <w:rFonts w:eastAsia="Times New Roman" w:cs="Times New Roman"/>
                <w:lang w:eastAsia="pl-PL"/>
              </w:rPr>
              <w:t>- zmniejszenie bezrobocia</w:t>
            </w:r>
          </w:p>
          <w:p w:rsidR="00EE0C8C" w:rsidRPr="00EE0C8C" w:rsidRDefault="00EE0C8C" w:rsidP="00EE0C8C">
            <w:pPr>
              <w:spacing w:before="100" w:beforeAutospacing="1" w:after="200" w:line="276" w:lineRule="auto"/>
              <w:rPr>
                <w:rFonts w:eastAsia="Times New Roman" w:cs="Times New Roman"/>
                <w:lang w:eastAsia="pl-PL"/>
              </w:rPr>
            </w:pPr>
            <w:r w:rsidRPr="00EE0C8C">
              <w:rPr>
                <w:rFonts w:eastAsia="Times New Roman" w:cs="Times New Roman"/>
                <w:lang w:eastAsia="pl-PL"/>
              </w:rPr>
              <w:t>- poprawa jakości życia zatrudnionej osoby</w:t>
            </w:r>
          </w:p>
          <w:p w:rsidR="00EE0C8C" w:rsidRPr="00EE0C8C" w:rsidRDefault="00EE0C8C" w:rsidP="00EE0C8C">
            <w:pPr>
              <w:spacing w:before="100" w:beforeAutospacing="1" w:after="200" w:line="276" w:lineRule="auto"/>
              <w:rPr>
                <w:rFonts w:eastAsia="Times New Roman" w:cs="Times New Roman"/>
                <w:lang w:eastAsia="pl-PL"/>
              </w:rPr>
            </w:pPr>
            <w:r w:rsidRPr="00EE0C8C">
              <w:rPr>
                <w:rFonts w:eastAsia="Times New Roman" w:cs="Times New Roman"/>
                <w:lang w:eastAsia="pl-PL"/>
              </w:rPr>
              <w:t>-poprawa jakości usług</w:t>
            </w:r>
          </w:p>
          <w:p w:rsidR="00EE0C8C" w:rsidRPr="00EE0C8C" w:rsidRDefault="00EE0C8C" w:rsidP="00EE0C8C">
            <w:pPr>
              <w:spacing w:before="100" w:beforeAutospacing="1" w:after="119" w:line="276" w:lineRule="auto"/>
              <w:rPr>
                <w:rFonts w:eastAsia="Times New Roman" w:cs="Times New Roman"/>
                <w:lang w:eastAsia="pl-PL"/>
              </w:rPr>
            </w:pPr>
          </w:p>
        </w:tc>
        <w:tc>
          <w:tcPr>
            <w:tcW w:w="1883" w:type="dxa"/>
          </w:tcPr>
          <w:p w:rsidR="00EE0C8C" w:rsidRPr="00EE0C8C" w:rsidRDefault="00EE0C8C" w:rsidP="00EE0C8C">
            <w:pPr>
              <w:spacing w:before="100" w:beforeAutospacing="1" w:after="200" w:line="276" w:lineRule="auto"/>
              <w:rPr>
                <w:rFonts w:eastAsia="Times New Roman" w:cs="Times New Roman"/>
                <w:lang w:eastAsia="pl-PL"/>
              </w:rPr>
            </w:pPr>
            <w:r w:rsidRPr="00EE0C8C">
              <w:rPr>
                <w:rFonts w:eastAsia="Times New Roman" w:cs="Times New Roman"/>
                <w:lang w:eastAsia="pl-PL"/>
              </w:rPr>
              <w:t xml:space="preserve">Jolanta i Bogusław Żaczek PUH Żaczek </w:t>
            </w:r>
          </w:p>
          <w:p w:rsidR="00EE0C8C" w:rsidRPr="00EE0C8C" w:rsidRDefault="00EE0C8C" w:rsidP="00EE0C8C">
            <w:pPr>
              <w:spacing w:before="100" w:beforeAutospacing="1" w:after="200" w:line="276" w:lineRule="auto"/>
              <w:rPr>
                <w:rFonts w:eastAsia="Times New Roman" w:cs="Times New Roman"/>
                <w:lang w:eastAsia="pl-PL"/>
              </w:rPr>
            </w:pPr>
          </w:p>
          <w:p w:rsidR="00EE0C8C" w:rsidRPr="00EE0C8C" w:rsidRDefault="00EE0C8C" w:rsidP="00EE0C8C">
            <w:pPr>
              <w:spacing w:before="100" w:beforeAutospacing="1" w:after="200" w:line="276" w:lineRule="auto"/>
              <w:rPr>
                <w:rFonts w:eastAsia="Times New Roman" w:cs="Times New Roman"/>
                <w:lang w:eastAsia="pl-PL"/>
              </w:rPr>
            </w:pPr>
            <w:r w:rsidRPr="00EE0C8C">
              <w:rPr>
                <w:rFonts w:eastAsia="Times New Roman" w:cs="Times New Roman"/>
                <w:lang w:eastAsia="pl-PL"/>
              </w:rPr>
              <w:t>2016-2019</w:t>
            </w:r>
          </w:p>
        </w:tc>
      </w:tr>
      <w:tr w:rsidR="00EE0C8C" w:rsidRPr="00EE0C8C" w:rsidTr="00A76BDB">
        <w:trPr>
          <w:trHeight w:val="97"/>
        </w:trPr>
        <w:tc>
          <w:tcPr>
            <w:tcW w:w="15060" w:type="dxa"/>
            <w:gridSpan w:val="7"/>
          </w:tcPr>
          <w:p w:rsidR="00EE0C8C" w:rsidRDefault="00EE0C8C" w:rsidP="00EE0C8C">
            <w:pPr>
              <w:spacing w:before="100" w:beforeAutospacing="1" w:after="200" w:line="276" w:lineRule="auto"/>
              <w:rPr>
                <w:rFonts w:eastAsia="Times New Roman" w:cs="Times New Roman"/>
                <w:lang w:eastAsia="pl-PL"/>
              </w:rPr>
            </w:pPr>
            <w:r w:rsidRPr="00EE0C8C">
              <w:rPr>
                <w:rFonts w:eastAsia="Times New Roman" w:cs="Times New Roman"/>
                <w:lang w:eastAsia="pl-PL"/>
              </w:rPr>
              <w:t xml:space="preserve">RAZEM SZACUKOWE KOSZTY NAKŁADÓW                                                                                                                                                                                     </w:t>
            </w:r>
            <w:r w:rsidRPr="00EE0C8C">
              <w:rPr>
                <w:rFonts w:eastAsia="Times New Roman" w:cs="Times New Roman"/>
                <w:lang w:eastAsia="pl-PL"/>
              </w:rPr>
              <w:br/>
              <w:t>NA ZADANIA SPOŁECZNE</w:t>
            </w:r>
            <w:r w:rsidR="00FB5EB2">
              <w:rPr>
                <w:rFonts w:eastAsia="Times New Roman" w:cs="Times New Roman"/>
                <w:lang w:eastAsia="pl-PL"/>
              </w:rPr>
              <w:t xml:space="preserve"> W TYM:                                                                                                                                                                                                                    </w:t>
            </w:r>
            <w:r w:rsidR="00FB5EB2" w:rsidRPr="00EB6F3B">
              <w:rPr>
                <w:rFonts w:eastAsia="Times New Roman" w:cs="Times New Roman"/>
                <w:b/>
                <w:u w:val="single"/>
                <w:lang w:eastAsia="pl-PL"/>
              </w:rPr>
              <w:t>1 278 600 PLN</w:t>
            </w:r>
          </w:p>
          <w:p w:rsidR="00FB5EB2" w:rsidRPr="00EE0C8C" w:rsidRDefault="00FB5EB2" w:rsidP="00EB6F3B">
            <w:pPr>
              <w:tabs>
                <w:tab w:val="left" w:pos="13764"/>
              </w:tabs>
              <w:spacing w:before="100" w:beforeAutospacing="1" w:after="200" w:line="276" w:lineRule="auto"/>
              <w:rPr>
                <w:rFonts w:eastAsia="Times New Roman" w:cs="Times New Roman"/>
                <w:lang w:eastAsia="pl-PL"/>
              </w:rPr>
            </w:pPr>
            <w:r>
              <w:rPr>
                <w:rFonts w:eastAsia="Times New Roman" w:cs="Times New Roman"/>
                <w:lang w:eastAsia="pl-PL"/>
              </w:rPr>
              <w:t>ZADANIA PUBLICZNE :                                                                                                                                                                                                                                           268 600 PLN</w:t>
            </w:r>
            <w:r>
              <w:rPr>
                <w:rFonts w:eastAsia="Times New Roman" w:cs="Times New Roman"/>
                <w:lang w:eastAsia="pl-PL"/>
              </w:rPr>
              <w:br/>
              <w:t xml:space="preserve">ZADANIA </w:t>
            </w:r>
            <w:r w:rsidR="00EB6F3B">
              <w:rPr>
                <w:rFonts w:eastAsia="Times New Roman" w:cs="Times New Roman"/>
                <w:lang w:eastAsia="pl-PL"/>
              </w:rPr>
              <w:t>PRYWATN</w:t>
            </w:r>
            <w:r>
              <w:rPr>
                <w:rFonts w:eastAsia="Times New Roman" w:cs="Times New Roman"/>
                <w:lang w:eastAsia="pl-PL"/>
              </w:rPr>
              <w:t xml:space="preserve">E:                                                                                                                                                                                                                </w:t>
            </w:r>
            <w:r w:rsidR="00EB6F3B">
              <w:rPr>
                <w:rFonts w:eastAsia="Times New Roman" w:cs="Times New Roman"/>
                <w:lang w:eastAsia="pl-PL"/>
              </w:rPr>
              <w:t xml:space="preserve">     </w:t>
            </w:r>
            <w:r>
              <w:rPr>
                <w:rFonts w:eastAsia="Times New Roman" w:cs="Times New Roman"/>
                <w:lang w:eastAsia="pl-PL"/>
              </w:rPr>
              <w:t xml:space="preserve">                   1 010 000 PLN</w:t>
            </w:r>
          </w:p>
        </w:tc>
      </w:tr>
    </w:tbl>
    <w:p w:rsidR="00EE0C8C" w:rsidRPr="00EE0C8C" w:rsidRDefault="00EE0C8C" w:rsidP="00EE0C8C">
      <w:pPr>
        <w:jc w:val="center"/>
        <w:rPr>
          <w:b/>
          <w:bCs/>
          <w:iCs/>
          <w:color w:val="000000" w:themeColor="text1"/>
        </w:rPr>
      </w:pPr>
      <w:r w:rsidRPr="00EE0C8C">
        <w:rPr>
          <w:b/>
          <w:bCs/>
          <w:iCs/>
          <w:color w:val="000000" w:themeColor="text1"/>
        </w:rPr>
        <w:t xml:space="preserve">Uwaga: </w:t>
      </w:r>
      <w:r w:rsidR="00FB5EB2">
        <w:rPr>
          <w:b/>
          <w:bCs/>
          <w:iCs/>
          <w:color w:val="000000" w:themeColor="text1"/>
        </w:rPr>
        <w:t xml:space="preserve">Na okoliczność realizacji programu gimnastyki korekcyjnej zadanie </w:t>
      </w:r>
      <w:r w:rsidRPr="00EE0C8C">
        <w:rPr>
          <w:b/>
          <w:bCs/>
          <w:iCs/>
          <w:color w:val="000000" w:themeColor="text1"/>
        </w:rPr>
        <w:t>nieinwestycyjnie z pozycji 1, winny być zgodnie z art. 21 ustawy z dnia 9 października 2015r. o rewitalizacji uwzględnione w Wieloletniej prognozie finansowej gminy Mirzec.</w:t>
      </w:r>
    </w:p>
    <w:p w:rsidR="00EE0C8C" w:rsidRPr="00EE0C8C" w:rsidRDefault="00EE0C8C" w:rsidP="00EE0C8C">
      <w:pPr>
        <w:ind w:firstLine="1134"/>
        <w:jc w:val="both"/>
      </w:pPr>
    </w:p>
    <w:p w:rsidR="00EE0C8C" w:rsidRPr="00EE0C8C" w:rsidRDefault="00EE0C8C" w:rsidP="00EE0C8C">
      <w:pPr>
        <w:rPr>
          <w:b/>
          <w:bCs/>
          <w:iCs/>
          <w:color w:val="4F81BD" w:themeColor="accent1"/>
          <w:sz w:val="28"/>
          <w:szCs w:val="28"/>
        </w:rPr>
        <w:sectPr w:rsidR="00EE0C8C" w:rsidRPr="00EE0C8C" w:rsidSect="00A76BDB">
          <w:pgSz w:w="16838" w:h="11906" w:orient="landscape"/>
          <w:pgMar w:top="1417" w:right="1417" w:bottom="1417" w:left="1417" w:header="709" w:footer="709" w:gutter="0"/>
          <w:cols w:space="708"/>
          <w:docGrid w:linePitch="360"/>
        </w:sectPr>
      </w:pPr>
    </w:p>
    <w:p w:rsidR="00EE0C8C" w:rsidRPr="00EE0C8C" w:rsidRDefault="00EE0C8C" w:rsidP="00EE0C8C">
      <w:pPr>
        <w:jc w:val="both"/>
      </w:pPr>
      <w:r w:rsidRPr="00EE0C8C">
        <w:lastRenderedPageBreak/>
        <w:t>Uwaga: zadania społeczne są realizowane w ramach tzw. cross-financingu - finansowania krzyżowego lub hybrydowego (dotacje + PPP + sponsoring) na terenie całego obszaru zdegradowanego objętego obszarem rewitalizacji. Zadań społecznych nie wpisujemy do W</w:t>
      </w:r>
      <w:r w:rsidR="00C84CBC">
        <w:t xml:space="preserve">ieloletniej Prognozy Finansowej, </w:t>
      </w:r>
      <w:r w:rsidR="00896A64">
        <w:t>gdyż</w:t>
      </w:r>
      <w:r w:rsidR="00C84CBC">
        <w:t xml:space="preserve"> </w:t>
      </w:r>
      <w:r w:rsidRPr="00EE0C8C">
        <w:t>ich budżety konstruowane są w sposób neutralny do indywidualnego wskaźnika zadłużenia Gminy Mirzec. Powiązanie z budżetem Gminy Mirzec wynika wyłącznie z rocznych budżetów JST takich jak: szkoły, przedszkola, Gminny Dom Kultury i Integracji i Biblioteki, Gminny Ośrodek Pomocy Społecznej. Pozostałe środki pochodzą z pozyskanych dotacji celowych, ze sponsoringu, PPP lub wpływów własnych uzyskanych w poszczególnych projektach.</w:t>
      </w:r>
    </w:p>
    <w:p w:rsidR="00EE0C8C" w:rsidRPr="00EE0C8C" w:rsidRDefault="00EE0C8C" w:rsidP="00EE0C8C">
      <w:pPr>
        <w:jc w:val="both"/>
      </w:pPr>
      <w:r w:rsidRPr="00EE0C8C">
        <w:t xml:space="preserve">Zadania społeczne pełnią zgodnie z Wytycznymi w zakresie rewitalizacji w programach operacyjnych na lata 2014-2020 z dnia 3 lipca 2015 r. MIiR/H 2014-2020/20(01)/07/2015, załącznik: Cechy </w:t>
      </w:r>
      <w:r w:rsidR="00896A64">
        <w:br/>
      </w:r>
      <w:r w:rsidRPr="00EE0C8C">
        <w:t>i elementy programów rewitalizacji pkt 5 Minimalna zawartość programu rewitalizacji ppkt 1g). funkcje wspierające dla projektów i przedsięwzięć rewitalizacyjnych, mających charakter zasadniczy na obszarze objętym rewitalizacją miejscowości Mirzec (pkt. 5 ppkt 1f).  Wytycznych MIiR).</w:t>
      </w:r>
    </w:p>
    <w:p w:rsidR="00EE0C8C" w:rsidRPr="00EE0C8C" w:rsidRDefault="00EE0C8C" w:rsidP="00EE0C8C">
      <w:pPr>
        <w:jc w:val="both"/>
      </w:pPr>
    </w:p>
    <w:p w:rsidR="00EE0C8C" w:rsidRPr="00EE0C8C" w:rsidRDefault="00EE0C8C" w:rsidP="00EE0C8C">
      <w:pPr>
        <w:pBdr>
          <w:top w:val="double" w:sz="4" w:space="1" w:color="auto"/>
          <w:left w:val="double" w:sz="4" w:space="4" w:color="auto"/>
          <w:bottom w:val="double" w:sz="4" w:space="1" w:color="auto"/>
          <w:right w:val="double" w:sz="4" w:space="4" w:color="auto"/>
        </w:pBdr>
        <w:jc w:val="both"/>
        <w:rPr>
          <w:rFonts w:ascii="Calibri" w:eastAsia="Times New Roman" w:hAnsi="Calibri" w:cs="Times New Roman"/>
          <w:b/>
          <w:bCs/>
          <w:lang w:eastAsia="pl-PL"/>
        </w:rPr>
      </w:pPr>
      <w:r w:rsidRPr="00EE0C8C">
        <w:rPr>
          <w:rFonts w:ascii="Calibri" w:eastAsia="Times New Roman" w:hAnsi="Calibri" w:cs="Times New Roman"/>
          <w:b/>
          <w:bCs/>
          <w:lang w:eastAsia="pl-PL"/>
        </w:rPr>
        <w:t>Wielkość obszaru rewitalizacji wynosi ok. 1487,1 ha ( ok. 13,51 % powierzchni całkowitej gminy) , który zamieszkuje 2162 mieszkańców ( ok. 25,67 % wszystkich mieszkańców gminy).</w:t>
      </w:r>
    </w:p>
    <w:p w:rsidR="00EE0C8C" w:rsidRPr="00EE0C8C" w:rsidRDefault="00EE0C8C" w:rsidP="00EE0C8C">
      <w:pPr>
        <w:rPr>
          <w:b/>
          <w:bCs/>
          <w:iCs/>
          <w:color w:val="4F81BD" w:themeColor="accent1"/>
          <w:sz w:val="28"/>
          <w:szCs w:val="28"/>
        </w:rPr>
      </w:pPr>
    </w:p>
    <w:p w:rsidR="00EE0C8C" w:rsidRPr="00EE0C8C" w:rsidRDefault="00EE0C8C" w:rsidP="00EE0C8C">
      <w:pPr>
        <w:rPr>
          <w:b/>
          <w:bCs/>
          <w:iCs/>
          <w:color w:val="4F81BD" w:themeColor="accent1"/>
          <w:sz w:val="28"/>
          <w:szCs w:val="28"/>
        </w:rPr>
      </w:pPr>
      <w:r w:rsidRPr="00EE0C8C">
        <w:rPr>
          <w:b/>
          <w:bCs/>
          <w:iCs/>
          <w:color w:val="4F81BD" w:themeColor="accent1"/>
          <w:sz w:val="28"/>
          <w:szCs w:val="28"/>
        </w:rPr>
        <w:br w:type="page"/>
      </w:r>
    </w:p>
    <w:p w:rsidR="00EE0C8C" w:rsidRPr="00EE0C8C" w:rsidRDefault="00EE0C8C" w:rsidP="00EE0C8C">
      <w:pPr>
        <w:rPr>
          <w:b/>
          <w:bCs/>
          <w:iCs/>
          <w:color w:val="4F81BD" w:themeColor="accent1"/>
          <w:sz w:val="28"/>
          <w:szCs w:val="28"/>
        </w:rPr>
        <w:sectPr w:rsidR="00EE0C8C" w:rsidRPr="00EE0C8C" w:rsidSect="00A76BDB">
          <w:type w:val="continuous"/>
          <w:pgSz w:w="11906" w:h="16838"/>
          <w:pgMar w:top="1417" w:right="1417" w:bottom="1417" w:left="1417" w:header="709" w:footer="709" w:gutter="0"/>
          <w:cols w:space="708"/>
          <w:docGrid w:linePitch="360"/>
        </w:sectPr>
      </w:pPr>
    </w:p>
    <w:p w:rsidR="00EE0C8C" w:rsidRDefault="00EE0C8C" w:rsidP="00A76BDB">
      <w:pPr>
        <w:pStyle w:val="Nagwek2"/>
      </w:pPr>
      <w:bookmarkStart w:id="119" w:name="_Toc450562522"/>
      <w:r w:rsidRPr="00EE0C8C">
        <w:lastRenderedPageBreak/>
        <w:t>6.3. MATRYCA POWIĄZANIA ZADAŃ INWESTYCYJNYCH I SPOŁEYCH GPR.</w:t>
      </w:r>
      <w:bookmarkEnd w:id="119"/>
    </w:p>
    <w:p w:rsidR="00A76BDB" w:rsidRPr="00A76BDB" w:rsidRDefault="00A76BDB" w:rsidP="00A76BDB"/>
    <w:tbl>
      <w:tblPr>
        <w:tblStyle w:val="Kolorowalistaakcent61"/>
        <w:tblW w:w="4925" w:type="pct"/>
        <w:tblLayout w:type="fixed"/>
        <w:tblLook w:val="02A0" w:firstRow="1" w:lastRow="0" w:firstColumn="1" w:lastColumn="0" w:noHBand="1" w:noVBand="0"/>
      </w:tblPr>
      <w:tblGrid>
        <w:gridCol w:w="3583"/>
        <w:gridCol w:w="1303"/>
        <w:gridCol w:w="1303"/>
        <w:gridCol w:w="1303"/>
        <w:gridCol w:w="1303"/>
        <w:gridCol w:w="1303"/>
        <w:gridCol w:w="1303"/>
        <w:gridCol w:w="1303"/>
        <w:gridCol w:w="1303"/>
      </w:tblGrid>
      <w:tr w:rsidR="00EE0C8C" w:rsidRPr="00EE0C8C" w:rsidTr="005E59F1">
        <w:trPr>
          <w:cnfStyle w:val="100000000000" w:firstRow="1" w:lastRow="0" w:firstColumn="0" w:lastColumn="0" w:oddVBand="0" w:evenVBand="0" w:oddHBand="0" w:evenHBand="0" w:firstRowFirstColumn="0" w:firstRowLastColumn="0" w:lastRowFirstColumn="0" w:lastRowLastColumn="0"/>
          <w:trHeight w:val="2296"/>
        </w:trPr>
        <w:tc>
          <w:tcPr>
            <w:cnfStyle w:val="001000000000" w:firstRow="0" w:lastRow="0" w:firstColumn="1" w:lastColumn="0" w:oddVBand="0" w:evenVBand="0" w:oddHBand="0" w:evenHBand="0" w:firstRowFirstColumn="0" w:firstRowLastColumn="0" w:lastRowFirstColumn="0" w:lastRowLastColumn="0"/>
            <w:tcW w:w="1279" w:type="pct"/>
            <w:tc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tl2br w:val="single" w:sz="18" w:space="0" w:color="76923C" w:themeColor="accent3" w:themeShade="BF"/>
            </w:tcBorders>
          </w:tcPr>
          <w:p w:rsidR="00EE0C8C" w:rsidRPr="00EE0C8C" w:rsidRDefault="00EE0C8C" w:rsidP="00EE0C8C">
            <w:pPr>
              <w:jc w:val="right"/>
              <w:rPr>
                <w:rFonts w:ascii="Times New Roman" w:eastAsia="Calibri" w:hAnsi="Times New Roman" w:cs="Times New Roman"/>
                <w:lang w:eastAsia="pl-PL"/>
              </w:rPr>
            </w:pPr>
            <w:r w:rsidRPr="00EE0C8C">
              <w:rPr>
                <w:rFonts w:ascii="Times New Roman" w:eastAsia="Calibri" w:hAnsi="Times New Roman" w:cs="Times New Roman"/>
                <w:lang w:eastAsia="pl-PL"/>
              </w:rPr>
              <w:t xml:space="preserve">   </w:t>
            </w:r>
          </w:p>
          <w:p w:rsidR="00EE0C8C" w:rsidRPr="00EE0C8C" w:rsidRDefault="00EE0C8C" w:rsidP="00EE0C8C">
            <w:pPr>
              <w:jc w:val="right"/>
              <w:rPr>
                <w:rFonts w:ascii="Times New Roman" w:eastAsia="Calibri" w:hAnsi="Times New Roman" w:cs="Times New Roman"/>
                <w:lang w:eastAsia="pl-PL"/>
              </w:rPr>
            </w:pPr>
            <w:r w:rsidRPr="00EE0C8C">
              <w:rPr>
                <w:rFonts w:ascii="Times New Roman" w:eastAsia="Calibri" w:hAnsi="Times New Roman" w:cs="Times New Roman"/>
                <w:lang w:eastAsia="pl-PL"/>
              </w:rPr>
              <w:t xml:space="preserve"> ZADANIA SPOŁECZNE</w:t>
            </w:r>
          </w:p>
          <w:p w:rsidR="00EE0C8C" w:rsidRPr="00EE0C8C" w:rsidRDefault="00EE0C8C" w:rsidP="00EE0C8C">
            <w:pPr>
              <w:jc w:val="both"/>
              <w:rPr>
                <w:rFonts w:ascii="Times New Roman" w:eastAsia="Calibri" w:hAnsi="Times New Roman" w:cs="Times New Roman"/>
                <w:lang w:eastAsia="pl-PL"/>
              </w:rPr>
            </w:pPr>
          </w:p>
          <w:p w:rsidR="00EE0C8C" w:rsidRPr="00EE0C8C" w:rsidRDefault="00EE0C8C" w:rsidP="00EE0C8C">
            <w:pPr>
              <w:jc w:val="both"/>
              <w:rPr>
                <w:rFonts w:ascii="Times New Roman" w:eastAsia="Calibri" w:hAnsi="Times New Roman" w:cs="Times New Roman"/>
                <w:lang w:eastAsia="pl-PL"/>
              </w:rPr>
            </w:pPr>
          </w:p>
          <w:p w:rsidR="00EE0C8C" w:rsidRPr="00EE0C8C" w:rsidRDefault="00EE0C8C" w:rsidP="00EE0C8C">
            <w:pPr>
              <w:jc w:val="both"/>
              <w:rPr>
                <w:rFonts w:ascii="Times New Roman" w:eastAsia="Calibri" w:hAnsi="Times New Roman" w:cs="Times New Roman"/>
                <w:lang w:eastAsia="pl-PL"/>
              </w:rPr>
            </w:pPr>
          </w:p>
          <w:p w:rsidR="00EE0C8C" w:rsidRPr="00EE0C8C" w:rsidRDefault="00EE0C8C" w:rsidP="00EE0C8C">
            <w:pPr>
              <w:jc w:val="both"/>
              <w:rPr>
                <w:rFonts w:ascii="Times New Roman" w:eastAsia="Calibri" w:hAnsi="Times New Roman" w:cs="Times New Roman"/>
                <w:lang w:eastAsia="pl-PL"/>
              </w:rPr>
            </w:pPr>
          </w:p>
          <w:p w:rsidR="00EE0C8C" w:rsidRPr="00EE0C8C" w:rsidRDefault="00EE0C8C" w:rsidP="00EE0C8C">
            <w:pPr>
              <w:jc w:val="both"/>
              <w:rPr>
                <w:rFonts w:ascii="Times New Roman" w:eastAsia="Calibri" w:hAnsi="Times New Roman" w:cs="Times New Roman"/>
                <w:lang w:eastAsia="pl-PL"/>
              </w:rPr>
            </w:pPr>
          </w:p>
          <w:p w:rsidR="00EE0C8C" w:rsidRPr="00EE0C8C" w:rsidRDefault="00EE0C8C" w:rsidP="00EE0C8C">
            <w:pPr>
              <w:jc w:val="both"/>
              <w:rPr>
                <w:rFonts w:ascii="Times New Roman" w:eastAsia="Calibri" w:hAnsi="Times New Roman" w:cs="Times New Roman"/>
                <w:lang w:eastAsia="pl-PL"/>
              </w:rPr>
            </w:pPr>
          </w:p>
          <w:p w:rsidR="00EE0C8C" w:rsidRPr="00EE0C8C" w:rsidRDefault="00EE0C8C" w:rsidP="00EE0C8C">
            <w:pPr>
              <w:jc w:val="both"/>
              <w:rPr>
                <w:rFonts w:ascii="Times New Roman" w:eastAsia="Calibri" w:hAnsi="Times New Roman" w:cs="Times New Roman"/>
                <w:lang w:eastAsia="pl-PL"/>
              </w:rPr>
            </w:pPr>
          </w:p>
          <w:p w:rsidR="00EE0C8C" w:rsidRPr="00EE0C8C" w:rsidRDefault="00EE0C8C" w:rsidP="00EE0C8C">
            <w:pPr>
              <w:jc w:val="both"/>
              <w:rPr>
                <w:rFonts w:ascii="Times New Roman" w:eastAsia="Calibri" w:hAnsi="Times New Roman" w:cs="Times New Roman"/>
                <w:lang w:eastAsia="pl-PL"/>
              </w:rPr>
            </w:pPr>
          </w:p>
          <w:p w:rsidR="00EE0C8C" w:rsidRPr="00EE0C8C" w:rsidRDefault="00EE0C8C" w:rsidP="00EE0C8C">
            <w:pPr>
              <w:jc w:val="both"/>
              <w:rPr>
                <w:rFonts w:ascii="Times New Roman" w:eastAsia="Calibri" w:hAnsi="Times New Roman" w:cs="Times New Roman"/>
                <w:lang w:eastAsia="pl-PL"/>
              </w:rPr>
            </w:pPr>
          </w:p>
          <w:p w:rsidR="00EE0C8C" w:rsidRPr="00EE0C8C" w:rsidRDefault="00EE0C8C" w:rsidP="00EE0C8C">
            <w:pPr>
              <w:jc w:val="both"/>
              <w:rPr>
                <w:rFonts w:ascii="Times New Roman" w:eastAsia="Calibri" w:hAnsi="Times New Roman" w:cs="Times New Roman"/>
                <w:lang w:eastAsia="pl-PL"/>
              </w:rPr>
            </w:pPr>
          </w:p>
          <w:p w:rsidR="00EE0C8C" w:rsidRPr="00EE0C8C" w:rsidRDefault="00EE0C8C" w:rsidP="00EE0C8C">
            <w:pPr>
              <w:rPr>
                <w:rFonts w:ascii="Times New Roman" w:eastAsia="Calibri" w:hAnsi="Times New Roman" w:cs="Times New Roman"/>
                <w:lang w:eastAsia="pl-PL"/>
              </w:rPr>
            </w:pPr>
            <w:r w:rsidRPr="00EE0C8C">
              <w:rPr>
                <w:rFonts w:ascii="Times New Roman" w:eastAsia="Calibri" w:hAnsi="Times New Roman" w:cs="Times New Roman"/>
                <w:lang w:eastAsia="pl-PL"/>
              </w:rPr>
              <w:t xml:space="preserve">ZADANIA </w:t>
            </w:r>
            <w:r w:rsidRPr="00EE0C8C">
              <w:rPr>
                <w:rFonts w:ascii="Times New Roman" w:eastAsia="Calibri" w:hAnsi="Times New Roman" w:cs="Times New Roman"/>
                <w:lang w:eastAsia="pl-PL"/>
              </w:rPr>
              <w:br/>
              <w:t>INWESTYCYJNE</w:t>
            </w:r>
          </w:p>
        </w:tc>
        <w:tc>
          <w:tcPr>
            <w:cnfStyle w:val="000010000000" w:firstRow="0" w:lastRow="0" w:firstColumn="0" w:lastColumn="0" w:oddVBand="1" w:evenVBand="0" w:oddHBand="0" w:evenHBand="0" w:firstRowFirstColumn="0" w:firstRowLastColumn="0" w:lastRowFirstColumn="0" w:lastRowLastColumn="0"/>
            <w:tcW w:w="465" w:type="pct"/>
            <w:tcBorders>
              <w:top w:val="single" w:sz="18" w:space="0" w:color="76923C" w:themeColor="accent3" w:themeShade="BF"/>
              <w:left w:val="single" w:sz="18" w:space="0" w:color="76923C" w:themeColor="accent3" w:themeShade="BF"/>
              <w:bottom w:val="single" w:sz="18" w:space="0" w:color="76923C" w:themeColor="accent3" w:themeShade="BF"/>
              <w:right w:val="single" w:sz="12" w:space="0" w:color="76923C" w:themeColor="accent3" w:themeShade="BF"/>
            </w:tcBorders>
            <w:textDirection w:val="btLr"/>
          </w:tcPr>
          <w:p w:rsidR="00EE0C8C" w:rsidRPr="00EE0C8C" w:rsidRDefault="00EE0C8C" w:rsidP="00DC61B1">
            <w:pPr>
              <w:numPr>
                <w:ilvl w:val="0"/>
                <w:numId w:val="39"/>
              </w:numPr>
              <w:spacing w:before="120"/>
              <w:ind w:right="113"/>
              <w:contextualSpacing/>
              <w:rPr>
                <w:rFonts w:ascii="Times New Roman" w:eastAsia="Calibri" w:hAnsi="Times New Roman" w:cs="Times New Roman"/>
                <w:lang w:eastAsia="pl-PL"/>
              </w:rPr>
            </w:pPr>
            <w:r w:rsidRPr="00EE0C8C">
              <w:rPr>
                <w:rFonts w:ascii="Times New Roman" w:eastAsia="Calibri" w:hAnsi="Times New Roman" w:cs="Times New Roman"/>
                <w:iCs/>
                <w:lang w:eastAsia="pl-PL"/>
              </w:rPr>
              <w:t>PROGRAM GIMNASTYKI KOREKCYJNEJ I ZAPOBIEGANIA WADOM POSTAWY CIAŁA WŚRÓD UCZNIÓW Z TERENU GMINY MIRZEC</w:t>
            </w:r>
          </w:p>
        </w:tc>
        <w:tc>
          <w:tcPr>
            <w:tcW w:w="465" w:type="pct"/>
            <w:tcBorders>
              <w:top w:val="single" w:sz="18" w:space="0" w:color="76923C" w:themeColor="accent3" w:themeShade="BF"/>
              <w:left w:val="single" w:sz="12" w:space="0" w:color="76923C" w:themeColor="accent3" w:themeShade="BF"/>
              <w:bottom w:val="single" w:sz="18" w:space="0" w:color="76923C" w:themeColor="accent3" w:themeShade="BF"/>
              <w:right w:val="single" w:sz="12" w:space="0" w:color="76923C" w:themeColor="accent3" w:themeShade="BF"/>
            </w:tcBorders>
            <w:textDirection w:val="btLr"/>
          </w:tcPr>
          <w:p w:rsidR="00EE0C8C" w:rsidRPr="00EE0C8C" w:rsidRDefault="00EE0C8C" w:rsidP="00DC61B1">
            <w:pPr>
              <w:numPr>
                <w:ilvl w:val="0"/>
                <w:numId w:val="39"/>
              </w:numPr>
              <w:spacing w:before="120"/>
              <w:ind w:right="113"/>
              <w:contextualSpacing/>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lang w:eastAsia="pl-PL"/>
              </w:rPr>
            </w:pPr>
            <w:r w:rsidRPr="00EE0C8C">
              <w:rPr>
                <w:rFonts w:ascii="Times New Roman" w:eastAsia="Calibri" w:hAnsi="Times New Roman" w:cs="Times New Roman"/>
                <w:iCs/>
                <w:lang w:eastAsia="pl-PL"/>
              </w:rPr>
              <w:t>MŁODZIEŻOWA RADA GMINY MIRZEC</w:t>
            </w:r>
          </w:p>
        </w:tc>
        <w:tc>
          <w:tcPr>
            <w:cnfStyle w:val="000010000000" w:firstRow="0" w:lastRow="0" w:firstColumn="0" w:lastColumn="0" w:oddVBand="1" w:evenVBand="0" w:oddHBand="0" w:evenHBand="0" w:firstRowFirstColumn="0" w:firstRowLastColumn="0" w:lastRowFirstColumn="0" w:lastRowLastColumn="0"/>
            <w:tcW w:w="465" w:type="pct"/>
            <w:tcBorders>
              <w:top w:val="single" w:sz="18" w:space="0" w:color="76923C" w:themeColor="accent3" w:themeShade="BF"/>
              <w:left w:val="single" w:sz="12" w:space="0" w:color="76923C" w:themeColor="accent3" w:themeShade="BF"/>
              <w:bottom w:val="single" w:sz="18" w:space="0" w:color="76923C" w:themeColor="accent3" w:themeShade="BF"/>
              <w:right w:val="single" w:sz="12" w:space="0" w:color="76923C" w:themeColor="accent3" w:themeShade="BF"/>
            </w:tcBorders>
            <w:textDirection w:val="btLr"/>
          </w:tcPr>
          <w:p w:rsidR="00EE0C8C" w:rsidRPr="00EE0C8C" w:rsidRDefault="00EE0C8C" w:rsidP="00DC61B1">
            <w:pPr>
              <w:numPr>
                <w:ilvl w:val="0"/>
                <w:numId w:val="39"/>
              </w:numPr>
              <w:spacing w:before="120"/>
              <w:ind w:right="113"/>
              <w:contextualSpacing/>
              <w:rPr>
                <w:rFonts w:ascii="Times New Roman" w:eastAsia="Calibri" w:hAnsi="Times New Roman" w:cs="Times New Roman"/>
                <w:lang w:eastAsia="pl-PL"/>
              </w:rPr>
            </w:pPr>
            <w:r w:rsidRPr="00EE0C8C">
              <w:rPr>
                <w:rFonts w:ascii="Times New Roman" w:eastAsia="Calibri" w:hAnsi="Times New Roman" w:cs="Times New Roman"/>
                <w:lang w:eastAsia="pl-PL"/>
              </w:rPr>
              <w:t>WSPÓLNA SPRAWA</w:t>
            </w:r>
          </w:p>
        </w:tc>
        <w:tc>
          <w:tcPr>
            <w:tcW w:w="465" w:type="pct"/>
            <w:tcBorders>
              <w:top w:val="single" w:sz="18" w:space="0" w:color="76923C" w:themeColor="accent3" w:themeShade="BF"/>
              <w:left w:val="single" w:sz="12" w:space="0" w:color="76923C" w:themeColor="accent3" w:themeShade="BF"/>
              <w:bottom w:val="single" w:sz="18" w:space="0" w:color="76923C" w:themeColor="accent3" w:themeShade="BF"/>
              <w:right w:val="single" w:sz="12" w:space="0" w:color="76923C" w:themeColor="accent3" w:themeShade="BF"/>
            </w:tcBorders>
            <w:textDirection w:val="btLr"/>
          </w:tcPr>
          <w:p w:rsidR="00EE0C8C" w:rsidRPr="00EE0C8C" w:rsidRDefault="00EE0C8C" w:rsidP="00DC61B1">
            <w:pPr>
              <w:numPr>
                <w:ilvl w:val="0"/>
                <w:numId w:val="39"/>
              </w:numPr>
              <w:spacing w:before="120"/>
              <w:ind w:right="113"/>
              <w:contextualSpacing/>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lang w:eastAsia="pl-PL"/>
              </w:rPr>
            </w:pPr>
            <w:r w:rsidRPr="00EE0C8C">
              <w:rPr>
                <w:rFonts w:ascii="Times New Roman" w:eastAsia="Calibri" w:hAnsi="Times New Roman" w:cs="Times New Roman"/>
                <w:lang w:eastAsia="pl-PL"/>
              </w:rPr>
              <w:t>AKTYWIZACJA ZAWODOWA W STOSUNKU DO OSÓB SEKTORA BRANŻY KAMIENIA I USŁUGI BETONIARSKIE</w:t>
            </w:r>
          </w:p>
        </w:tc>
        <w:tc>
          <w:tcPr>
            <w:cnfStyle w:val="000010000000" w:firstRow="0" w:lastRow="0" w:firstColumn="0" w:lastColumn="0" w:oddVBand="1" w:evenVBand="0" w:oddHBand="0" w:evenHBand="0" w:firstRowFirstColumn="0" w:firstRowLastColumn="0" w:lastRowFirstColumn="0" w:lastRowLastColumn="0"/>
            <w:tcW w:w="465" w:type="pct"/>
            <w:tcBorders>
              <w:top w:val="single" w:sz="18" w:space="0" w:color="76923C" w:themeColor="accent3" w:themeShade="BF"/>
              <w:left w:val="single" w:sz="12" w:space="0" w:color="76923C" w:themeColor="accent3" w:themeShade="BF"/>
              <w:bottom w:val="single" w:sz="18" w:space="0" w:color="76923C" w:themeColor="accent3" w:themeShade="BF"/>
              <w:right w:val="single" w:sz="12" w:space="0" w:color="76923C" w:themeColor="accent3" w:themeShade="BF"/>
            </w:tcBorders>
            <w:textDirection w:val="btLr"/>
          </w:tcPr>
          <w:p w:rsidR="00EE0C8C" w:rsidRPr="00EE0C8C" w:rsidRDefault="00EE0C8C" w:rsidP="00DC61B1">
            <w:pPr>
              <w:numPr>
                <w:ilvl w:val="0"/>
                <w:numId w:val="39"/>
              </w:numPr>
              <w:spacing w:before="120"/>
              <w:ind w:right="113"/>
              <w:contextualSpacing/>
              <w:rPr>
                <w:rFonts w:ascii="Times New Roman" w:eastAsia="Calibri" w:hAnsi="Times New Roman" w:cs="Times New Roman"/>
                <w:lang w:eastAsia="pl-PL"/>
              </w:rPr>
            </w:pPr>
            <w:r w:rsidRPr="00EE0C8C">
              <w:rPr>
                <w:rFonts w:ascii="Times New Roman" w:eastAsia="Calibri" w:hAnsi="Times New Roman" w:cs="Times New Roman"/>
                <w:lang w:eastAsia="pl-PL"/>
              </w:rPr>
              <w:t>ZATRUDNIENIE 1 OSOBY</w:t>
            </w:r>
          </w:p>
        </w:tc>
        <w:tc>
          <w:tcPr>
            <w:tcW w:w="465" w:type="pct"/>
            <w:tcBorders>
              <w:top w:val="single" w:sz="18" w:space="0" w:color="76923C" w:themeColor="accent3" w:themeShade="BF"/>
              <w:left w:val="single" w:sz="12" w:space="0" w:color="76923C" w:themeColor="accent3" w:themeShade="BF"/>
              <w:bottom w:val="single" w:sz="18" w:space="0" w:color="76923C" w:themeColor="accent3" w:themeShade="BF"/>
              <w:right w:val="single" w:sz="12" w:space="0" w:color="76923C" w:themeColor="accent3" w:themeShade="BF"/>
            </w:tcBorders>
            <w:textDirection w:val="btLr"/>
          </w:tcPr>
          <w:p w:rsidR="00EE0C8C" w:rsidRPr="00EE0C8C" w:rsidRDefault="00EE0C8C" w:rsidP="00DC61B1">
            <w:pPr>
              <w:numPr>
                <w:ilvl w:val="0"/>
                <w:numId w:val="39"/>
              </w:numPr>
              <w:spacing w:before="120"/>
              <w:ind w:right="113"/>
              <w:contextualSpacing/>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lang w:eastAsia="pl-PL"/>
              </w:rPr>
            </w:pPr>
            <w:r w:rsidRPr="00EE0C8C">
              <w:rPr>
                <w:rFonts w:ascii="Times New Roman" w:eastAsia="Calibri" w:hAnsi="Times New Roman" w:cs="Times New Roman"/>
                <w:lang w:eastAsia="pl-PL"/>
              </w:rPr>
              <w:t>PRZECIWDZIAŁANIE BEZROBOCIU POPRZEZ ZATRUDNIENIE SPRZEDAWCÓW MAGAZYNIERA</w:t>
            </w:r>
          </w:p>
        </w:tc>
        <w:tc>
          <w:tcPr>
            <w:cnfStyle w:val="000010000000" w:firstRow="0" w:lastRow="0" w:firstColumn="0" w:lastColumn="0" w:oddVBand="1" w:evenVBand="0" w:oddHBand="0" w:evenHBand="0" w:firstRowFirstColumn="0" w:firstRowLastColumn="0" w:lastRowFirstColumn="0" w:lastRowLastColumn="0"/>
            <w:tcW w:w="465" w:type="pct"/>
            <w:tcBorders>
              <w:top w:val="single" w:sz="18" w:space="0" w:color="76923C" w:themeColor="accent3" w:themeShade="BF"/>
              <w:left w:val="single" w:sz="12" w:space="0" w:color="76923C" w:themeColor="accent3" w:themeShade="BF"/>
              <w:bottom w:val="single" w:sz="18" w:space="0" w:color="76923C" w:themeColor="accent3" w:themeShade="BF"/>
              <w:right w:val="single" w:sz="12" w:space="0" w:color="76923C" w:themeColor="accent3" w:themeShade="BF"/>
            </w:tcBorders>
            <w:textDirection w:val="btLr"/>
          </w:tcPr>
          <w:p w:rsidR="00EE0C8C" w:rsidRPr="00EE0C8C" w:rsidRDefault="00EE0C8C" w:rsidP="00DC61B1">
            <w:pPr>
              <w:numPr>
                <w:ilvl w:val="0"/>
                <w:numId w:val="39"/>
              </w:numPr>
              <w:spacing w:before="120"/>
              <w:ind w:right="113"/>
              <w:contextualSpacing/>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Z SENIOREM PRZEZ ŻYCIE</w:t>
            </w:r>
          </w:p>
        </w:tc>
        <w:tc>
          <w:tcPr>
            <w:tcW w:w="465" w:type="pct"/>
            <w:tcBorders>
              <w:top w:val="single" w:sz="18" w:space="0" w:color="76923C" w:themeColor="accent3" w:themeShade="BF"/>
              <w:left w:val="single" w:sz="12" w:space="0" w:color="76923C" w:themeColor="accent3" w:themeShade="BF"/>
              <w:bottom w:val="single" w:sz="18" w:space="0" w:color="76923C" w:themeColor="accent3" w:themeShade="BF"/>
              <w:right w:val="single" w:sz="12" w:space="0" w:color="76923C" w:themeColor="accent3" w:themeShade="BF"/>
            </w:tcBorders>
            <w:textDirection w:val="btLr"/>
          </w:tcPr>
          <w:p w:rsidR="00EE0C8C" w:rsidRPr="00EE0C8C" w:rsidRDefault="00EE0C8C" w:rsidP="00DC61B1">
            <w:pPr>
              <w:numPr>
                <w:ilvl w:val="0"/>
                <w:numId w:val="39"/>
              </w:numPr>
              <w:spacing w:before="120"/>
              <w:ind w:right="113"/>
              <w:contextualSpacing/>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ZATRUDNIENIE OSOBY DO OBSŁUGI</w:t>
            </w:r>
          </w:p>
        </w:tc>
      </w:tr>
      <w:tr w:rsidR="00EE0C8C" w:rsidRPr="00EE0C8C" w:rsidTr="005E59F1">
        <w:trPr>
          <w:trHeight w:val="70"/>
        </w:trPr>
        <w:tc>
          <w:tcPr>
            <w:cnfStyle w:val="001000000000" w:firstRow="0" w:lastRow="0" w:firstColumn="1" w:lastColumn="0" w:oddVBand="0" w:evenVBand="0" w:oddHBand="0" w:evenHBand="0" w:firstRowFirstColumn="0" w:firstRowLastColumn="0" w:lastRowFirstColumn="0" w:lastRowLastColumn="0"/>
            <w:tcW w:w="1279" w:type="pct"/>
            <w:tcBorders>
              <w:top w:val="single" w:sz="18" w:space="0" w:color="76923C" w:themeColor="accent3" w:themeShade="BF"/>
              <w:left w:val="single" w:sz="18" w:space="0" w:color="76923C" w:themeColor="accent3" w:themeShade="BF"/>
              <w:bottom w:val="single" w:sz="12" w:space="0" w:color="76923C" w:themeColor="accent3" w:themeShade="BF"/>
              <w:right w:val="single" w:sz="18" w:space="0" w:color="76923C" w:themeColor="accent3" w:themeShade="BF"/>
            </w:tcBorders>
          </w:tcPr>
          <w:p w:rsidR="00EE0C8C" w:rsidRPr="00EE0C8C" w:rsidRDefault="00EE0C8C" w:rsidP="00EE0C8C">
            <w:r w:rsidRPr="00EE0C8C">
              <w:t>1) Zintegrowana rewitalizacja centrum Mirca poprzez kompleksową odnowę kryzysowych terenów i obiektów w obszar rozwojowy tworząc strefy: turystyki, relaksu i aktywności (II etap rewitalizacji)</w:t>
            </w:r>
          </w:p>
        </w:tc>
        <w:tc>
          <w:tcPr>
            <w:cnfStyle w:val="000010000000" w:firstRow="0" w:lastRow="0" w:firstColumn="0" w:lastColumn="0" w:oddVBand="1" w:evenVBand="0" w:oddHBand="0" w:evenHBand="0" w:firstRowFirstColumn="0" w:firstRowLastColumn="0" w:lastRowFirstColumn="0" w:lastRowLastColumn="0"/>
            <w:tcW w:w="465" w:type="pct"/>
            <w:tcBorders>
              <w:top w:val="single" w:sz="18" w:space="0" w:color="76923C" w:themeColor="accent3" w:themeShade="BF"/>
              <w:left w:val="single" w:sz="18"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EE0C8C" w:rsidP="00B529A2">
            <w:pPr>
              <w:jc w:val="center"/>
              <w:rPr>
                <w:rFonts w:ascii="Times New Roman" w:eastAsia="Calibri" w:hAnsi="Times New Roman" w:cs="Times New Roman"/>
                <w:sz w:val="40"/>
                <w:lang w:eastAsia="pl-PL"/>
              </w:rPr>
            </w:pPr>
            <w:r w:rsidRPr="00B529A2">
              <w:rPr>
                <w:rFonts w:ascii="Times New Roman" w:eastAsia="Calibri" w:hAnsi="Times New Roman" w:cs="Times New Roman"/>
                <w:sz w:val="40"/>
                <w:lang w:eastAsia="pl-PL"/>
              </w:rPr>
              <w:t>X</w:t>
            </w:r>
          </w:p>
        </w:tc>
        <w:tc>
          <w:tcPr>
            <w:tcW w:w="465" w:type="pct"/>
            <w:tcBorders>
              <w:top w:val="single" w:sz="18"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EE0C8C" w:rsidP="00B529A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40"/>
                <w:lang w:eastAsia="pl-PL"/>
              </w:rPr>
            </w:pPr>
            <w:r w:rsidRPr="00B529A2">
              <w:rPr>
                <w:rFonts w:ascii="Times New Roman" w:eastAsia="Calibri" w:hAnsi="Times New Roman" w:cs="Times New Roman"/>
                <w:sz w:val="40"/>
                <w:lang w:eastAsia="pl-PL"/>
              </w:rPr>
              <w:t>X</w:t>
            </w:r>
          </w:p>
        </w:tc>
        <w:tc>
          <w:tcPr>
            <w:cnfStyle w:val="000010000000" w:firstRow="0" w:lastRow="0" w:firstColumn="0" w:lastColumn="0" w:oddVBand="1" w:evenVBand="0" w:oddHBand="0" w:evenHBand="0" w:firstRowFirstColumn="0" w:firstRowLastColumn="0" w:lastRowFirstColumn="0" w:lastRowLastColumn="0"/>
            <w:tcW w:w="465" w:type="pct"/>
            <w:tcBorders>
              <w:top w:val="single" w:sz="18"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EE0C8C" w:rsidP="00B529A2">
            <w:pPr>
              <w:jc w:val="center"/>
              <w:rPr>
                <w:rFonts w:ascii="Times New Roman" w:eastAsia="Calibri" w:hAnsi="Times New Roman" w:cs="Times New Roman"/>
                <w:sz w:val="40"/>
                <w:lang w:eastAsia="pl-PL"/>
              </w:rPr>
            </w:pPr>
            <w:r w:rsidRPr="00B529A2">
              <w:rPr>
                <w:rFonts w:ascii="Times New Roman" w:eastAsia="Calibri" w:hAnsi="Times New Roman" w:cs="Times New Roman"/>
                <w:sz w:val="40"/>
                <w:lang w:eastAsia="pl-PL"/>
              </w:rPr>
              <w:t>X</w:t>
            </w:r>
          </w:p>
        </w:tc>
        <w:tc>
          <w:tcPr>
            <w:tcW w:w="465" w:type="pct"/>
            <w:tcBorders>
              <w:top w:val="single" w:sz="18"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B529A2" w:rsidP="00B529A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40"/>
                <w:lang w:eastAsia="pl-PL"/>
              </w:rPr>
            </w:pPr>
            <w:r w:rsidRPr="00B529A2">
              <w:rPr>
                <w:rFonts w:ascii="Times New Roman" w:eastAsia="Calibri" w:hAnsi="Times New Roman" w:cs="Times New Roman"/>
                <w:sz w:val="40"/>
                <w:lang w:eastAsia="pl-PL"/>
              </w:rPr>
              <w:t>X</w:t>
            </w:r>
          </w:p>
        </w:tc>
        <w:tc>
          <w:tcPr>
            <w:cnfStyle w:val="000010000000" w:firstRow="0" w:lastRow="0" w:firstColumn="0" w:lastColumn="0" w:oddVBand="1" w:evenVBand="0" w:oddHBand="0" w:evenHBand="0" w:firstRowFirstColumn="0" w:firstRowLastColumn="0" w:lastRowFirstColumn="0" w:lastRowLastColumn="0"/>
            <w:tcW w:w="465" w:type="pct"/>
            <w:tcBorders>
              <w:top w:val="single" w:sz="18"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EE0C8C" w:rsidP="00B529A2">
            <w:pPr>
              <w:jc w:val="center"/>
              <w:rPr>
                <w:rFonts w:ascii="Times New Roman" w:eastAsia="Calibri" w:hAnsi="Times New Roman" w:cs="Times New Roman"/>
                <w:sz w:val="40"/>
                <w:lang w:eastAsia="pl-PL"/>
              </w:rPr>
            </w:pPr>
            <w:r w:rsidRPr="00B529A2">
              <w:rPr>
                <w:rFonts w:ascii="Times New Roman" w:eastAsia="Calibri" w:hAnsi="Times New Roman" w:cs="Times New Roman"/>
                <w:sz w:val="40"/>
                <w:lang w:eastAsia="pl-PL"/>
              </w:rPr>
              <w:t>X</w:t>
            </w:r>
          </w:p>
        </w:tc>
        <w:tc>
          <w:tcPr>
            <w:tcW w:w="465" w:type="pct"/>
            <w:tcBorders>
              <w:top w:val="single" w:sz="18"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B529A2" w:rsidP="00B529A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40"/>
                <w:lang w:eastAsia="pl-PL"/>
              </w:rPr>
            </w:pPr>
            <w:r w:rsidRPr="00B529A2">
              <w:rPr>
                <w:rFonts w:ascii="Times New Roman" w:eastAsia="Calibri" w:hAnsi="Times New Roman" w:cs="Times New Roman"/>
                <w:sz w:val="40"/>
                <w:lang w:eastAsia="pl-PL"/>
              </w:rPr>
              <w:t>X</w:t>
            </w:r>
          </w:p>
        </w:tc>
        <w:tc>
          <w:tcPr>
            <w:cnfStyle w:val="000010000000" w:firstRow="0" w:lastRow="0" w:firstColumn="0" w:lastColumn="0" w:oddVBand="1" w:evenVBand="0" w:oddHBand="0" w:evenHBand="0" w:firstRowFirstColumn="0" w:firstRowLastColumn="0" w:lastRowFirstColumn="0" w:lastRowLastColumn="0"/>
            <w:tcW w:w="465" w:type="pct"/>
            <w:tcBorders>
              <w:top w:val="single" w:sz="18"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B529A2" w:rsidP="00B529A2">
            <w:pPr>
              <w:jc w:val="center"/>
              <w:rPr>
                <w:rFonts w:ascii="Times New Roman" w:eastAsia="Calibri" w:hAnsi="Times New Roman" w:cs="Times New Roman"/>
                <w:sz w:val="40"/>
                <w:lang w:eastAsia="pl-PL"/>
              </w:rPr>
            </w:pPr>
            <w:r w:rsidRPr="00B529A2">
              <w:rPr>
                <w:rFonts w:ascii="Times New Roman" w:eastAsia="Calibri" w:hAnsi="Times New Roman" w:cs="Times New Roman"/>
                <w:sz w:val="40"/>
                <w:lang w:eastAsia="pl-PL"/>
              </w:rPr>
              <w:t>X</w:t>
            </w:r>
          </w:p>
        </w:tc>
        <w:tc>
          <w:tcPr>
            <w:tcW w:w="465" w:type="pct"/>
            <w:tcBorders>
              <w:top w:val="single" w:sz="18"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EE0C8C" w:rsidP="00B529A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40"/>
                <w:lang w:eastAsia="pl-PL"/>
              </w:rPr>
            </w:pPr>
            <w:r w:rsidRPr="00B529A2">
              <w:rPr>
                <w:rFonts w:ascii="Times New Roman" w:eastAsia="Calibri" w:hAnsi="Times New Roman" w:cs="Times New Roman"/>
                <w:sz w:val="40"/>
                <w:lang w:eastAsia="pl-PL"/>
              </w:rPr>
              <w:t>X</w:t>
            </w:r>
          </w:p>
        </w:tc>
      </w:tr>
      <w:tr w:rsidR="00EE0C8C" w:rsidRPr="00EE0C8C" w:rsidTr="005E59F1">
        <w:trPr>
          <w:trHeight w:val="70"/>
        </w:trPr>
        <w:tc>
          <w:tcPr>
            <w:cnfStyle w:val="001000000000" w:firstRow="0" w:lastRow="0" w:firstColumn="1" w:lastColumn="0" w:oddVBand="0" w:evenVBand="0" w:oddHBand="0" w:evenHBand="0" w:firstRowFirstColumn="0" w:firstRowLastColumn="0" w:lastRowFirstColumn="0" w:lastRowLastColumn="0"/>
            <w:tcW w:w="1279" w:type="pct"/>
            <w:tcBorders>
              <w:top w:val="single" w:sz="12" w:space="0" w:color="76923C" w:themeColor="accent3" w:themeShade="BF"/>
              <w:left w:val="single" w:sz="18" w:space="0" w:color="76923C" w:themeColor="accent3" w:themeShade="BF"/>
              <w:bottom w:val="single" w:sz="12" w:space="0" w:color="76923C" w:themeColor="accent3" w:themeShade="BF"/>
              <w:right w:val="single" w:sz="18" w:space="0" w:color="76923C" w:themeColor="accent3" w:themeShade="BF"/>
            </w:tcBorders>
          </w:tcPr>
          <w:p w:rsidR="00EE0C8C" w:rsidRPr="00EE0C8C" w:rsidRDefault="00EE0C8C" w:rsidP="00EE0C8C">
            <w:r w:rsidRPr="00EE0C8C">
              <w:t>2) Rewitalizacja ośrodka zdrowia w Mircu poprzez naprawę i usprawnienie dostępu do podstawowej opieki zdrowotnej.</w:t>
            </w:r>
          </w:p>
        </w:tc>
        <w:tc>
          <w:tcPr>
            <w:cnfStyle w:val="000010000000" w:firstRow="0" w:lastRow="0" w:firstColumn="0" w:lastColumn="0" w:oddVBand="1" w:evenVBand="0" w:oddHBand="0" w:evenHBand="0" w:firstRowFirstColumn="0" w:firstRowLastColumn="0" w:lastRowFirstColumn="0" w:lastRowLastColumn="0"/>
            <w:tcW w:w="465" w:type="pct"/>
            <w:tcBorders>
              <w:top w:val="single" w:sz="12" w:space="0" w:color="76923C" w:themeColor="accent3" w:themeShade="BF"/>
              <w:left w:val="single" w:sz="18"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EE0C8C" w:rsidP="00B529A2">
            <w:pPr>
              <w:jc w:val="center"/>
              <w:rPr>
                <w:rFonts w:ascii="Times New Roman" w:eastAsia="Calibri" w:hAnsi="Times New Roman" w:cs="Times New Roman"/>
                <w:sz w:val="40"/>
                <w:lang w:eastAsia="pl-PL"/>
              </w:rPr>
            </w:pPr>
            <w:r w:rsidRPr="00B529A2">
              <w:rPr>
                <w:rFonts w:ascii="Times New Roman" w:eastAsia="Calibri" w:hAnsi="Times New Roman" w:cs="Times New Roman"/>
                <w:sz w:val="40"/>
                <w:lang w:eastAsia="pl-PL"/>
              </w:rPr>
              <w:t>X</w:t>
            </w:r>
          </w:p>
        </w:tc>
        <w:tc>
          <w:tcPr>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EE0C8C" w:rsidP="00B529A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40"/>
                <w:lang w:eastAsia="pl-PL"/>
              </w:rPr>
            </w:pPr>
            <w:r w:rsidRPr="00B529A2">
              <w:rPr>
                <w:rFonts w:ascii="Times New Roman" w:eastAsia="Calibri" w:hAnsi="Times New Roman" w:cs="Times New Roman"/>
                <w:sz w:val="40"/>
                <w:lang w:eastAsia="pl-PL"/>
              </w:rPr>
              <w:t>X</w:t>
            </w:r>
          </w:p>
        </w:tc>
        <w:tc>
          <w:tcPr>
            <w:cnfStyle w:val="000010000000" w:firstRow="0" w:lastRow="0" w:firstColumn="0" w:lastColumn="0" w:oddVBand="1" w:evenVBand="0" w:oddHBand="0" w:evenHBand="0" w:firstRowFirstColumn="0" w:firstRowLastColumn="0" w:lastRowFirstColumn="0" w:lastRowLastColumn="0"/>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EE0C8C" w:rsidP="00B529A2">
            <w:pPr>
              <w:jc w:val="center"/>
              <w:rPr>
                <w:rFonts w:ascii="Times New Roman" w:eastAsia="Calibri" w:hAnsi="Times New Roman" w:cs="Times New Roman"/>
                <w:sz w:val="40"/>
                <w:lang w:eastAsia="pl-PL"/>
              </w:rPr>
            </w:pPr>
            <w:r w:rsidRPr="00B529A2">
              <w:rPr>
                <w:rFonts w:ascii="Times New Roman" w:eastAsia="Calibri" w:hAnsi="Times New Roman" w:cs="Times New Roman"/>
                <w:sz w:val="40"/>
                <w:lang w:eastAsia="pl-PL"/>
              </w:rPr>
              <w:t>X</w:t>
            </w:r>
          </w:p>
        </w:tc>
        <w:tc>
          <w:tcPr>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EE0C8C" w:rsidP="00B529A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40"/>
                <w:lang w:eastAsia="pl-PL"/>
              </w:rPr>
            </w:pPr>
            <w:r w:rsidRPr="00B529A2">
              <w:rPr>
                <w:rFonts w:ascii="Times New Roman" w:eastAsia="Calibri" w:hAnsi="Times New Roman" w:cs="Times New Roman"/>
                <w:sz w:val="40"/>
                <w:lang w:eastAsia="pl-PL"/>
              </w:rPr>
              <w:t>X</w:t>
            </w:r>
          </w:p>
        </w:tc>
        <w:tc>
          <w:tcPr>
            <w:cnfStyle w:val="000010000000" w:firstRow="0" w:lastRow="0" w:firstColumn="0" w:lastColumn="0" w:oddVBand="1" w:evenVBand="0" w:oddHBand="0" w:evenHBand="0" w:firstRowFirstColumn="0" w:firstRowLastColumn="0" w:lastRowFirstColumn="0" w:lastRowLastColumn="0"/>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EE0C8C" w:rsidP="00B529A2">
            <w:pPr>
              <w:jc w:val="center"/>
              <w:rPr>
                <w:rFonts w:ascii="Times New Roman" w:eastAsia="Calibri" w:hAnsi="Times New Roman" w:cs="Times New Roman"/>
                <w:sz w:val="40"/>
                <w:lang w:eastAsia="pl-PL"/>
              </w:rPr>
            </w:pPr>
            <w:r w:rsidRPr="00B529A2">
              <w:rPr>
                <w:rFonts w:ascii="Times New Roman" w:eastAsia="Calibri" w:hAnsi="Times New Roman" w:cs="Times New Roman"/>
                <w:sz w:val="40"/>
                <w:lang w:eastAsia="pl-PL"/>
              </w:rPr>
              <w:t>X</w:t>
            </w:r>
          </w:p>
        </w:tc>
        <w:tc>
          <w:tcPr>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B529A2" w:rsidP="00B529A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40"/>
                <w:lang w:eastAsia="pl-PL"/>
              </w:rPr>
            </w:pPr>
            <w:r w:rsidRPr="00B529A2">
              <w:rPr>
                <w:rFonts w:ascii="Times New Roman" w:eastAsia="Calibri" w:hAnsi="Times New Roman" w:cs="Times New Roman"/>
                <w:sz w:val="40"/>
                <w:lang w:eastAsia="pl-PL"/>
              </w:rPr>
              <w:t>X</w:t>
            </w:r>
          </w:p>
        </w:tc>
        <w:tc>
          <w:tcPr>
            <w:cnfStyle w:val="000010000000" w:firstRow="0" w:lastRow="0" w:firstColumn="0" w:lastColumn="0" w:oddVBand="1" w:evenVBand="0" w:oddHBand="0" w:evenHBand="0" w:firstRowFirstColumn="0" w:firstRowLastColumn="0" w:lastRowFirstColumn="0" w:lastRowLastColumn="0"/>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EE0C8C" w:rsidP="00B529A2">
            <w:pPr>
              <w:jc w:val="center"/>
              <w:rPr>
                <w:rFonts w:ascii="Times New Roman" w:eastAsia="Calibri" w:hAnsi="Times New Roman" w:cs="Times New Roman"/>
                <w:sz w:val="40"/>
                <w:lang w:eastAsia="pl-PL"/>
              </w:rPr>
            </w:pPr>
            <w:r w:rsidRPr="00B529A2">
              <w:rPr>
                <w:rFonts w:ascii="Times New Roman" w:eastAsia="Calibri" w:hAnsi="Times New Roman" w:cs="Times New Roman"/>
                <w:sz w:val="40"/>
                <w:lang w:eastAsia="pl-PL"/>
              </w:rPr>
              <w:t>X</w:t>
            </w:r>
          </w:p>
        </w:tc>
        <w:tc>
          <w:tcPr>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EE0C8C" w:rsidP="00B529A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40"/>
                <w:lang w:eastAsia="pl-PL"/>
              </w:rPr>
            </w:pPr>
            <w:r w:rsidRPr="00B529A2">
              <w:rPr>
                <w:rFonts w:ascii="Times New Roman" w:eastAsia="Calibri" w:hAnsi="Times New Roman" w:cs="Times New Roman"/>
                <w:sz w:val="40"/>
                <w:lang w:eastAsia="pl-PL"/>
              </w:rPr>
              <w:t>X</w:t>
            </w:r>
          </w:p>
        </w:tc>
      </w:tr>
      <w:tr w:rsidR="00EE0C8C" w:rsidRPr="00EE0C8C" w:rsidTr="005E59F1">
        <w:trPr>
          <w:trHeight w:val="379"/>
        </w:trPr>
        <w:tc>
          <w:tcPr>
            <w:cnfStyle w:val="001000000000" w:firstRow="0" w:lastRow="0" w:firstColumn="1" w:lastColumn="0" w:oddVBand="0" w:evenVBand="0" w:oddHBand="0" w:evenHBand="0" w:firstRowFirstColumn="0" w:firstRowLastColumn="0" w:lastRowFirstColumn="0" w:lastRowLastColumn="0"/>
            <w:tcW w:w="1279" w:type="pct"/>
            <w:tcBorders>
              <w:top w:val="single" w:sz="12" w:space="0" w:color="76923C" w:themeColor="accent3" w:themeShade="BF"/>
              <w:left w:val="single" w:sz="18" w:space="0" w:color="76923C" w:themeColor="accent3" w:themeShade="BF"/>
              <w:bottom w:val="single" w:sz="12" w:space="0" w:color="76923C" w:themeColor="accent3" w:themeShade="BF"/>
              <w:right w:val="single" w:sz="18" w:space="0" w:color="76923C" w:themeColor="accent3" w:themeShade="BF"/>
            </w:tcBorders>
          </w:tcPr>
          <w:p w:rsidR="00EE0C8C" w:rsidRPr="00EE0C8C" w:rsidRDefault="00EE0C8C" w:rsidP="005E59F1">
            <w:r w:rsidRPr="00EE0C8C">
              <w:t xml:space="preserve">3) Przebudowa drogi gminnej Nr </w:t>
            </w:r>
            <w:r w:rsidR="005E59F1">
              <w:t>347022t – Mirzec Majorat I (w całości lub w części)</w:t>
            </w:r>
          </w:p>
        </w:tc>
        <w:tc>
          <w:tcPr>
            <w:cnfStyle w:val="000010000000" w:firstRow="0" w:lastRow="0" w:firstColumn="0" w:lastColumn="0" w:oddVBand="1" w:evenVBand="0" w:oddHBand="0" w:evenHBand="0" w:firstRowFirstColumn="0" w:firstRowLastColumn="0" w:lastRowFirstColumn="0" w:lastRowLastColumn="0"/>
            <w:tcW w:w="465" w:type="pct"/>
            <w:tcBorders>
              <w:top w:val="single" w:sz="12" w:space="0" w:color="76923C" w:themeColor="accent3" w:themeShade="BF"/>
              <w:left w:val="single" w:sz="18"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EE0C8C" w:rsidP="00B529A2">
            <w:pPr>
              <w:jc w:val="center"/>
              <w:rPr>
                <w:rFonts w:ascii="Times New Roman" w:eastAsia="Calibri" w:hAnsi="Times New Roman" w:cs="Times New Roman"/>
                <w:sz w:val="40"/>
                <w:lang w:eastAsia="pl-PL"/>
              </w:rPr>
            </w:pPr>
          </w:p>
        </w:tc>
        <w:tc>
          <w:tcPr>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B529A2" w:rsidP="00B529A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40"/>
                <w:lang w:eastAsia="pl-PL"/>
              </w:rPr>
            </w:pPr>
            <w:r w:rsidRPr="00B529A2">
              <w:rPr>
                <w:rFonts w:ascii="Times New Roman" w:eastAsia="Calibri" w:hAnsi="Times New Roman" w:cs="Times New Roman"/>
                <w:sz w:val="40"/>
                <w:lang w:eastAsia="pl-PL"/>
              </w:rPr>
              <w:t>X</w:t>
            </w:r>
          </w:p>
        </w:tc>
        <w:tc>
          <w:tcPr>
            <w:cnfStyle w:val="000010000000" w:firstRow="0" w:lastRow="0" w:firstColumn="0" w:lastColumn="0" w:oddVBand="1" w:evenVBand="0" w:oddHBand="0" w:evenHBand="0" w:firstRowFirstColumn="0" w:firstRowLastColumn="0" w:lastRowFirstColumn="0" w:lastRowLastColumn="0"/>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B529A2" w:rsidP="00B529A2">
            <w:pPr>
              <w:jc w:val="center"/>
              <w:rPr>
                <w:rFonts w:ascii="Times New Roman" w:eastAsia="Calibri" w:hAnsi="Times New Roman" w:cs="Times New Roman"/>
                <w:sz w:val="40"/>
                <w:lang w:eastAsia="pl-PL"/>
              </w:rPr>
            </w:pPr>
            <w:r w:rsidRPr="00B529A2">
              <w:rPr>
                <w:rFonts w:ascii="Times New Roman" w:eastAsia="Calibri" w:hAnsi="Times New Roman" w:cs="Times New Roman"/>
                <w:sz w:val="40"/>
                <w:lang w:eastAsia="pl-PL"/>
              </w:rPr>
              <w:t>X</w:t>
            </w:r>
          </w:p>
        </w:tc>
        <w:tc>
          <w:tcPr>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B529A2" w:rsidP="00B529A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40"/>
                <w:lang w:eastAsia="pl-PL"/>
              </w:rPr>
            </w:pPr>
            <w:r w:rsidRPr="00B529A2">
              <w:rPr>
                <w:rFonts w:ascii="Times New Roman" w:eastAsia="Calibri" w:hAnsi="Times New Roman" w:cs="Times New Roman"/>
                <w:sz w:val="40"/>
                <w:lang w:eastAsia="pl-PL"/>
              </w:rPr>
              <w:t>X</w:t>
            </w:r>
          </w:p>
        </w:tc>
        <w:tc>
          <w:tcPr>
            <w:cnfStyle w:val="000010000000" w:firstRow="0" w:lastRow="0" w:firstColumn="0" w:lastColumn="0" w:oddVBand="1" w:evenVBand="0" w:oddHBand="0" w:evenHBand="0" w:firstRowFirstColumn="0" w:firstRowLastColumn="0" w:lastRowFirstColumn="0" w:lastRowLastColumn="0"/>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EE0C8C" w:rsidP="00B529A2">
            <w:pPr>
              <w:jc w:val="center"/>
              <w:rPr>
                <w:rFonts w:ascii="Times New Roman" w:eastAsia="Calibri" w:hAnsi="Times New Roman" w:cs="Times New Roman"/>
                <w:sz w:val="40"/>
                <w:lang w:eastAsia="pl-PL"/>
              </w:rPr>
            </w:pPr>
          </w:p>
        </w:tc>
        <w:tc>
          <w:tcPr>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EE0C8C" w:rsidP="00B529A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40"/>
                <w:lang w:eastAsia="pl-PL"/>
              </w:rPr>
            </w:pPr>
          </w:p>
        </w:tc>
        <w:tc>
          <w:tcPr>
            <w:cnfStyle w:val="000010000000" w:firstRow="0" w:lastRow="0" w:firstColumn="0" w:lastColumn="0" w:oddVBand="1" w:evenVBand="0" w:oddHBand="0" w:evenHBand="0" w:firstRowFirstColumn="0" w:firstRowLastColumn="0" w:lastRowFirstColumn="0" w:lastRowLastColumn="0"/>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B529A2" w:rsidP="00B529A2">
            <w:pPr>
              <w:jc w:val="center"/>
              <w:rPr>
                <w:rFonts w:ascii="Times New Roman" w:eastAsia="Calibri" w:hAnsi="Times New Roman" w:cs="Times New Roman"/>
                <w:sz w:val="40"/>
                <w:lang w:eastAsia="pl-PL"/>
              </w:rPr>
            </w:pPr>
            <w:r w:rsidRPr="00B529A2">
              <w:rPr>
                <w:rFonts w:ascii="Times New Roman" w:eastAsia="Calibri" w:hAnsi="Times New Roman" w:cs="Times New Roman"/>
                <w:sz w:val="40"/>
                <w:lang w:eastAsia="pl-PL"/>
              </w:rPr>
              <w:t>X</w:t>
            </w:r>
          </w:p>
        </w:tc>
        <w:tc>
          <w:tcPr>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EE0C8C" w:rsidP="00B529A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40"/>
                <w:lang w:eastAsia="pl-PL"/>
              </w:rPr>
            </w:pPr>
          </w:p>
        </w:tc>
      </w:tr>
      <w:tr w:rsidR="00EE0C8C" w:rsidRPr="00EE0C8C" w:rsidTr="005E59F1">
        <w:trPr>
          <w:trHeight w:val="515"/>
        </w:trPr>
        <w:tc>
          <w:tcPr>
            <w:cnfStyle w:val="001000000000" w:firstRow="0" w:lastRow="0" w:firstColumn="1" w:lastColumn="0" w:oddVBand="0" w:evenVBand="0" w:oddHBand="0" w:evenHBand="0" w:firstRowFirstColumn="0" w:firstRowLastColumn="0" w:lastRowFirstColumn="0" w:lastRowLastColumn="0"/>
            <w:tcW w:w="1279" w:type="pct"/>
            <w:tcBorders>
              <w:top w:val="single" w:sz="12" w:space="0" w:color="76923C" w:themeColor="accent3" w:themeShade="BF"/>
              <w:left w:val="single" w:sz="18" w:space="0" w:color="76923C" w:themeColor="accent3" w:themeShade="BF"/>
              <w:bottom w:val="single" w:sz="12" w:space="0" w:color="76923C" w:themeColor="accent3" w:themeShade="BF"/>
              <w:right w:val="single" w:sz="18" w:space="0" w:color="76923C" w:themeColor="accent3" w:themeShade="BF"/>
            </w:tcBorders>
          </w:tcPr>
          <w:p w:rsidR="00EE0C8C" w:rsidRPr="00EE0C8C" w:rsidRDefault="00EE0C8C" w:rsidP="006A3D8D">
            <w:r w:rsidRPr="00EE0C8C">
              <w:lastRenderedPageBreak/>
              <w:t xml:space="preserve">4) </w:t>
            </w:r>
            <w:r w:rsidR="006A3D8D">
              <w:t>Zwiększenie efektywności energetycznej z wykorzystaniem źródeł odnawialnych w budynkach użyteczności publicznej w centrum Mirca</w:t>
            </w:r>
          </w:p>
        </w:tc>
        <w:tc>
          <w:tcPr>
            <w:cnfStyle w:val="000010000000" w:firstRow="0" w:lastRow="0" w:firstColumn="0" w:lastColumn="0" w:oddVBand="1" w:evenVBand="0" w:oddHBand="0" w:evenHBand="0" w:firstRowFirstColumn="0" w:firstRowLastColumn="0" w:lastRowFirstColumn="0" w:lastRowLastColumn="0"/>
            <w:tcW w:w="465" w:type="pct"/>
            <w:tcBorders>
              <w:top w:val="single" w:sz="12" w:space="0" w:color="76923C" w:themeColor="accent3" w:themeShade="BF"/>
              <w:left w:val="single" w:sz="18"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B529A2" w:rsidP="00B529A2">
            <w:pPr>
              <w:jc w:val="center"/>
              <w:rPr>
                <w:rFonts w:ascii="Times New Roman" w:eastAsia="Calibri" w:hAnsi="Times New Roman" w:cs="Times New Roman"/>
                <w:sz w:val="40"/>
                <w:lang w:eastAsia="pl-PL"/>
              </w:rPr>
            </w:pPr>
            <w:r w:rsidRPr="00B529A2">
              <w:rPr>
                <w:rFonts w:ascii="Times New Roman" w:eastAsia="Calibri" w:hAnsi="Times New Roman" w:cs="Times New Roman"/>
                <w:sz w:val="40"/>
                <w:lang w:eastAsia="pl-PL"/>
              </w:rPr>
              <w:t>X</w:t>
            </w:r>
          </w:p>
        </w:tc>
        <w:tc>
          <w:tcPr>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B529A2" w:rsidP="00B529A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40"/>
                <w:lang w:eastAsia="pl-PL"/>
              </w:rPr>
            </w:pPr>
            <w:r w:rsidRPr="00B529A2">
              <w:rPr>
                <w:rFonts w:ascii="Times New Roman" w:eastAsia="Calibri" w:hAnsi="Times New Roman" w:cs="Times New Roman"/>
                <w:sz w:val="40"/>
                <w:lang w:eastAsia="pl-PL"/>
              </w:rPr>
              <w:t>X</w:t>
            </w:r>
          </w:p>
        </w:tc>
        <w:tc>
          <w:tcPr>
            <w:cnfStyle w:val="000010000000" w:firstRow="0" w:lastRow="0" w:firstColumn="0" w:lastColumn="0" w:oddVBand="1" w:evenVBand="0" w:oddHBand="0" w:evenHBand="0" w:firstRowFirstColumn="0" w:firstRowLastColumn="0" w:lastRowFirstColumn="0" w:lastRowLastColumn="0"/>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B529A2" w:rsidP="00B529A2">
            <w:pPr>
              <w:jc w:val="center"/>
              <w:rPr>
                <w:rFonts w:ascii="Times New Roman" w:eastAsia="Calibri" w:hAnsi="Times New Roman" w:cs="Times New Roman"/>
                <w:sz w:val="40"/>
                <w:lang w:eastAsia="pl-PL"/>
              </w:rPr>
            </w:pPr>
            <w:r w:rsidRPr="00B529A2">
              <w:rPr>
                <w:rFonts w:ascii="Times New Roman" w:eastAsia="Calibri" w:hAnsi="Times New Roman" w:cs="Times New Roman"/>
                <w:sz w:val="40"/>
                <w:lang w:eastAsia="pl-PL"/>
              </w:rPr>
              <w:t>X</w:t>
            </w:r>
          </w:p>
        </w:tc>
        <w:tc>
          <w:tcPr>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B529A2" w:rsidP="00B529A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40"/>
                <w:lang w:eastAsia="pl-PL"/>
              </w:rPr>
            </w:pPr>
            <w:r w:rsidRPr="00B529A2">
              <w:rPr>
                <w:rFonts w:ascii="Times New Roman" w:eastAsia="Calibri" w:hAnsi="Times New Roman" w:cs="Times New Roman"/>
                <w:sz w:val="40"/>
                <w:lang w:eastAsia="pl-PL"/>
              </w:rPr>
              <w:t>X</w:t>
            </w:r>
          </w:p>
        </w:tc>
        <w:tc>
          <w:tcPr>
            <w:cnfStyle w:val="000010000000" w:firstRow="0" w:lastRow="0" w:firstColumn="0" w:lastColumn="0" w:oddVBand="1" w:evenVBand="0" w:oddHBand="0" w:evenHBand="0" w:firstRowFirstColumn="0" w:firstRowLastColumn="0" w:lastRowFirstColumn="0" w:lastRowLastColumn="0"/>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EE0C8C" w:rsidP="00B529A2">
            <w:pPr>
              <w:jc w:val="center"/>
              <w:rPr>
                <w:rFonts w:ascii="Times New Roman" w:eastAsia="Calibri" w:hAnsi="Times New Roman" w:cs="Times New Roman"/>
                <w:sz w:val="40"/>
                <w:lang w:eastAsia="pl-PL"/>
              </w:rPr>
            </w:pPr>
          </w:p>
        </w:tc>
        <w:tc>
          <w:tcPr>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EE0C8C" w:rsidP="00B529A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40"/>
                <w:lang w:eastAsia="pl-PL"/>
              </w:rPr>
            </w:pPr>
          </w:p>
        </w:tc>
        <w:tc>
          <w:tcPr>
            <w:cnfStyle w:val="000010000000" w:firstRow="0" w:lastRow="0" w:firstColumn="0" w:lastColumn="0" w:oddVBand="1" w:evenVBand="0" w:oddHBand="0" w:evenHBand="0" w:firstRowFirstColumn="0" w:firstRowLastColumn="0" w:lastRowFirstColumn="0" w:lastRowLastColumn="0"/>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B529A2" w:rsidP="00B529A2">
            <w:pPr>
              <w:jc w:val="center"/>
              <w:rPr>
                <w:rFonts w:ascii="Times New Roman" w:eastAsia="Calibri" w:hAnsi="Times New Roman" w:cs="Times New Roman"/>
                <w:sz w:val="40"/>
                <w:lang w:eastAsia="pl-PL"/>
              </w:rPr>
            </w:pPr>
            <w:r w:rsidRPr="00B529A2">
              <w:rPr>
                <w:rFonts w:ascii="Times New Roman" w:eastAsia="Calibri" w:hAnsi="Times New Roman" w:cs="Times New Roman"/>
                <w:sz w:val="40"/>
                <w:lang w:eastAsia="pl-PL"/>
              </w:rPr>
              <w:t>X</w:t>
            </w:r>
          </w:p>
        </w:tc>
        <w:tc>
          <w:tcPr>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EE0C8C" w:rsidP="00B529A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40"/>
                <w:lang w:eastAsia="pl-PL"/>
              </w:rPr>
            </w:pPr>
          </w:p>
        </w:tc>
      </w:tr>
      <w:tr w:rsidR="006A3D8D" w:rsidRPr="00EE0C8C" w:rsidTr="005E59F1">
        <w:trPr>
          <w:trHeight w:val="515"/>
        </w:trPr>
        <w:tc>
          <w:tcPr>
            <w:cnfStyle w:val="001000000000" w:firstRow="0" w:lastRow="0" w:firstColumn="1" w:lastColumn="0" w:oddVBand="0" w:evenVBand="0" w:oddHBand="0" w:evenHBand="0" w:firstRowFirstColumn="0" w:firstRowLastColumn="0" w:lastRowFirstColumn="0" w:lastRowLastColumn="0"/>
            <w:tcW w:w="1279" w:type="pct"/>
            <w:tcBorders>
              <w:top w:val="single" w:sz="12" w:space="0" w:color="76923C" w:themeColor="accent3" w:themeShade="BF"/>
              <w:left w:val="single" w:sz="18" w:space="0" w:color="76923C" w:themeColor="accent3" w:themeShade="BF"/>
              <w:bottom w:val="single" w:sz="12" w:space="0" w:color="76923C" w:themeColor="accent3" w:themeShade="BF"/>
              <w:right w:val="single" w:sz="18" w:space="0" w:color="76923C" w:themeColor="accent3" w:themeShade="BF"/>
            </w:tcBorders>
          </w:tcPr>
          <w:p w:rsidR="006A3D8D" w:rsidRPr="00EE0C8C" w:rsidRDefault="006A3D8D" w:rsidP="00354401">
            <w:pPr>
              <w:rPr>
                <w:iCs/>
                <w:color w:val="000000" w:themeColor="text1"/>
              </w:rPr>
            </w:pPr>
            <w:r>
              <w:rPr>
                <w:iCs/>
                <w:color w:val="000000" w:themeColor="text1"/>
              </w:rPr>
              <w:t>5)</w:t>
            </w:r>
            <w:r w:rsidRPr="00EE0C8C">
              <w:rPr>
                <w:iCs/>
                <w:color w:val="000000" w:themeColor="text1"/>
              </w:rPr>
              <w:t xml:space="preserve"> Zagospodarowanie terenu w miejscowości Mirzec-Malcówki w kierunku rozwoju rekreacji i turystyki wiejskiej</w:t>
            </w:r>
          </w:p>
        </w:tc>
        <w:tc>
          <w:tcPr>
            <w:cnfStyle w:val="000010000000" w:firstRow="0" w:lastRow="0" w:firstColumn="0" w:lastColumn="0" w:oddVBand="1" w:evenVBand="0" w:oddHBand="0" w:evenHBand="0" w:firstRowFirstColumn="0" w:firstRowLastColumn="0" w:lastRowFirstColumn="0" w:lastRowLastColumn="0"/>
            <w:tcW w:w="465" w:type="pct"/>
            <w:tcBorders>
              <w:top w:val="single" w:sz="12" w:space="0" w:color="76923C" w:themeColor="accent3" w:themeShade="BF"/>
              <w:left w:val="single" w:sz="18" w:space="0" w:color="76923C" w:themeColor="accent3" w:themeShade="BF"/>
              <w:bottom w:val="single" w:sz="12" w:space="0" w:color="76923C" w:themeColor="accent3" w:themeShade="BF"/>
              <w:right w:val="single" w:sz="12" w:space="0" w:color="76923C" w:themeColor="accent3" w:themeShade="BF"/>
            </w:tcBorders>
            <w:vAlign w:val="center"/>
          </w:tcPr>
          <w:p w:rsidR="006A3D8D" w:rsidRPr="00B529A2" w:rsidRDefault="006A3D8D" w:rsidP="00354401">
            <w:pPr>
              <w:jc w:val="center"/>
              <w:rPr>
                <w:rFonts w:ascii="Times New Roman" w:eastAsia="Calibri" w:hAnsi="Times New Roman" w:cs="Times New Roman"/>
                <w:sz w:val="40"/>
                <w:lang w:eastAsia="pl-PL"/>
              </w:rPr>
            </w:pPr>
          </w:p>
        </w:tc>
        <w:tc>
          <w:tcPr>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6A3D8D" w:rsidRPr="00B529A2" w:rsidRDefault="006A3D8D" w:rsidP="0035440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40"/>
                <w:lang w:eastAsia="pl-PL"/>
              </w:rPr>
            </w:pPr>
            <w:r w:rsidRPr="00B529A2">
              <w:rPr>
                <w:rFonts w:ascii="Times New Roman" w:eastAsia="Calibri" w:hAnsi="Times New Roman" w:cs="Times New Roman"/>
                <w:sz w:val="40"/>
                <w:lang w:eastAsia="pl-PL"/>
              </w:rPr>
              <w:t>X</w:t>
            </w:r>
          </w:p>
        </w:tc>
        <w:tc>
          <w:tcPr>
            <w:cnfStyle w:val="000010000000" w:firstRow="0" w:lastRow="0" w:firstColumn="0" w:lastColumn="0" w:oddVBand="1" w:evenVBand="0" w:oddHBand="0" w:evenHBand="0" w:firstRowFirstColumn="0" w:firstRowLastColumn="0" w:lastRowFirstColumn="0" w:lastRowLastColumn="0"/>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6A3D8D" w:rsidRPr="00B529A2" w:rsidRDefault="006A3D8D" w:rsidP="00354401">
            <w:pPr>
              <w:jc w:val="center"/>
              <w:rPr>
                <w:rFonts w:ascii="Times New Roman" w:eastAsia="Calibri" w:hAnsi="Times New Roman" w:cs="Times New Roman"/>
                <w:sz w:val="40"/>
                <w:lang w:eastAsia="pl-PL"/>
              </w:rPr>
            </w:pPr>
            <w:r w:rsidRPr="00B529A2">
              <w:rPr>
                <w:rFonts w:ascii="Times New Roman" w:eastAsia="Calibri" w:hAnsi="Times New Roman" w:cs="Times New Roman"/>
                <w:sz w:val="40"/>
                <w:lang w:eastAsia="pl-PL"/>
              </w:rPr>
              <w:t>X</w:t>
            </w:r>
          </w:p>
        </w:tc>
        <w:tc>
          <w:tcPr>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6A3D8D" w:rsidRPr="00B529A2" w:rsidRDefault="006A3D8D" w:rsidP="0035440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40"/>
                <w:lang w:eastAsia="pl-PL"/>
              </w:rPr>
            </w:pPr>
            <w:r w:rsidRPr="00B529A2">
              <w:rPr>
                <w:rFonts w:ascii="Times New Roman" w:eastAsia="Calibri" w:hAnsi="Times New Roman" w:cs="Times New Roman"/>
                <w:sz w:val="40"/>
                <w:lang w:eastAsia="pl-PL"/>
              </w:rPr>
              <w:t>X</w:t>
            </w:r>
          </w:p>
        </w:tc>
        <w:tc>
          <w:tcPr>
            <w:cnfStyle w:val="000010000000" w:firstRow="0" w:lastRow="0" w:firstColumn="0" w:lastColumn="0" w:oddVBand="1" w:evenVBand="0" w:oddHBand="0" w:evenHBand="0" w:firstRowFirstColumn="0" w:firstRowLastColumn="0" w:lastRowFirstColumn="0" w:lastRowLastColumn="0"/>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6A3D8D" w:rsidRPr="00B529A2" w:rsidRDefault="006A3D8D" w:rsidP="00354401">
            <w:pPr>
              <w:jc w:val="center"/>
              <w:rPr>
                <w:rFonts w:ascii="Times New Roman" w:eastAsia="Calibri" w:hAnsi="Times New Roman" w:cs="Times New Roman"/>
                <w:sz w:val="40"/>
                <w:lang w:eastAsia="pl-PL"/>
              </w:rPr>
            </w:pPr>
          </w:p>
        </w:tc>
        <w:tc>
          <w:tcPr>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6A3D8D" w:rsidRPr="00B529A2" w:rsidRDefault="006A3D8D" w:rsidP="0035440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40"/>
                <w:lang w:eastAsia="pl-PL"/>
              </w:rPr>
            </w:pPr>
            <w:r w:rsidRPr="00B529A2">
              <w:rPr>
                <w:rFonts w:ascii="Times New Roman" w:eastAsia="Calibri" w:hAnsi="Times New Roman" w:cs="Times New Roman"/>
                <w:sz w:val="40"/>
                <w:lang w:eastAsia="pl-PL"/>
              </w:rPr>
              <w:t>X</w:t>
            </w:r>
          </w:p>
        </w:tc>
        <w:tc>
          <w:tcPr>
            <w:cnfStyle w:val="000010000000" w:firstRow="0" w:lastRow="0" w:firstColumn="0" w:lastColumn="0" w:oddVBand="1" w:evenVBand="0" w:oddHBand="0" w:evenHBand="0" w:firstRowFirstColumn="0" w:firstRowLastColumn="0" w:lastRowFirstColumn="0" w:lastRowLastColumn="0"/>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6A3D8D" w:rsidRPr="00B529A2" w:rsidRDefault="006A3D8D" w:rsidP="00354401">
            <w:pPr>
              <w:jc w:val="center"/>
              <w:rPr>
                <w:rFonts w:ascii="Times New Roman" w:eastAsia="Calibri" w:hAnsi="Times New Roman" w:cs="Times New Roman"/>
                <w:sz w:val="40"/>
                <w:lang w:eastAsia="pl-PL"/>
              </w:rPr>
            </w:pPr>
            <w:r w:rsidRPr="00B529A2">
              <w:rPr>
                <w:rFonts w:ascii="Times New Roman" w:eastAsia="Calibri" w:hAnsi="Times New Roman" w:cs="Times New Roman"/>
                <w:sz w:val="40"/>
                <w:lang w:eastAsia="pl-PL"/>
              </w:rPr>
              <w:t>X</w:t>
            </w:r>
          </w:p>
        </w:tc>
        <w:tc>
          <w:tcPr>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6A3D8D" w:rsidRPr="00B529A2" w:rsidRDefault="006A3D8D" w:rsidP="0035440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40"/>
                <w:lang w:eastAsia="pl-PL"/>
              </w:rPr>
            </w:pPr>
          </w:p>
        </w:tc>
      </w:tr>
      <w:tr w:rsidR="006A3D8D" w:rsidRPr="00EE0C8C" w:rsidTr="005E59F1">
        <w:trPr>
          <w:trHeight w:val="515"/>
        </w:trPr>
        <w:tc>
          <w:tcPr>
            <w:cnfStyle w:val="001000000000" w:firstRow="0" w:lastRow="0" w:firstColumn="1" w:lastColumn="0" w:oddVBand="0" w:evenVBand="0" w:oddHBand="0" w:evenHBand="0" w:firstRowFirstColumn="0" w:firstRowLastColumn="0" w:lastRowFirstColumn="0" w:lastRowLastColumn="0"/>
            <w:tcW w:w="1279" w:type="pct"/>
            <w:tcBorders>
              <w:top w:val="single" w:sz="12" w:space="0" w:color="76923C" w:themeColor="accent3" w:themeShade="BF"/>
              <w:left w:val="single" w:sz="18" w:space="0" w:color="76923C" w:themeColor="accent3" w:themeShade="BF"/>
              <w:bottom w:val="single" w:sz="12" w:space="0" w:color="76923C" w:themeColor="accent3" w:themeShade="BF"/>
              <w:right w:val="single" w:sz="18" w:space="0" w:color="76923C" w:themeColor="accent3" w:themeShade="BF"/>
            </w:tcBorders>
          </w:tcPr>
          <w:p w:rsidR="006A3D8D" w:rsidRDefault="006A3D8D" w:rsidP="00354401">
            <w:pPr>
              <w:rPr>
                <w:iCs/>
                <w:color w:val="000000" w:themeColor="text1"/>
              </w:rPr>
            </w:pPr>
            <w:r>
              <w:rPr>
                <w:iCs/>
                <w:color w:val="000000" w:themeColor="text1"/>
              </w:rPr>
              <w:t>6) Poprawa funkcjonowania systemu ratowniczo-gaśniczego i przeciwdziałanie zagrożeniom w Gminie Mirzec poprzez zakup nowego samochodu pożarniczego dla jednostki OSP Mirzec</w:t>
            </w:r>
          </w:p>
        </w:tc>
        <w:tc>
          <w:tcPr>
            <w:cnfStyle w:val="000010000000" w:firstRow="0" w:lastRow="0" w:firstColumn="0" w:lastColumn="0" w:oddVBand="1" w:evenVBand="0" w:oddHBand="0" w:evenHBand="0" w:firstRowFirstColumn="0" w:firstRowLastColumn="0" w:lastRowFirstColumn="0" w:lastRowLastColumn="0"/>
            <w:tcW w:w="465" w:type="pct"/>
            <w:tcBorders>
              <w:top w:val="single" w:sz="12" w:space="0" w:color="76923C" w:themeColor="accent3" w:themeShade="BF"/>
              <w:left w:val="single" w:sz="18" w:space="0" w:color="76923C" w:themeColor="accent3" w:themeShade="BF"/>
              <w:bottom w:val="single" w:sz="12" w:space="0" w:color="76923C" w:themeColor="accent3" w:themeShade="BF"/>
              <w:right w:val="single" w:sz="12" w:space="0" w:color="76923C" w:themeColor="accent3" w:themeShade="BF"/>
            </w:tcBorders>
            <w:vAlign w:val="center"/>
          </w:tcPr>
          <w:p w:rsidR="006A3D8D" w:rsidRPr="00B529A2" w:rsidRDefault="006A3D8D" w:rsidP="00354401">
            <w:pPr>
              <w:jc w:val="center"/>
              <w:rPr>
                <w:rFonts w:ascii="Times New Roman" w:eastAsia="Calibri" w:hAnsi="Times New Roman" w:cs="Times New Roman"/>
                <w:sz w:val="40"/>
                <w:lang w:eastAsia="pl-PL"/>
              </w:rPr>
            </w:pPr>
            <w:r w:rsidRPr="00B529A2">
              <w:rPr>
                <w:rFonts w:ascii="Times New Roman" w:eastAsia="Calibri" w:hAnsi="Times New Roman" w:cs="Times New Roman"/>
                <w:sz w:val="40"/>
                <w:lang w:eastAsia="pl-PL"/>
              </w:rPr>
              <w:t>X</w:t>
            </w:r>
          </w:p>
        </w:tc>
        <w:tc>
          <w:tcPr>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6A3D8D" w:rsidRPr="00B529A2" w:rsidRDefault="006A3D8D" w:rsidP="0035440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40"/>
                <w:lang w:eastAsia="pl-PL"/>
              </w:rPr>
            </w:pPr>
            <w:r w:rsidRPr="00B529A2">
              <w:rPr>
                <w:rFonts w:ascii="Times New Roman" w:eastAsia="Calibri" w:hAnsi="Times New Roman" w:cs="Times New Roman"/>
                <w:sz w:val="40"/>
                <w:lang w:eastAsia="pl-PL"/>
              </w:rPr>
              <w:t>X</w:t>
            </w:r>
          </w:p>
        </w:tc>
        <w:tc>
          <w:tcPr>
            <w:cnfStyle w:val="000010000000" w:firstRow="0" w:lastRow="0" w:firstColumn="0" w:lastColumn="0" w:oddVBand="1" w:evenVBand="0" w:oddHBand="0" w:evenHBand="0" w:firstRowFirstColumn="0" w:firstRowLastColumn="0" w:lastRowFirstColumn="0" w:lastRowLastColumn="0"/>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6A3D8D" w:rsidRPr="00B529A2" w:rsidRDefault="006A3D8D" w:rsidP="00354401">
            <w:pPr>
              <w:jc w:val="center"/>
              <w:rPr>
                <w:rFonts w:ascii="Times New Roman" w:eastAsia="Calibri" w:hAnsi="Times New Roman" w:cs="Times New Roman"/>
                <w:sz w:val="40"/>
                <w:lang w:eastAsia="pl-PL"/>
              </w:rPr>
            </w:pPr>
            <w:r w:rsidRPr="00B529A2">
              <w:rPr>
                <w:rFonts w:ascii="Times New Roman" w:eastAsia="Calibri" w:hAnsi="Times New Roman" w:cs="Times New Roman"/>
                <w:sz w:val="40"/>
                <w:lang w:eastAsia="pl-PL"/>
              </w:rPr>
              <w:t>X</w:t>
            </w:r>
          </w:p>
        </w:tc>
        <w:tc>
          <w:tcPr>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6A3D8D" w:rsidRPr="00B529A2" w:rsidRDefault="006A3D8D" w:rsidP="0035440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40"/>
                <w:lang w:eastAsia="pl-PL"/>
              </w:rPr>
            </w:pPr>
            <w:r w:rsidRPr="00B529A2">
              <w:rPr>
                <w:rFonts w:ascii="Times New Roman" w:eastAsia="Calibri" w:hAnsi="Times New Roman" w:cs="Times New Roman"/>
                <w:sz w:val="40"/>
                <w:lang w:eastAsia="pl-PL"/>
              </w:rPr>
              <w:t>X</w:t>
            </w:r>
          </w:p>
        </w:tc>
        <w:tc>
          <w:tcPr>
            <w:cnfStyle w:val="000010000000" w:firstRow="0" w:lastRow="0" w:firstColumn="0" w:lastColumn="0" w:oddVBand="1" w:evenVBand="0" w:oddHBand="0" w:evenHBand="0" w:firstRowFirstColumn="0" w:firstRowLastColumn="0" w:lastRowFirstColumn="0" w:lastRowLastColumn="0"/>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6A3D8D" w:rsidRPr="00B529A2" w:rsidRDefault="006A3D8D" w:rsidP="00354401">
            <w:pPr>
              <w:jc w:val="center"/>
              <w:rPr>
                <w:rFonts w:ascii="Times New Roman" w:eastAsia="Calibri" w:hAnsi="Times New Roman" w:cs="Times New Roman"/>
                <w:sz w:val="40"/>
                <w:lang w:eastAsia="pl-PL"/>
              </w:rPr>
            </w:pPr>
            <w:r w:rsidRPr="00B529A2">
              <w:rPr>
                <w:rFonts w:ascii="Times New Roman" w:eastAsia="Calibri" w:hAnsi="Times New Roman" w:cs="Times New Roman"/>
                <w:sz w:val="40"/>
                <w:lang w:eastAsia="pl-PL"/>
              </w:rPr>
              <w:t>X</w:t>
            </w:r>
          </w:p>
        </w:tc>
        <w:tc>
          <w:tcPr>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6A3D8D" w:rsidRPr="00B529A2" w:rsidRDefault="006A3D8D" w:rsidP="0035440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40"/>
                <w:lang w:eastAsia="pl-PL"/>
              </w:rPr>
            </w:pPr>
            <w:r w:rsidRPr="00B529A2">
              <w:rPr>
                <w:rFonts w:ascii="Times New Roman" w:eastAsia="Calibri" w:hAnsi="Times New Roman" w:cs="Times New Roman"/>
                <w:sz w:val="40"/>
                <w:lang w:eastAsia="pl-PL"/>
              </w:rPr>
              <w:t>X</w:t>
            </w:r>
          </w:p>
        </w:tc>
        <w:tc>
          <w:tcPr>
            <w:cnfStyle w:val="000010000000" w:firstRow="0" w:lastRow="0" w:firstColumn="0" w:lastColumn="0" w:oddVBand="1" w:evenVBand="0" w:oddHBand="0" w:evenHBand="0" w:firstRowFirstColumn="0" w:firstRowLastColumn="0" w:lastRowFirstColumn="0" w:lastRowLastColumn="0"/>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6A3D8D" w:rsidRPr="00B529A2" w:rsidRDefault="006A3D8D" w:rsidP="00354401">
            <w:pPr>
              <w:jc w:val="center"/>
              <w:rPr>
                <w:rFonts w:ascii="Times New Roman" w:eastAsia="Calibri" w:hAnsi="Times New Roman" w:cs="Times New Roman"/>
                <w:sz w:val="40"/>
                <w:lang w:eastAsia="pl-PL"/>
              </w:rPr>
            </w:pPr>
            <w:r w:rsidRPr="00B529A2">
              <w:rPr>
                <w:rFonts w:ascii="Times New Roman" w:eastAsia="Calibri" w:hAnsi="Times New Roman" w:cs="Times New Roman"/>
                <w:sz w:val="40"/>
                <w:lang w:eastAsia="pl-PL"/>
              </w:rPr>
              <w:t>X</w:t>
            </w:r>
          </w:p>
        </w:tc>
        <w:tc>
          <w:tcPr>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6A3D8D" w:rsidRPr="00B529A2" w:rsidRDefault="006A3D8D" w:rsidP="0035440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40"/>
                <w:lang w:eastAsia="pl-PL"/>
              </w:rPr>
            </w:pPr>
            <w:r w:rsidRPr="00B529A2">
              <w:rPr>
                <w:rFonts w:ascii="Times New Roman" w:eastAsia="Calibri" w:hAnsi="Times New Roman" w:cs="Times New Roman"/>
                <w:sz w:val="40"/>
                <w:lang w:eastAsia="pl-PL"/>
              </w:rPr>
              <w:t>X</w:t>
            </w:r>
          </w:p>
        </w:tc>
      </w:tr>
      <w:tr w:rsidR="006A3D8D" w:rsidRPr="00EE0C8C" w:rsidTr="005E59F1">
        <w:trPr>
          <w:trHeight w:val="515"/>
        </w:trPr>
        <w:tc>
          <w:tcPr>
            <w:cnfStyle w:val="001000000000" w:firstRow="0" w:lastRow="0" w:firstColumn="1" w:lastColumn="0" w:oddVBand="0" w:evenVBand="0" w:oddHBand="0" w:evenHBand="0" w:firstRowFirstColumn="0" w:firstRowLastColumn="0" w:lastRowFirstColumn="0" w:lastRowLastColumn="0"/>
            <w:tcW w:w="1279" w:type="pct"/>
            <w:tcBorders>
              <w:top w:val="single" w:sz="12" w:space="0" w:color="76923C" w:themeColor="accent3" w:themeShade="BF"/>
              <w:left w:val="single" w:sz="18" w:space="0" w:color="76923C" w:themeColor="accent3" w:themeShade="BF"/>
              <w:bottom w:val="single" w:sz="12" w:space="0" w:color="76923C" w:themeColor="accent3" w:themeShade="BF"/>
              <w:right w:val="single" w:sz="18" w:space="0" w:color="76923C" w:themeColor="accent3" w:themeShade="BF"/>
            </w:tcBorders>
          </w:tcPr>
          <w:p w:rsidR="006A3D8D" w:rsidRDefault="006A3D8D" w:rsidP="00354401">
            <w:pPr>
              <w:rPr>
                <w:iCs/>
                <w:color w:val="000000" w:themeColor="text1"/>
              </w:rPr>
            </w:pPr>
            <w:r>
              <w:rPr>
                <w:iCs/>
                <w:color w:val="000000" w:themeColor="text1"/>
              </w:rPr>
              <w:t>7) Budowa Punktu Selektywnej Zbiórki Odpadów (PSZOK)</w:t>
            </w:r>
          </w:p>
        </w:tc>
        <w:tc>
          <w:tcPr>
            <w:cnfStyle w:val="000010000000" w:firstRow="0" w:lastRow="0" w:firstColumn="0" w:lastColumn="0" w:oddVBand="1" w:evenVBand="0" w:oddHBand="0" w:evenHBand="0" w:firstRowFirstColumn="0" w:firstRowLastColumn="0" w:lastRowFirstColumn="0" w:lastRowLastColumn="0"/>
            <w:tcW w:w="465" w:type="pct"/>
            <w:tcBorders>
              <w:top w:val="single" w:sz="12" w:space="0" w:color="76923C" w:themeColor="accent3" w:themeShade="BF"/>
              <w:left w:val="single" w:sz="18" w:space="0" w:color="76923C" w:themeColor="accent3" w:themeShade="BF"/>
              <w:bottom w:val="single" w:sz="12" w:space="0" w:color="76923C" w:themeColor="accent3" w:themeShade="BF"/>
              <w:right w:val="single" w:sz="12" w:space="0" w:color="76923C" w:themeColor="accent3" w:themeShade="BF"/>
            </w:tcBorders>
            <w:vAlign w:val="center"/>
          </w:tcPr>
          <w:p w:rsidR="006A3D8D" w:rsidRPr="00B529A2" w:rsidRDefault="006A3D8D" w:rsidP="00354401">
            <w:pPr>
              <w:jc w:val="center"/>
              <w:rPr>
                <w:rFonts w:ascii="Times New Roman" w:eastAsia="Calibri" w:hAnsi="Times New Roman" w:cs="Times New Roman"/>
                <w:sz w:val="40"/>
                <w:lang w:eastAsia="pl-PL"/>
              </w:rPr>
            </w:pPr>
            <w:r w:rsidRPr="00B529A2">
              <w:rPr>
                <w:rFonts w:ascii="Times New Roman" w:eastAsia="Calibri" w:hAnsi="Times New Roman" w:cs="Times New Roman"/>
                <w:sz w:val="40"/>
                <w:lang w:eastAsia="pl-PL"/>
              </w:rPr>
              <w:t>X</w:t>
            </w:r>
          </w:p>
        </w:tc>
        <w:tc>
          <w:tcPr>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6A3D8D" w:rsidRPr="00B529A2" w:rsidRDefault="006A3D8D" w:rsidP="0035440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40"/>
                <w:lang w:eastAsia="pl-PL"/>
              </w:rPr>
            </w:pPr>
            <w:r w:rsidRPr="00B529A2">
              <w:rPr>
                <w:rFonts w:ascii="Times New Roman" w:eastAsia="Calibri" w:hAnsi="Times New Roman" w:cs="Times New Roman"/>
                <w:sz w:val="40"/>
                <w:lang w:eastAsia="pl-PL"/>
              </w:rPr>
              <w:t>X</w:t>
            </w:r>
          </w:p>
        </w:tc>
        <w:tc>
          <w:tcPr>
            <w:cnfStyle w:val="000010000000" w:firstRow="0" w:lastRow="0" w:firstColumn="0" w:lastColumn="0" w:oddVBand="1" w:evenVBand="0" w:oddHBand="0" w:evenHBand="0" w:firstRowFirstColumn="0" w:firstRowLastColumn="0" w:lastRowFirstColumn="0" w:lastRowLastColumn="0"/>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6A3D8D" w:rsidRPr="00B529A2" w:rsidRDefault="006A3D8D" w:rsidP="00354401">
            <w:pPr>
              <w:jc w:val="center"/>
              <w:rPr>
                <w:rFonts w:ascii="Times New Roman" w:eastAsia="Calibri" w:hAnsi="Times New Roman" w:cs="Times New Roman"/>
                <w:sz w:val="40"/>
                <w:lang w:eastAsia="pl-PL"/>
              </w:rPr>
            </w:pPr>
            <w:r w:rsidRPr="00B529A2">
              <w:rPr>
                <w:rFonts w:ascii="Times New Roman" w:eastAsia="Calibri" w:hAnsi="Times New Roman" w:cs="Times New Roman"/>
                <w:sz w:val="40"/>
                <w:lang w:eastAsia="pl-PL"/>
              </w:rPr>
              <w:t>X</w:t>
            </w:r>
          </w:p>
        </w:tc>
        <w:tc>
          <w:tcPr>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6A3D8D" w:rsidRPr="00B529A2" w:rsidRDefault="006A3D8D" w:rsidP="0035440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40"/>
                <w:lang w:eastAsia="pl-PL"/>
              </w:rPr>
            </w:pPr>
            <w:r w:rsidRPr="00B529A2">
              <w:rPr>
                <w:rFonts w:ascii="Times New Roman" w:eastAsia="Calibri" w:hAnsi="Times New Roman" w:cs="Times New Roman"/>
                <w:sz w:val="40"/>
                <w:lang w:eastAsia="pl-PL"/>
              </w:rPr>
              <w:t>X</w:t>
            </w:r>
          </w:p>
        </w:tc>
        <w:tc>
          <w:tcPr>
            <w:cnfStyle w:val="000010000000" w:firstRow="0" w:lastRow="0" w:firstColumn="0" w:lastColumn="0" w:oddVBand="1" w:evenVBand="0" w:oddHBand="0" w:evenHBand="0" w:firstRowFirstColumn="0" w:firstRowLastColumn="0" w:lastRowFirstColumn="0" w:lastRowLastColumn="0"/>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6A3D8D" w:rsidRPr="00B529A2" w:rsidRDefault="006A3D8D" w:rsidP="00354401">
            <w:pPr>
              <w:jc w:val="center"/>
              <w:rPr>
                <w:rFonts w:ascii="Times New Roman" w:eastAsia="Calibri" w:hAnsi="Times New Roman" w:cs="Times New Roman"/>
                <w:sz w:val="40"/>
                <w:lang w:eastAsia="pl-PL"/>
              </w:rPr>
            </w:pPr>
            <w:r w:rsidRPr="00B529A2">
              <w:rPr>
                <w:rFonts w:ascii="Times New Roman" w:eastAsia="Calibri" w:hAnsi="Times New Roman" w:cs="Times New Roman"/>
                <w:sz w:val="40"/>
                <w:lang w:eastAsia="pl-PL"/>
              </w:rPr>
              <w:t>X</w:t>
            </w:r>
          </w:p>
        </w:tc>
        <w:tc>
          <w:tcPr>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6A3D8D" w:rsidRPr="00B529A2" w:rsidRDefault="006A3D8D" w:rsidP="0035440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40"/>
                <w:lang w:eastAsia="pl-PL"/>
              </w:rPr>
            </w:pPr>
            <w:r w:rsidRPr="00B529A2">
              <w:rPr>
                <w:rFonts w:ascii="Times New Roman" w:eastAsia="Calibri" w:hAnsi="Times New Roman" w:cs="Times New Roman"/>
                <w:sz w:val="40"/>
                <w:lang w:eastAsia="pl-PL"/>
              </w:rPr>
              <w:t>X</w:t>
            </w:r>
          </w:p>
        </w:tc>
        <w:tc>
          <w:tcPr>
            <w:cnfStyle w:val="000010000000" w:firstRow="0" w:lastRow="0" w:firstColumn="0" w:lastColumn="0" w:oddVBand="1" w:evenVBand="0" w:oddHBand="0" w:evenHBand="0" w:firstRowFirstColumn="0" w:firstRowLastColumn="0" w:lastRowFirstColumn="0" w:lastRowLastColumn="0"/>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6A3D8D" w:rsidRPr="00B529A2" w:rsidRDefault="006A3D8D" w:rsidP="00354401">
            <w:pPr>
              <w:jc w:val="center"/>
              <w:rPr>
                <w:rFonts w:ascii="Times New Roman" w:eastAsia="Calibri" w:hAnsi="Times New Roman" w:cs="Times New Roman"/>
                <w:sz w:val="40"/>
                <w:lang w:eastAsia="pl-PL"/>
              </w:rPr>
            </w:pPr>
            <w:r w:rsidRPr="00B529A2">
              <w:rPr>
                <w:rFonts w:ascii="Times New Roman" w:eastAsia="Calibri" w:hAnsi="Times New Roman" w:cs="Times New Roman"/>
                <w:sz w:val="40"/>
                <w:lang w:eastAsia="pl-PL"/>
              </w:rPr>
              <w:t>X</w:t>
            </w:r>
          </w:p>
        </w:tc>
        <w:tc>
          <w:tcPr>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6A3D8D" w:rsidRPr="00B529A2" w:rsidRDefault="006A3D8D" w:rsidP="0035440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40"/>
                <w:lang w:eastAsia="pl-PL"/>
              </w:rPr>
            </w:pPr>
            <w:r w:rsidRPr="00B529A2">
              <w:rPr>
                <w:rFonts w:ascii="Times New Roman" w:eastAsia="Calibri" w:hAnsi="Times New Roman" w:cs="Times New Roman"/>
                <w:sz w:val="40"/>
                <w:lang w:eastAsia="pl-PL"/>
              </w:rPr>
              <w:t>X</w:t>
            </w:r>
          </w:p>
        </w:tc>
      </w:tr>
      <w:tr w:rsidR="00EE0C8C" w:rsidRPr="00EE0C8C" w:rsidTr="005E59F1">
        <w:trPr>
          <w:trHeight w:val="262"/>
        </w:trPr>
        <w:tc>
          <w:tcPr>
            <w:cnfStyle w:val="001000000000" w:firstRow="0" w:lastRow="0" w:firstColumn="1" w:lastColumn="0" w:oddVBand="0" w:evenVBand="0" w:oddHBand="0" w:evenHBand="0" w:firstRowFirstColumn="0" w:firstRowLastColumn="0" w:lastRowFirstColumn="0" w:lastRowLastColumn="0"/>
            <w:tcW w:w="1279" w:type="pct"/>
            <w:tcBorders>
              <w:top w:val="single" w:sz="12" w:space="0" w:color="76923C" w:themeColor="accent3" w:themeShade="BF"/>
              <w:left w:val="single" w:sz="18" w:space="0" w:color="76923C" w:themeColor="accent3" w:themeShade="BF"/>
              <w:right w:val="single" w:sz="18" w:space="0" w:color="76923C" w:themeColor="accent3" w:themeShade="BF"/>
            </w:tcBorders>
          </w:tcPr>
          <w:p w:rsidR="00EE0C8C" w:rsidRPr="00EE0C8C" w:rsidRDefault="00BD04AA" w:rsidP="00EE0C8C">
            <w:r>
              <w:t>8</w:t>
            </w:r>
            <w:r w:rsidR="00EE0C8C" w:rsidRPr="00EE0C8C">
              <w:t>) Wyeksponowanie pomników przyrody w centrum Mirca</w:t>
            </w:r>
          </w:p>
        </w:tc>
        <w:tc>
          <w:tcPr>
            <w:cnfStyle w:val="000010000000" w:firstRow="0" w:lastRow="0" w:firstColumn="0" w:lastColumn="0" w:oddVBand="1" w:evenVBand="0" w:oddHBand="0" w:evenHBand="0" w:firstRowFirstColumn="0" w:firstRowLastColumn="0" w:lastRowFirstColumn="0" w:lastRowLastColumn="0"/>
            <w:tcW w:w="465" w:type="pct"/>
            <w:tcBorders>
              <w:top w:val="single" w:sz="12" w:space="0" w:color="76923C" w:themeColor="accent3" w:themeShade="BF"/>
              <w:left w:val="single" w:sz="18" w:space="0" w:color="76923C" w:themeColor="accent3" w:themeShade="BF"/>
              <w:right w:val="single" w:sz="4" w:space="0" w:color="4F6228" w:themeColor="accent3" w:themeShade="80"/>
            </w:tcBorders>
            <w:vAlign w:val="center"/>
          </w:tcPr>
          <w:p w:rsidR="00EE0C8C" w:rsidRPr="00B529A2" w:rsidRDefault="00B529A2" w:rsidP="00B529A2">
            <w:pPr>
              <w:jc w:val="center"/>
              <w:rPr>
                <w:rFonts w:ascii="Times New Roman" w:eastAsia="Calibri" w:hAnsi="Times New Roman" w:cs="Times New Roman"/>
                <w:sz w:val="40"/>
                <w:lang w:eastAsia="pl-PL"/>
              </w:rPr>
            </w:pPr>
            <w:r w:rsidRPr="00B529A2">
              <w:rPr>
                <w:rFonts w:ascii="Times New Roman" w:eastAsia="Calibri" w:hAnsi="Times New Roman" w:cs="Times New Roman"/>
                <w:sz w:val="40"/>
                <w:lang w:eastAsia="pl-PL"/>
              </w:rPr>
              <w:t>X</w:t>
            </w:r>
          </w:p>
        </w:tc>
        <w:tc>
          <w:tcPr>
            <w:tcW w:w="465" w:type="pct"/>
            <w:tcBorders>
              <w:top w:val="single" w:sz="12" w:space="0" w:color="76923C" w:themeColor="accent3" w:themeShade="BF"/>
              <w:left w:val="single" w:sz="4" w:space="0" w:color="4F6228" w:themeColor="accent3" w:themeShade="80"/>
              <w:right w:val="single" w:sz="12" w:space="0" w:color="76923C" w:themeColor="accent3" w:themeShade="BF"/>
            </w:tcBorders>
            <w:vAlign w:val="center"/>
          </w:tcPr>
          <w:p w:rsidR="00EE0C8C" w:rsidRPr="00B529A2" w:rsidRDefault="00B529A2" w:rsidP="00B529A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40"/>
                <w:lang w:eastAsia="pl-PL"/>
              </w:rPr>
            </w:pPr>
            <w:r w:rsidRPr="00B529A2">
              <w:rPr>
                <w:rFonts w:ascii="Times New Roman" w:eastAsia="Calibri" w:hAnsi="Times New Roman" w:cs="Times New Roman"/>
                <w:sz w:val="40"/>
                <w:lang w:eastAsia="pl-PL"/>
              </w:rPr>
              <w:t>X</w:t>
            </w:r>
          </w:p>
        </w:tc>
        <w:tc>
          <w:tcPr>
            <w:cnfStyle w:val="000010000000" w:firstRow="0" w:lastRow="0" w:firstColumn="0" w:lastColumn="0" w:oddVBand="1" w:evenVBand="0" w:oddHBand="0" w:evenHBand="0" w:firstRowFirstColumn="0" w:firstRowLastColumn="0" w:lastRowFirstColumn="0" w:lastRowLastColumn="0"/>
            <w:tcW w:w="465" w:type="pct"/>
            <w:tcBorders>
              <w:top w:val="single" w:sz="12" w:space="0" w:color="76923C" w:themeColor="accent3" w:themeShade="BF"/>
              <w:left w:val="single" w:sz="12" w:space="0" w:color="76923C" w:themeColor="accent3" w:themeShade="BF"/>
              <w:right w:val="single" w:sz="12" w:space="0" w:color="76923C" w:themeColor="accent3" w:themeShade="BF"/>
            </w:tcBorders>
            <w:vAlign w:val="center"/>
          </w:tcPr>
          <w:p w:rsidR="00EE0C8C" w:rsidRPr="00B529A2" w:rsidRDefault="00B529A2" w:rsidP="00B529A2">
            <w:pPr>
              <w:jc w:val="center"/>
              <w:rPr>
                <w:rFonts w:ascii="Times New Roman" w:eastAsia="Calibri" w:hAnsi="Times New Roman" w:cs="Times New Roman"/>
                <w:sz w:val="40"/>
                <w:lang w:eastAsia="pl-PL"/>
              </w:rPr>
            </w:pPr>
            <w:r w:rsidRPr="00B529A2">
              <w:rPr>
                <w:rFonts w:ascii="Times New Roman" w:eastAsia="Calibri" w:hAnsi="Times New Roman" w:cs="Times New Roman"/>
                <w:sz w:val="40"/>
                <w:lang w:eastAsia="pl-PL"/>
              </w:rPr>
              <w:t>X</w:t>
            </w:r>
          </w:p>
        </w:tc>
        <w:tc>
          <w:tcPr>
            <w:tcW w:w="465" w:type="pct"/>
            <w:tcBorders>
              <w:top w:val="single" w:sz="12" w:space="0" w:color="76923C" w:themeColor="accent3" w:themeShade="BF"/>
              <w:left w:val="single" w:sz="12" w:space="0" w:color="76923C" w:themeColor="accent3" w:themeShade="BF"/>
              <w:right w:val="single" w:sz="12" w:space="0" w:color="76923C" w:themeColor="accent3" w:themeShade="BF"/>
            </w:tcBorders>
            <w:vAlign w:val="center"/>
          </w:tcPr>
          <w:p w:rsidR="00EE0C8C" w:rsidRPr="00B529A2" w:rsidRDefault="00EE0C8C" w:rsidP="00B529A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40"/>
                <w:lang w:eastAsia="pl-PL"/>
              </w:rPr>
            </w:pPr>
          </w:p>
        </w:tc>
        <w:tc>
          <w:tcPr>
            <w:cnfStyle w:val="000010000000" w:firstRow="0" w:lastRow="0" w:firstColumn="0" w:lastColumn="0" w:oddVBand="1" w:evenVBand="0" w:oddHBand="0" w:evenHBand="0" w:firstRowFirstColumn="0" w:firstRowLastColumn="0" w:lastRowFirstColumn="0" w:lastRowLastColumn="0"/>
            <w:tcW w:w="465" w:type="pct"/>
            <w:tcBorders>
              <w:top w:val="single" w:sz="12" w:space="0" w:color="76923C" w:themeColor="accent3" w:themeShade="BF"/>
              <w:left w:val="single" w:sz="12" w:space="0" w:color="76923C" w:themeColor="accent3" w:themeShade="BF"/>
              <w:right w:val="single" w:sz="12" w:space="0" w:color="76923C" w:themeColor="accent3" w:themeShade="BF"/>
            </w:tcBorders>
            <w:vAlign w:val="center"/>
          </w:tcPr>
          <w:p w:rsidR="00EE0C8C" w:rsidRPr="00B529A2" w:rsidRDefault="00B529A2" w:rsidP="00B529A2">
            <w:pPr>
              <w:jc w:val="center"/>
              <w:rPr>
                <w:rFonts w:ascii="Times New Roman" w:eastAsia="Calibri" w:hAnsi="Times New Roman" w:cs="Times New Roman"/>
                <w:sz w:val="40"/>
                <w:lang w:eastAsia="pl-PL"/>
              </w:rPr>
            </w:pPr>
            <w:r w:rsidRPr="00B529A2">
              <w:rPr>
                <w:rFonts w:ascii="Times New Roman" w:eastAsia="Calibri" w:hAnsi="Times New Roman" w:cs="Times New Roman"/>
                <w:sz w:val="40"/>
                <w:lang w:eastAsia="pl-PL"/>
              </w:rPr>
              <w:t>X</w:t>
            </w:r>
          </w:p>
        </w:tc>
        <w:tc>
          <w:tcPr>
            <w:tcW w:w="465" w:type="pct"/>
            <w:tcBorders>
              <w:top w:val="single" w:sz="12" w:space="0" w:color="76923C" w:themeColor="accent3" w:themeShade="BF"/>
              <w:left w:val="single" w:sz="12" w:space="0" w:color="76923C" w:themeColor="accent3" w:themeShade="BF"/>
              <w:right w:val="single" w:sz="12" w:space="0" w:color="76923C" w:themeColor="accent3" w:themeShade="BF"/>
            </w:tcBorders>
            <w:vAlign w:val="center"/>
          </w:tcPr>
          <w:p w:rsidR="00EE0C8C" w:rsidRPr="00B529A2" w:rsidRDefault="00EE0C8C" w:rsidP="00B529A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40"/>
                <w:lang w:eastAsia="pl-PL"/>
              </w:rPr>
            </w:pPr>
          </w:p>
        </w:tc>
        <w:tc>
          <w:tcPr>
            <w:cnfStyle w:val="000010000000" w:firstRow="0" w:lastRow="0" w:firstColumn="0" w:lastColumn="0" w:oddVBand="1" w:evenVBand="0" w:oddHBand="0" w:evenHBand="0" w:firstRowFirstColumn="0" w:firstRowLastColumn="0" w:lastRowFirstColumn="0" w:lastRowLastColumn="0"/>
            <w:tcW w:w="465" w:type="pct"/>
            <w:tcBorders>
              <w:top w:val="single" w:sz="12" w:space="0" w:color="76923C" w:themeColor="accent3" w:themeShade="BF"/>
              <w:left w:val="single" w:sz="12" w:space="0" w:color="76923C" w:themeColor="accent3" w:themeShade="BF"/>
              <w:right w:val="single" w:sz="12" w:space="0" w:color="76923C" w:themeColor="accent3" w:themeShade="BF"/>
            </w:tcBorders>
            <w:vAlign w:val="center"/>
          </w:tcPr>
          <w:p w:rsidR="00EE0C8C" w:rsidRPr="00B529A2" w:rsidRDefault="00B529A2" w:rsidP="00B529A2">
            <w:pPr>
              <w:jc w:val="center"/>
              <w:rPr>
                <w:rFonts w:ascii="Times New Roman" w:eastAsia="Calibri" w:hAnsi="Times New Roman" w:cs="Times New Roman"/>
                <w:sz w:val="40"/>
                <w:lang w:eastAsia="pl-PL"/>
              </w:rPr>
            </w:pPr>
            <w:r w:rsidRPr="00B529A2">
              <w:rPr>
                <w:rFonts w:ascii="Times New Roman" w:eastAsia="Calibri" w:hAnsi="Times New Roman" w:cs="Times New Roman"/>
                <w:sz w:val="40"/>
                <w:lang w:eastAsia="pl-PL"/>
              </w:rPr>
              <w:t>X</w:t>
            </w:r>
          </w:p>
        </w:tc>
        <w:tc>
          <w:tcPr>
            <w:tcW w:w="465" w:type="pct"/>
            <w:tcBorders>
              <w:top w:val="single" w:sz="12" w:space="0" w:color="76923C" w:themeColor="accent3" w:themeShade="BF"/>
              <w:left w:val="single" w:sz="12" w:space="0" w:color="76923C" w:themeColor="accent3" w:themeShade="BF"/>
              <w:right w:val="single" w:sz="12" w:space="0" w:color="76923C" w:themeColor="accent3" w:themeShade="BF"/>
            </w:tcBorders>
            <w:vAlign w:val="center"/>
          </w:tcPr>
          <w:p w:rsidR="00EE0C8C" w:rsidRPr="00B529A2" w:rsidRDefault="00EE0C8C" w:rsidP="00B529A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40"/>
                <w:lang w:eastAsia="pl-PL"/>
              </w:rPr>
            </w:pPr>
          </w:p>
        </w:tc>
      </w:tr>
      <w:tr w:rsidR="00EE0C8C" w:rsidRPr="00EE0C8C" w:rsidTr="005E59F1">
        <w:trPr>
          <w:trHeight w:val="379"/>
        </w:trPr>
        <w:tc>
          <w:tcPr>
            <w:cnfStyle w:val="001000000000" w:firstRow="0" w:lastRow="0" w:firstColumn="1" w:lastColumn="0" w:oddVBand="0" w:evenVBand="0" w:oddHBand="0" w:evenHBand="0" w:firstRowFirstColumn="0" w:firstRowLastColumn="0" w:lastRowFirstColumn="0" w:lastRowLastColumn="0"/>
            <w:tcW w:w="1279" w:type="pct"/>
            <w:tcBorders>
              <w:top w:val="single" w:sz="12" w:space="0" w:color="76923C" w:themeColor="accent3" w:themeShade="BF"/>
              <w:left w:val="single" w:sz="18" w:space="0" w:color="76923C" w:themeColor="accent3" w:themeShade="BF"/>
              <w:bottom w:val="single" w:sz="12" w:space="0" w:color="76923C" w:themeColor="accent3" w:themeShade="BF"/>
              <w:right w:val="single" w:sz="18" w:space="0" w:color="76923C" w:themeColor="accent3" w:themeShade="BF"/>
            </w:tcBorders>
          </w:tcPr>
          <w:p w:rsidR="00EE0C8C" w:rsidRPr="00EE0C8C" w:rsidRDefault="00BD04AA" w:rsidP="00EE0C8C">
            <w:r>
              <w:t>9</w:t>
            </w:r>
            <w:r w:rsidR="00EE0C8C" w:rsidRPr="00EE0C8C">
              <w:t xml:space="preserve">) Powstanie miejsca integracji na terenie parku przydworskiego </w:t>
            </w:r>
            <w:r w:rsidR="00EE0C8C" w:rsidRPr="00EE0C8C">
              <w:br/>
              <w:t>(w centrum Mirca)</w:t>
            </w:r>
          </w:p>
        </w:tc>
        <w:tc>
          <w:tcPr>
            <w:cnfStyle w:val="000010000000" w:firstRow="0" w:lastRow="0" w:firstColumn="0" w:lastColumn="0" w:oddVBand="1" w:evenVBand="0" w:oddHBand="0" w:evenHBand="0" w:firstRowFirstColumn="0" w:firstRowLastColumn="0" w:lastRowFirstColumn="0" w:lastRowLastColumn="0"/>
            <w:tcW w:w="465" w:type="pct"/>
            <w:tcBorders>
              <w:top w:val="single" w:sz="12" w:space="0" w:color="76923C" w:themeColor="accent3" w:themeShade="BF"/>
              <w:left w:val="single" w:sz="18"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B529A2" w:rsidP="00B529A2">
            <w:pPr>
              <w:jc w:val="center"/>
              <w:rPr>
                <w:rFonts w:ascii="Times New Roman" w:eastAsia="Calibri" w:hAnsi="Times New Roman" w:cs="Times New Roman"/>
                <w:sz w:val="40"/>
                <w:lang w:eastAsia="pl-PL"/>
              </w:rPr>
            </w:pPr>
            <w:r w:rsidRPr="00B529A2">
              <w:rPr>
                <w:rFonts w:ascii="Times New Roman" w:eastAsia="Calibri" w:hAnsi="Times New Roman" w:cs="Times New Roman"/>
                <w:sz w:val="40"/>
                <w:lang w:eastAsia="pl-PL"/>
              </w:rPr>
              <w:t>X</w:t>
            </w:r>
          </w:p>
        </w:tc>
        <w:tc>
          <w:tcPr>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B529A2" w:rsidP="00B529A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40"/>
                <w:lang w:eastAsia="pl-PL"/>
              </w:rPr>
            </w:pPr>
            <w:r w:rsidRPr="00B529A2">
              <w:rPr>
                <w:rFonts w:ascii="Times New Roman" w:eastAsia="Calibri" w:hAnsi="Times New Roman" w:cs="Times New Roman"/>
                <w:sz w:val="40"/>
                <w:lang w:eastAsia="pl-PL"/>
              </w:rPr>
              <w:t>X</w:t>
            </w:r>
          </w:p>
        </w:tc>
        <w:tc>
          <w:tcPr>
            <w:cnfStyle w:val="000010000000" w:firstRow="0" w:lastRow="0" w:firstColumn="0" w:lastColumn="0" w:oddVBand="1" w:evenVBand="0" w:oddHBand="0" w:evenHBand="0" w:firstRowFirstColumn="0" w:firstRowLastColumn="0" w:lastRowFirstColumn="0" w:lastRowLastColumn="0"/>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B529A2" w:rsidP="00B529A2">
            <w:pPr>
              <w:jc w:val="center"/>
              <w:rPr>
                <w:rFonts w:ascii="Times New Roman" w:eastAsia="Calibri" w:hAnsi="Times New Roman" w:cs="Times New Roman"/>
                <w:sz w:val="40"/>
                <w:lang w:eastAsia="pl-PL"/>
              </w:rPr>
            </w:pPr>
            <w:r w:rsidRPr="00B529A2">
              <w:rPr>
                <w:rFonts w:ascii="Times New Roman" w:eastAsia="Calibri" w:hAnsi="Times New Roman" w:cs="Times New Roman"/>
                <w:sz w:val="40"/>
                <w:lang w:eastAsia="pl-PL"/>
              </w:rPr>
              <w:t>X</w:t>
            </w:r>
          </w:p>
        </w:tc>
        <w:tc>
          <w:tcPr>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EE0C8C" w:rsidP="00B529A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40"/>
                <w:lang w:eastAsia="pl-PL"/>
              </w:rPr>
            </w:pPr>
          </w:p>
        </w:tc>
        <w:tc>
          <w:tcPr>
            <w:cnfStyle w:val="000010000000" w:firstRow="0" w:lastRow="0" w:firstColumn="0" w:lastColumn="0" w:oddVBand="1" w:evenVBand="0" w:oddHBand="0" w:evenHBand="0" w:firstRowFirstColumn="0" w:firstRowLastColumn="0" w:lastRowFirstColumn="0" w:lastRowLastColumn="0"/>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B529A2" w:rsidP="00B529A2">
            <w:pPr>
              <w:jc w:val="center"/>
              <w:rPr>
                <w:rFonts w:ascii="Times New Roman" w:eastAsia="Calibri" w:hAnsi="Times New Roman" w:cs="Times New Roman"/>
                <w:sz w:val="40"/>
                <w:lang w:eastAsia="pl-PL"/>
              </w:rPr>
            </w:pPr>
            <w:r w:rsidRPr="00B529A2">
              <w:rPr>
                <w:rFonts w:ascii="Times New Roman" w:eastAsia="Calibri" w:hAnsi="Times New Roman" w:cs="Times New Roman"/>
                <w:sz w:val="40"/>
                <w:lang w:eastAsia="pl-PL"/>
              </w:rPr>
              <w:t>X</w:t>
            </w:r>
          </w:p>
        </w:tc>
        <w:tc>
          <w:tcPr>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B529A2" w:rsidP="00B529A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40"/>
                <w:lang w:eastAsia="pl-PL"/>
              </w:rPr>
            </w:pPr>
            <w:r w:rsidRPr="00B529A2">
              <w:rPr>
                <w:rFonts w:ascii="Times New Roman" w:eastAsia="Calibri" w:hAnsi="Times New Roman" w:cs="Times New Roman"/>
                <w:sz w:val="40"/>
                <w:lang w:eastAsia="pl-PL"/>
              </w:rPr>
              <w:t>X</w:t>
            </w:r>
          </w:p>
        </w:tc>
        <w:tc>
          <w:tcPr>
            <w:cnfStyle w:val="000010000000" w:firstRow="0" w:lastRow="0" w:firstColumn="0" w:lastColumn="0" w:oddVBand="1" w:evenVBand="0" w:oddHBand="0" w:evenHBand="0" w:firstRowFirstColumn="0" w:firstRowLastColumn="0" w:lastRowFirstColumn="0" w:lastRowLastColumn="0"/>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B529A2" w:rsidP="00B529A2">
            <w:pPr>
              <w:jc w:val="center"/>
              <w:rPr>
                <w:rFonts w:ascii="Times New Roman" w:eastAsia="Calibri" w:hAnsi="Times New Roman" w:cs="Times New Roman"/>
                <w:sz w:val="40"/>
                <w:lang w:eastAsia="pl-PL"/>
              </w:rPr>
            </w:pPr>
            <w:r w:rsidRPr="00B529A2">
              <w:rPr>
                <w:rFonts w:ascii="Times New Roman" w:eastAsia="Calibri" w:hAnsi="Times New Roman" w:cs="Times New Roman"/>
                <w:sz w:val="40"/>
                <w:lang w:eastAsia="pl-PL"/>
              </w:rPr>
              <w:t>X</w:t>
            </w:r>
          </w:p>
        </w:tc>
        <w:tc>
          <w:tcPr>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EE0C8C" w:rsidP="00B529A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40"/>
                <w:lang w:eastAsia="pl-PL"/>
              </w:rPr>
            </w:pPr>
          </w:p>
        </w:tc>
      </w:tr>
      <w:tr w:rsidR="00EE0C8C" w:rsidRPr="00EE0C8C" w:rsidTr="005E59F1">
        <w:trPr>
          <w:trHeight w:val="262"/>
        </w:trPr>
        <w:tc>
          <w:tcPr>
            <w:cnfStyle w:val="001000000000" w:firstRow="0" w:lastRow="0" w:firstColumn="1" w:lastColumn="0" w:oddVBand="0" w:evenVBand="0" w:oddHBand="0" w:evenHBand="0" w:firstRowFirstColumn="0" w:firstRowLastColumn="0" w:lastRowFirstColumn="0" w:lastRowLastColumn="0"/>
            <w:tcW w:w="1279" w:type="pct"/>
            <w:tcBorders>
              <w:top w:val="single" w:sz="12" w:space="0" w:color="76923C" w:themeColor="accent3" w:themeShade="BF"/>
              <w:left w:val="single" w:sz="18" w:space="0" w:color="76923C" w:themeColor="accent3" w:themeShade="BF"/>
              <w:bottom w:val="single" w:sz="12" w:space="0" w:color="76923C" w:themeColor="accent3" w:themeShade="BF"/>
              <w:right w:val="single" w:sz="18" w:space="0" w:color="76923C" w:themeColor="accent3" w:themeShade="BF"/>
            </w:tcBorders>
          </w:tcPr>
          <w:p w:rsidR="00EE0C8C" w:rsidRPr="00EE0C8C" w:rsidRDefault="00BD04AA" w:rsidP="00EE0C8C">
            <w:r>
              <w:t>10</w:t>
            </w:r>
            <w:r w:rsidR="00EE0C8C" w:rsidRPr="00EE0C8C">
              <w:t>) Rozbudowa i modernizacja firmy Zakład Betoniarski</w:t>
            </w:r>
          </w:p>
        </w:tc>
        <w:tc>
          <w:tcPr>
            <w:cnfStyle w:val="000010000000" w:firstRow="0" w:lastRow="0" w:firstColumn="0" w:lastColumn="0" w:oddVBand="1" w:evenVBand="0" w:oddHBand="0" w:evenHBand="0" w:firstRowFirstColumn="0" w:firstRowLastColumn="0" w:lastRowFirstColumn="0" w:lastRowLastColumn="0"/>
            <w:tcW w:w="465" w:type="pct"/>
            <w:tcBorders>
              <w:top w:val="single" w:sz="12" w:space="0" w:color="76923C" w:themeColor="accent3" w:themeShade="BF"/>
              <w:left w:val="single" w:sz="18"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EE0C8C" w:rsidP="00B529A2">
            <w:pPr>
              <w:jc w:val="center"/>
              <w:rPr>
                <w:rFonts w:ascii="Times New Roman" w:eastAsia="Calibri" w:hAnsi="Times New Roman" w:cs="Times New Roman"/>
                <w:sz w:val="40"/>
                <w:lang w:eastAsia="pl-PL"/>
              </w:rPr>
            </w:pPr>
          </w:p>
        </w:tc>
        <w:tc>
          <w:tcPr>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B529A2" w:rsidP="00B529A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40"/>
                <w:lang w:eastAsia="pl-PL"/>
              </w:rPr>
            </w:pPr>
            <w:r w:rsidRPr="00B529A2">
              <w:rPr>
                <w:rFonts w:ascii="Times New Roman" w:eastAsia="Calibri" w:hAnsi="Times New Roman" w:cs="Times New Roman"/>
                <w:sz w:val="40"/>
                <w:lang w:eastAsia="pl-PL"/>
              </w:rPr>
              <w:t>X</w:t>
            </w:r>
          </w:p>
        </w:tc>
        <w:tc>
          <w:tcPr>
            <w:cnfStyle w:val="000010000000" w:firstRow="0" w:lastRow="0" w:firstColumn="0" w:lastColumn="0" w:oddVBand="1" w:evenVBand="0" w:oddHBand="0" w:evenHBand="0" w:firstRowFirstColumn="0" w:firstRowLastColumn="0" w:lastRowFirstColumn="0" w:lastRowLastColumn="0"/>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B529A2" w:rsidP="00B529A2">
            <w:pPr>
              <w:jc w:val="center"/>
              <w:rPr>
                <w:rFonts w:ascii="Times New Roman" w:eastAsia="Calibri" w:hAnsi="Times New Roman" w:cs="Times New Roman"/>
                <w:sz w:val="40"/>
                <w:lang w:eastAsia="pl-PL"/>
              </w:rPr>
            </w:pPr>
            <w:r w:rsidRPr="00B529A2">
              <w:rPr>
                <w:rFonts w:ascii="Times New Roman" w:eastAsia="Calibri" w:hAnsi="Times New Roman" w:cs="Times New Roman"/>
                <w:sz w:val="40"/>
                <w:lang w:eastAsia="pl-PL"/>
              </w:rPr>
              <w:t>X</w:t>
            </w:r>
          </w:p>
        </w:tc>
        <w:tc>
          <w:tcPr>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B529A2" w:rsidP="00B529A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40"/>
                <w:lang w:eastAsia="pl-PL"/>
              </w:rPr>
            </w:pPr>
            <w:r w:rsidRPr="00B529A2">
              <w:rPr>
                <w:rFonts w:ascii="Times New Roman" w:eastAsia="Calibri" w:hAnsi="Times New Roman" w:cs="Times New Roman"/>
                <w:sz w:val="40"/>
                <w:lang w:eastAsia="pl-PL"/>
              </w:rPr>
              <w:t>X</w:t>
            </w:r>
          </w:p>
        </w:tc>
        <w:tc>
          <w:tcPr>
            <w:cnfStyle w:val="000010000000" w:firstRow="0" w:lastRow="0" w:firstColumn="0" w:lastColumn="0" w:oddVBand="1" w:evenVBand="0" w:oddHBand="0" w:evenHBand="0" w:firstRowFirstColumn="0" w:firstRowLastColumn="0" w:lastRowFirstColumn="0" w:lastRowLastColumn="0"/>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EE0C8C" w:rsidP="00B529A2">
            <w:pPr>
              <w:jc w:val="center"/>
              <w:rPr>
                <w:rFonts w:ascii="Times New Roman" w:eastAsia="Calibri" w:hAnsi="Times New Roman" w:cs="Times New Roman"/>
                <w:sz w:val="40"/>
                <w:lang w:eastAsia="pl-PL"/>
              </w:rPr>
            </w:pPr>
          </w:p>
        </w:tc>
        <w:tc>
          <w:tcPr>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EE0C8C" w:rsidP="00B529A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40"/>
                <w:lang w:eastAsia="pl-PL"/>
              </w:rPr>
            </w:pPr>
          </w:p>
        </w:tc>
        <w:tc>
          <w:tcPr>
            <w:cnfStyle w:val="000010000000" w:firstRow="0" w:lastRow="0" w:firstColumn="0" w:lastColumn="0" w:oddVBand="1" w:evenVBand="0" w:oddHBand="0" w:evenHBand="0" w:firstRowFirstColumn="0" w:firstRowLastColumn="0" w:lastRowFirstColumn="0" w:lastRowLastColumn="0"/>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B529A2" w:rsidP="00B529A2">
            <w:pPr>
              <w:jc w:val="center"/>
              <w:rPr>
                <w:rFonts w:ascii="Times New Roman" w:eastAsia="Calibri" w:hAnsi="Times New Roman" w:cs="Times New Roman"/>
                <w:sz w:val="40"/>
                <w:lang w:eastAsia="pl-PL"/>
              </w:rPr>
            </w:pPr>
            <w:r w:rsidRPr="00B529A2">
              <w:rPr>
                <w:rFonts w:ascii="Times New Roman" w:eastAsia="Calibri" w:hAnsi="Times New Roman" w:cs="Times New Roman"/>
                <w:sz w:val="40"/>
                <w:lang w:eastAsia="pl-PL"/>
              </w:rPr>
              <w:t>X</w:t>
            </w:r>
          </w:p>
        </w:tc>
        <w:tc>
          <w:tcPr>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EE0C8C" w:rsidP="00B529A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40"/>
                <w:lang w:eastAsia="pl-PL"/>
              </w:rPr>
            </w:pPr>
          </w:p>
        </w:tc>
      </w:tr>
      <w:tr w:rsidR="00EE0C8C" w:rsidRPr="00EE0C8C" w:rsidTr="005E59F1">
        <w:trPr>
          <w:trHeight w:val="379"/>
        </w:trPr>
        <w:tc>
          <w:tcPr>
            <w:cnfStyle w:val="001000000000" w:firstRow="0" w:lastRow="0" w:firstColumn="1" w:lastColumn="0" w:oddVBand="0" w:evenVBand="0" w:oddHBand="0" w:evenHBand="0" w:firstRowFirstColumn="0" w:firstRowLastColumn="0" w:lastRowFirstColumn="0" w:lastRowLastColumn="0"/>
            <w:tcW w:w="1279" w:type="pct"/>
            <w:tcBorders>
              <w:top w:val="single" w:sz="12" w:space="0" w:color="76923C" w:themeColor="accent3" w:themeShade="BF"/>
              <w:left w:val="single" w:sz="18" w:space="0" w:color="76923C" w:themeColor="accent3" w:themeShade="BF"/>
              <w:bottom w:val="single" w:sz="12" w:space="0" w:color="76923C" w:themeColor="accent3" w:themeShade="BF"/>
              <w:right w:val="single" w:sz="18" w:space="0" w:color="76923C" w:themeColor="accent3" w:themeShade="BF"/>
            </w:tcBorders>
          </w:tcPr>
          <w:p w:rsidR="00EE0C8C" w:rsidRPr="00EE0C8C" w:rsidRDefault="00BD04AA" w:rsidP="00EE0C8C">
            <w:r>
              <w:t>11</w:t>
            </w:r>
            <w:r w:rsidR="00EE0C8C" w:rsidRPr="00EE0C8C">
              <w:t>) Modernizacja restauracji Wiktoria z zastosowaniem odnawialnych źródeł energii</w:t>
            </w:r>
          </w:p>
        </w:tc>
        <w:tc>
          <w:tcPr>
            <w:cnfStyle w:val="000010000000" w:firstRow="0" w:lastRow="0" w:firstColumn="0" w:lastColumn="0" w:oddVBand="1" w:evenVBand="0" w:oddHBand="0" w:evenHBand="0" w:firstRowFirstColumn="0" w:firstRowLastColumn="0" w:lastRowFirstColumn="0" w:lastRowLastColumn="0"/>
            <w:tcW w:w="465" w:type="pct"/>
            <w:tcBorders>
              <w:top w:val="single" w:sz="12" w:space="0" w:color="76923C" w:themeColor="accent3" w:themeShade="BF"/>
              <w:left w:val="single" w:sz="18"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EE0C8C" w:rsidP="00B529A2">
            <w:pPr>
              <w:jc w:val="center"/>
              <w:rPr>
                <w:rFonts w:ascii="Times New Roman" w:eastAsia="Calibri" w:hAnsi="Times New Roman" w:cs="Times New Roman"/>
                <w:sz w:val="40"/>
                <w:lang w:eastAsia="pl-PL"/>
              </w:rPr>
            </w:pPr>
          </w:p>
        </w:tc>
        <w:tc>
          <w:tcPr>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B529A2" w:rsidP="00B529A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40"/>
                <w:lang w:eastAsia="pl-PL"/>
              </w:rPr>
            </w:pPr>
            <w:r w:rsidRPr="00B529A2">
              <w:rPr>
                <w:rFonts w:ascii="Times New Roman" w:eastAsia="Calibri" w:hAnsi="Times New Roman" w:cs="Times New Roman"/>
                <w:sz w:val="40"/>
                <w:lang w:eastAsia="pl-PL"/>
              </w:rPr>
              <w:t>X</w:t>
            </w:r>
          </w:p>
        </w:tc>
        <w:tc>
          <w:tcPr>
            <w:cnfStyle w:val="000010000000" w:firstRow="0" w:lastRow="0" w:firstColumn="0" w:lastColumn="0" w:oddVBand="1" w:evenVBand="0" w:oddHBand="0" w:evenHBand="0" w:firstRowFirstColumn="0" w:firstRowLastColumn="0" w:lastRowFirstColumn="0" w:lastRowLastColumn="0"/>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B529A2" w:rsidP="00B529A2">
            <w:pPr>
              <w:jc w:val="center"/>
              <w:rPr>
                <w:rFonts w:ascii="Times New Roman" w:eastAsia="Calibri" w:hAnsi="Times New Roman" w:cs="Times New Roman"/>
                <w:sz w:val="40"/>
                <w:lang w:eastAsia="pl-PL"/>
              </w:rPr>
            </w:pPr>
            <w:r w:rsidRPr="00B529A2">
              <w:rPr>
                <w:rFonts w:ascii="Times New Roman" w:eastAsia="Calibri" w:hAnsi="Times New Roman" w:cs="Times New Roman"/>
                <w:sz w:val="40"/>
                <w:lang w:eastAsia="pl-PL"/>
              </w:rPr>
              <w:t>X</w:t>
            </w:r>
          </w:p>
        </w:tc>
        <w:tc>
          <w:tcPr>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EE0C8C" w:rsidP="00B529A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40"/>
                <w:lang w:eastAsia="pl-PL"/>
              </w:rPr>
            </w:pPr>
          </w:p>
        </w:tc>
        <w:tc>
          <w:tcPr>
            <w:cnfStyle w:val="000010000000" w:firstRow="0" w:lastRow="0" w:firstColumn="0" w:lastColumn="0" w:oddVBand="1" w:evenVBand="0" w:oddHBand="0" w:evenHBand="0" w:firstRowFirstColumn="0" w:firstRowLastColumn="0" w:lastRowFirstColumn="0" w:lastRowLastColumn="0"/>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B529A2" w:rsidP="00B529A2">
            <w:pPr>
              <w:jc w:val="center"/>
              <w:rPr>
                <w:rFonts w:ascii="Times New Roman" w:eastAsia="Calibri" w:hAnsi="Times New Roman" w:cs="Times New Roman"/>
                <w:sz w:val="40"/>
                <w:lang w:eastAsia="pl-PL"/>
              </w:rPr>
            </w:pPr>
            <w:r w:rsidRPr="00B529A2">
              <w:rPr>
                <w:rFonts w:ascii="Times New Roman" w:eastAsia="Calibri" w:hAnsi="Times New Roman" w:cs="Times New Roman"/>
                <w:sz w:val="40"/>
                <w:lang w:eastAsia="pl-PL"/>
              </w:rPr>
              <w:t>X</w:t>
            </w:r>
          </w:p>
        </w:tc>
        <w:tc>
          <w:tcPr>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B529A2" w:rsidP="00B529A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40"/>
                <w:lang w:eastAsia="pl-PL"/>
              </w:rPr>
            </w:pPr>
            <w:r w:rsidRPr="00B529A2">
              <w:rPr>
                <w:rFonts w:ascii="Times New Roman" w:eastAsia="Calibri" w:hAnsi="Times New Roman" w:cs="Times New Roman"/>
                <w:sz w:val="40"/>
                <w:lang w:eastAsia="pl-PL"/>
              </w:rPr>
              <w:t>X</w:t>
            </w:r>
          </w:p>
        </w:tc>
        <w:tc>
          <w:tcPr>
            <w:cnfStyle w:val="000010000000" w:firstRow="0" w:lastRow="0" w:firstColumn="0" w:lastColumn="0" w:oddVBand="1" w:evenVBand="0" w:oddHBand="0" w:evenHBand="0" w:firstRowFirstColumn="0" w:firstRowLastColumn="0" w:lastRowFirstColumn="0" w:lastRowLastColumn="0"/>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B529A2" w:rsidP="00B529A2">
            <w:pPr>
              <w:jc w:val="center"/>
              <w:rPr>
                <w:rFonts w:ascii="Times New Roman" w:eastAsia="Calibri" w:hAnsi="Times New Roman" w:cs="Times New Roman"/>
                <w:sz w:val="40"/>
                <w:lang w:eastAsia="pl-PL"/>
              </w:rPr>
            </w:pPr>
            <w:r w:rsidRPr="00B529A2">
              <w:rPr>
                <w:rFonts w:ascii="Times New Roman" w:eastAsia="Calibri" w:hAnsi="Times New Roman" w:cs="Times New Roman"/>
                <w:sz w:val="40"/>
                <w:lang w:eastAsia="pl-PL"/>
              </w:rPr>
              <w:t>X</w:t>
            </w:r>
          </w:p>
        </w:tc>
        <w:tc>
          <w:tcPr>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B529A2" w:rsidP="00B529A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40"/>
                <w:lang w:eastAsia="pl-PL"/>
              </w:rPr>
            </w:pPr>
            <w:r w:rsidRPr="00B529A2">
              <w:rPr>
                <w:rFonts w:ascii="Times New Roman" w:eastAsia="Calibri" w:hAnsi="Times New Roman" w:cs="Times New Roman"/>
                <w:sz w:val="40"/>
                <w:lang w:eastAsia="pl-PL"/>
              </w:rPr>
              <w:t>X</w:t>
            </w:r>
          </w:p>
        </w:tc>
      </w:tr>
      <w:tr w:rsidR="00EE0C8C" w:rsidRPr="00EE0C8C" w:rsidTr="005E59F1">
        <w:trPr>
          <w:trHeight w:val="262"/>
        </w:trPr>
        <w:tc>
          <w:tcPr>
            <w:cnfStyle w:val="001000000000" w:firstRow="0" w:lastRow="0" w:firstColumn="1" w:lastColumn="0" w:oddVBand="0" w:evenVBand="0" w:oddHBand="0" w:evenHBand="0" w:firstRowFirstColumn="0" w:firstRowLastColumn="0" w:lastRowFirstColumn="0" w:lastRowLastColumn="0"/>
            <w:tcW w:w="1279" w:type="pct"/>
            <w:tcBorders>
              <w:top w:val="single" w:sz="12" w:space="0" w:color="76923C" w:themeColor="accent3" w:themeShade="BF"/>
              <w:left w:val="single" w:sz="18" w:space="0" w:color="76923C" w:themeColor="accent3" w:themeShade="BF"/>
              <w:bottom w:val="single" w:sz="12" w:space="0" w:color="76923C" w:themeColor="accent3" w:themeShade="BF"/>
              <w:right w:val="single" w:sz="18" w:space="0" w:color="76923C" w:themeColor="accent3" w:themeShade="BF"/>
            </w:tcBorders>
          </w:tcPr>
          <w:p w:rsidR="00EE0C8C" w:rsidRPr="00EE0C8C" w:rsidRDefault="00BD04AA" w:rsidP="00EE0C8C">
            <w:r>
              <w:t>12</w:t>
            </w:r>
            <w:r w:rsidR="00EE0C8C" w:rsidRPr="00EE0C8C">
              <w:t>) Termomodernizacja obiektu handlowego i magazynowego</w:t>
            </w:r>
          </w:p>
        </w:tc>
        <w:tc>
          <w:tcPr>
            <w:cnfStyle w:val="000010000000" w:firstRow="0" w:lastRow="0" w:firstColumn="0" w:lastColumn="0" w:oddVBand="1" w:evenVBand="0" w:oddHBand="0" w:evenHBand="0" w:firstRowFirstColumn="0" w:firstRowLastColumn="0" w:lastRowFirstColumn="0" w:lastRowLastColumn="0"/>
            <w:tcW w:w="465" w:type="pct"/>
            <w:tcBorders>
              <w:top w:val="single" w:sz="12" w:space="0" w:color="76923C" w:themeColor="accent3" w:themeShade="BF"/>
              <w:left w:val="single" w:sz="18"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EE0C8C" w:rsidP="00B529A2">
            <w:pPr>
              <w:jc w:val="center"/>
              <w:rPr>
                <w:rFonts w:ascii="Times New Roman" w:eastAsia="Calibri" w:hAnsi="Times New Roman" w:cs="Times New Roman"/>
                <w:sz w:val="40"/>
                <w:lang w:eastAsia="pl-PL"/>
              </w:rPr>
            </w:pPr>
          </w:p>
        </w:tc>
        <w:tc>
          <w:tcPr>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B529A2" w:rsidP="00B529A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40"/>
                <w:lang w:eastAsia="pl-PL"/>
              </w:rPr>
            </w:pPr>
            <w:r w:rsidRPr="00B529A2">
              <w:rPr>
                <w:rFonts w:ascii="Times New Roman" w:eastAsia="Calibri" w:hAnsi="Times New Roman" w:cs="Times New Roman"/>
                <w:sz w:val="40"/>
                <w:lang w:eastAsia="pl-PL"/>
              </w:rPr>
              <w:t>X</w:t>
            </w:r>
          </w:p>
        </w:tc>
        <w:tc>
          <w:tcPr>
            <w:cnfStyle w:val="000010000000" w:firstRow="0" w:lastRow="0" w:firstColumn="0" w:lastColumn="0" w:oddVBand="1" w:evenVBand="0" w:oddHBand="0" w:evenHBand="0" w:firstRowFirstColumn="0" w:firstRowLastColumn="0" w:lastRowFirstColumn="0" w:lastRowLastColumn="0"/>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B529A2" w:rsidP="00B529A2">
            <w:pPr>
              <w:jc w:val="center"/>
              <w:rPr>
                <w:rFonts w:ascii="Times New Roman" w:eastAsia="Calibri" w:hAnsi="Times New Roman" w:cs="Times New Roman"/>
                <w:sz w:val="40"/>
                <w:lang w:eastAsia="pl-PL"/>
              </w:rPr>
            </w:pPr>
            <w:r w:rsidRPr="00B529A2">
              <w:rPr>
                <w:rFonts w:ascii="Times New Roman" w:eastAsia="Calibri" w:hAnsi="Times New Roman" w:cs="Times New Roman"/>
                <w:sz w:val="40"/>
                <w:lang w:eastAsia="pl-PL"/>
              </w:rPr>
              <w:t>X</w:t>
            </w:r>
          </w:p>
        </w:tc>
        <w:tc>
          <w:tcPr>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B529A2" w:rsidP="00B529A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40"/>
                <w:lang w:eastAsia="pl-PL"/>
              </w:rPr>
            </w:pPr>
            <w:r w:rsidRPr="00B529A2">
              <w:rPr>
                <w:rFonts w:ascii="Times New Roman" w:eastAsia="Calibri" w:hAnsi="Times New Roman" w:cs="Times New Roman"/>
                <w:sz w:val="40"/>
                <w:lang w:eastAsia="pl-PL"/>
              </w:rPr>
              <w:t>X</w:t>
            </w:r>
          </w:p>
        </w:tc>
        <w:tc>
          <w:tcPr>
            <w:cnfStyle w:val="000010000000" w:firstRow="0" w:lastRow="0" w:firstColumn="0" w:lastColumn="0" w:oddVBand="1" w:evenVBand="0" w:oddHBand="0" w:evenHBand="0" w:firstRowFirstColumn="0" w:firstRowLastColumn="0" w:lastRowFirstColumn="0" w:lastRowLastColumn="0"/>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EE0C8C" w:rsidP="00B529A2">
            <w:pPr>
              <w:jc w:val="center"/>
              <w:rPr>
                <w:rFonts w:ascii="Times New Roman" w:eastAsia="Calibri" w:hAnsi="Times New Roman" w:cs="Times New Roman"/>
                <w:sz w:val="40"/>
                <w:lang w:eastAsia="pl-PL"/>
              </w:rPr>
            </w:pPr>
          </w:p>
        </w:tc>
        <w:tc>
          <w:tcPr>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B529A2" w:rsidP="00B529A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40"/>
                <w:lang w:eastAsia="pl-PL"/>
              </w:rPr>
            </w:pPr>
            <w:r w:rsidRPr="00B529A2">
              <w:rPr>
                <w:rFonts w:ascii="Times New Roman" w:eastAsia="Calibri" w:hAnsi="Times New Roman" w:cs="Times New Roman"/>
                <w:sz w:val="40"/>
                <w:lang w:eastAsia="pl-PL"/>
              </w:rPr>
              <w:t>X</w:t>
            </w:r>
          </w:p>
        </w:tc>
        <w:tc>
          <w:tcPr>
            <w:cnfStyle w:val="000010000000" w:firstRow="0" w:lastRow="0" w:firstColumn="0" w:lastColumn="0" w:oddVBand="1" w:evenVBand="0" w:oddHBand="0" w:evenHBand="0" w:firstRowFirstColumn="0" w:firstRowLastColumn="0" w:lastRowFirstColumn="0" w:lastRowLastColumn="0"/>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B529A2" w:rsidP="00B529A2">
            <w:pPr>
              <w:jc w:val="center"/>
              <w:rPr>
                <w:rFonts w:ascii="Times New Roman" w:eastAsia="Calibri" w:hAnsi="Times New Roman" w:cs="Times New Roman"/>
                <w:sz w:val="40"/>
                <w:lang w:eastAsia="pl-PL"/>
              </w:rPr>
            </w:pPr>
            <w:r w:rsidRPr="00B529A2">
              <w:rPr>
                <w:rFonts w:ascii="Times New Roman" w:eastAsia="Calibri" w:hAnsi="Times New Roman" w:cs="Times New Roman"/>
                <w:sz w:val="40"/>
                <w:lang w:eastAsia="pl-PL"/>
              </w:rPr>
              <w:t>X</w:t>
            </w:r>
          </w:p>
        </w:tc>
        <w:tc>
          <w:tcPr>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EE0C8C" w:rsidP="00B529A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40"/>
                <w:lang w:eastAsia="pl-PL"/>
              </w:rPr>
            </w:pPr>
          </w:p>
        </w:tc>
      </w:tr>
      <w:tr w:rsidR="00EE0C8C" w:rsidRPr="00EE0C8C" w:rsidTr="005E59F1">
        <w:trPr>
          <w:trHeight w:val="253"/>
        </w:trPr>
        <w:tc>
          <w:tcPr>
            <w:cnfStyle w:val="001000000000" w:firstRow="0" w:lastRow="0" w:firstColumn="1" w:lastColumn="0" w:oddVBand="0" w:evenVBand="0" w:oddHBand="0" w:evenHBand="0" w:firstRowFirstColumn="0" w:firstRowLastColumn="0" w:lastRowFirstColumn="0" w:lastRowLastColumn="0"/>
            <w:tcW w:w="1279" w:type="pct"/>
            <w:tcBorders>
              <w:top w:val="single" w:sz="12" w:space="0" w:color="76923C" w:themeColor="accent3" w:themeShade="BF"/>
              <w:left w:val="single" w:sz="18" w:space="0" w:color="76923C" w:themeColor="accent3" w:themeShade="BF"/>
              <w:bottom w:val="single" w:sz="12" w:space="0" w:color="76923C" w:themeColor="accent3" w:themeShade="BF"/>
              <w:right w:val="single" w:sz="18" w:space="0" w:color="76923C" w:themeColor="accent3" w:themeShade="BF"/>
            </w:tcBorders>
          </w:tcPr>
          <w:p w:rsidR="00EE0C8C" w:rsidRPr="00EE0C8C" w:rsidRDefault="00EE0C8C" w:rsidP="00BD04AA">
            <w:r w:rsidRPr="00EE0C8C">
              <w:t>1</w:t>
            </w:r>
            <w:r w:rsidR="00BD04AA">
              <w:t>3</w:t>
            </w:r>
            <w:r w:rsidRPr="00EE0C8C">
              <w:t xml:space="preserve">) </w:t>
            </w:r>
            <w:r w:rsidRPr="00EE0C8C">
              <w:rPr>
                <w:iCs/>
                <w:color w:val="000000" w:themeColor="text1"/>
              </w:rPr>
              <w:t xml:space="preserve">Infrastruktura edukacyjna </w:t>
            </w:r>
            <w:r w:rsidRPr="00EE0C8C">
              <w:rPr>
                <w:iCs/>
                <w:color w:val="000000" w:themeColor="text1"/>
              </w:rPr>
              <w:br/>
              <w:t>w wiejskiej zagrodzie edukacyjnej</w:t>
            </w:r>
          </w:p>
        </w:tc>
        <w:tc>
          <w:tcPr>
            <w:cnfStyle w:val="000010000000" w:firstRow="0" w:lastRow="0" w:firstColumn="0" w:lastColumn="0" w:oddVBand="1" w:evenVBand="0" w:oddHBand="0" w:evenHBand="0" w:firstRowFirstColumn="0" w:firstRowLastColumn="0" w:lastRowFirstColumn="0" w:lastRowLastColumn="0"/>
            <w:tcW w:w="465" w:type="pct"/>
            <w:tcBorders>
              <w:top w:val="single" w:sz="12" w:space="0" w:color="76923C" w:themeColor="accent3" w:themeShade="BF"/>
              <w:left w:val="single" w:sz="18"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EE0C8C" w:rsidP="00B529A2">
            <w:pPr>
              <w:jc w:val="center"/>
              <w:rPr>
                <w:rFonts w:ascii="Times New Roman" w:eastAsia="Calibri" w:hAnsi="Times New Roman" w:cs="Times New Roman"/>
                <w:sz w:val="40"/>
                <w:lang w:eastAsia="pl-PL"/>
              </w:rPr>
            </w:pPr>
          </w:p>
        </w:tc>
        <w:tc>
          <w:tcPr>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B529A2" w:rsidP="00B529A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40"/>
                <w:lang w:eastAsia="pl-PL"/>
              </w:rPr>
            </w:pPr>
            <w:r w:rsidRPr="00B529A2">
              <w:rPr>
                <w:rFonts w:ascii="Times New Roman" w:eastAsia="Calibri" w:hAnsi="Times New Roman" w:cs="Times New Roman"/>
                <w:sz w:val="40"/>
                <w:lang w:eastAsia="pl-PL"/>
              </w:rPr>
              <w:t>X</w:t>
            </w:r>
          </w:p>
        </w:tc>
        <w:tc>
          <w:tcPr>
            <w:cnfStyle w:val="000010000000" w:firstRow="0" w:lastRow="0" w:firstColumn="0" w:lastColumn="0" w:oddVBand="1" w:evenVBand="0" w:oddHBand="0" w:evenHBand="0" w:firstRowFirstColumn="0" w:firstRowLastColumn="0" w:lastRowFirstColumn="0" w:lastRowLastColumn="0"/>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B529A2" w:rsidP="00B529A2">
            <w:pPr>
              <w:jc w:val="center"/>
              <w:rPr>
                <w:rFonts w:ascii="Times New Roman" w:eastAsia="Calibri" w:hAnsi="Times New Roman" w:cs="Times New Roman"/>
                <w:sz w:val="40"/>
                <w:lang w:eastAsia="pl-PL"/>
              </w:rPr>
            </w:pPr>
            <w:r w:rsidRPr="00B529A2">
              <w:rPr>
                <w:rFonts w:ascii="Times New Roman" w:eastAsia="Calibri" w:hAnsi="Times New Roman" w:cs="Times New Roman"/>
                <w:sz w:val="40"/>
                <w:lang w:eastAsia="pl-PL"/>
              </w:rPr>
              <w:t>X</w:t>
            </w:r>
          </w:p>
        </w:tc>
        <w:tc>
          <w:tcPr>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EE0C8C" w:rsidP="00B529A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40"/>
                <w:lang w:eastAsia="pl-PL"/>
              </w:rPr>
            </w:pPr>
          </w:p>
        </w:tc>
        <w:tc>
          <w:tcPr>
            <w:cnfStyle w:val="000010000000" w:firstRow="0" w:lastRow="0" w:firstColumn="0" w:lastColumn="0" w:oddVBand="1" w:evenVBand="0" w:oddHBand="0" w:evenHBand="0" w:firstRowFirstColumn="0" w:firstRowLastColumn="0" w:lastRowFirstColumn="0" w:lastRowLastColumn="0"/>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EE0C8C" w:rsidP="00B529A2">
            <w:pPr>
              <w:jc w:val="center"/>
              <w:rPr>
                <w:rFonts w:ascii="Times New Roman" w:eastAsia="Calibri" w:hAnsi="Times New Roman" w:cs="Times New Roman"/>
                <w:sz w:val="40"/>
                <w:lang w:eastAsia="pl-PL"/>
              </w:rPr>
            </w:pPr>
          </w:p>
        </w:tc>
        <w:tc>
          <w:tcPr>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B529A2" w:rsidP="00B529A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40"/>
                <w:lang w:eastAsia="pl-PL"/>
              </w:rPr>
            </w:pPr>
            <w:r w:rsidRPr="00B529A2">
              <w:rPr>
                <w:rFonts w:ascii="Times New Roman" w:eastAsia="Calibri" w:hAnsi="Times New Roman" w:cs="Times New Roman"/>
                <w:sz w:val="40"/>
                <w:lang w:eastAsia="pl-PL"/>
              </w:rPr>
              <w:t>X</w:t>
            </w:r>
          </w:p>
        </w:tc>
        <w:tc>
          <w:tcPr>
            <w:cnfStyle w:val="000010000000" w:firstRow="0" w:lastRow="0" w:firstColumn="0" w:lastColumn="0" w:oddVBand="1" w:evenVBand="0" w:oddHBand="0" w:evenHBand="0" w:firstRowFirstColumn="0" w:firstRowLastColumn="0" w:lastRowFirstColumn="0" w:lastRowLastColumn="0"/>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B529A2" w:rsidP="00B529A2">
            <w:pPr>
              <w:jc w:val="center"/>
              <w:rPr>
                <w:rFonts w:ascii="Times New Roman" w:eastAsia="Calibri" w:hAnsi="Times New Roman" w:cs="Times New Roman"/>
                <w:sz w:val="40"/>
                <w:lang w:eastAsia="pl-PL"/>
              </w:rPr>
            </w:pPr>
            <w:r w:rsidRPr="00B529A2">
              <w:rPr>
                <w:rFonts w:ascii="Times New Roman" w:eastAsia="Calibri" w:hAnsi="Times New Roman" w:cs="Times New Roman"/>
                <w:sz w:val="40"/>
                <w:lang w:eastAsia="pl-PL"/>
              </w:rPr>
              <w:t>X</w:t>
            </w:r>
          </w:p>
        </w:tc>
        <w:tc>
          <w:tcPr>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B529A2" w:rsidP="00B529A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40"/>
                <w:lang w:eastAsia="pl-PL"/>
              </w:rPr>
            </w:pPr>
            <w:r w:rsidRPr="00B529A2">
              <w:rPr>
                <w:rFonts w:ascii="Times New Roman" w:eastAsia="Calibri" w:hAnsi="Times New Roman" w:cs="Times New Roman"/>
                <w:sz w:val="40"/>
                <w:lang w:eastAsia="pl-PL"/>
              </w:rPr>
              <w:t>X</w:t>
            </w:r>
          </w:p>
        </w:tc>
      </w:tr>
      <w:tr w:rsidR="00EE0C8C" w:rsidRPr="00EE0C8C" w:rsidTr="005E59F1">
        <w:trPr>
          <w:trHeight w:val="515"/>
        </w:trPr>
        <w:tc>
          <w:tcPr>
            <w:cnfStyle w:val="001000000000" w:firstRow="0" w:lastRow="0" w:firstColumn="1" w:lastColumn="0" w:oddVBand="0" w:evenVBand="0" w:oddHBand="0" w:evenHBand="0" w:firstRowFirstColumn="0" w:firstRowLastColumn="0" w:lastRowFirstColumn="0" w:lastRowLastColumn="0"/>
            <w:tcW w:w="1279" w:type="pct"/>
            <w:tcBorders>
              <w:top w:val="single" w:sz="12" w:space="0" w:color="76923C" w:themeColor="accent3" w:themeShade="BF"/>
              <w:left w:val="single" w:sz="18" w:space="0" w:color="76923C" w:themeColor="accent3" w:themeShade="BF"/>
              <w:bottom w:val="single" w:sz="12" w:space="0" w:color="76923C" w:themeColor="accent3" w:themeShade="BF"/>
              <w:right w:val="single" w:sz="18" w:space="0" w:color="76923C" w:themeColor="accent3" w:themeShade="BF"/>
            </w:tcBorders>
          </w:tcPr>
          <w:p w:rsidR="00EE0C8C" w:rsidRPr="00EE0C8C" w:rsidRDefault="00EE0C8C" w:rsidP="00BD04AA">
            <w:pPr>
              <w:rPr>
                <w:iCs/>
                <w:color w:val="000000" w:themeColor="text1"/>
              </w:rPr>
            </w:pPr>
            <w:r w:rsidRPr="00EE0C8C">
              <w:rPr>
                <w:iCs/>
                <w:color w:val="000000" w:themeColor="text1"/>
              </w:rPr>
              <w:lastRenderedPageBreak/>
              <w:t>1</w:t>
            </w:r>
            <w:r w:rsidR="00BD04AA">
              <w:rPr>
                <w:iCs/>
                <w:color w:val="000000" w:themeColor="text1"/>
              </w:rPr>
              <w:t>4</w:t>
            </w:r>
            <w:r w:rsidRPr="00EE0C8C">
              <w:rPr>
                <w:iCs/>
                <w:color w:val="000000" w:themeColor="text1"/>
              </w:rPr>
              <w:t>) Kompleksowa rozbudowa wraz z zagospodarowaniem terenu na Kompleksie Dom Opieki Helena (Dom Opieki Społecznej)</w:t>
            </w:r>
          </w:p>
        </w:tc>
        <w:tc>
          <w:tcPr>
            <w:cnfStyle w:val="000010000000" w:firstRow="0" w:lastRow="0" w:firstColumn="0" w:lastColumn="0" w:oddVBand="1" w:evenVBand="0" w:oddHBand="0" w:evenHBand="0" w:firstRowFirstColumn="0" w:firstRowLastColumn="0" w:lastRowFirstColumn="0" w:lastRowLastColumn="0"/>
            <w:tcW w:w="465" w:type="pct"/>
            <w:tcBorders>
              <w:top w:val="single" w:sz="12" w:space="0" w:color="76923C" w:themeColor="accent3" w:themeShade="BF"/>
              <w:left w:val="single" w:sz="18"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EE0C8C" w:rsidP="00B529A2">
            <w:pPr>
              <w:jc w:val="center"/>
              <w:rPr>
                <w:rFonts w:ascii="Times New Roman" w:eastAsia="Calibri" w:hAnsi="Times New Roman" w:cs="Times New Roman"/>
                <w:sz w:val="40"/>
                <w:lang w:eastAsia="pl-PL"/>
              </w:rPr>
            </w:pPr>
          </w:p>
        </w:tc>
        <w:tc>
          <w:tcPr>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B529A2" w:rsidP="00B529A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40"/>
                <w:lang w:eastAsia="pl-PL"/>
              </w:rPr>
            </w:pPr>
            <w:r w:rsidRPr="00B529A2">
              <w:rPr>
                <w:rFonts w:ascii="Times New Roman" w:eastAsia="Calibri" w:hAnsi="Times New Roman" w:cs="Times New Roman"/>
                <w:sz w:val="40"/>
                <w:lang w:eastAsia="pl-PL"/>
              </w:rPr>
              <w:t>X</w:t>
            </w:r>
          </w:p>
        </w:tc>
        <w:tc>
          <w:tcPr>
            <w:cnfStyle w:val="000010000000" w:firstRow="0" w:lastRow="0" w:firstColumn="0" w:lastColumn="0" w:oddVBand="1" w:evenVBand="0" w:oddHBand="0" w:evenHBand="0" w:firstRowFirstColumn="0" w:firstRowLastColumn="0" w:lastRowFirstColumn="0" w:lastRowLastColumn="0"/>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B529A2" w:rsidP="00B529A2">
            <w:pPr>
              <w:jc w:val="center"/>
              <w:rPr>
                <w:rFonts w:ascii="Times New Roman" w:eastAsia="Calibri" w:hAnsi="Times New Roman" w:cs="Times New Roman"/>
                <w:sz w:val="40"/>
                <w:lang w:eastAsia="pl-PL"/>
              </w:rPr>
            </w:pPr>
            <w:r w:rsidRPr="00B529A2">
              <w:rPr>
                <w:rFonts w:ascii="Times New Roman" w:eastAsia="Calibri" w:hAnsi="Times New Roman" w:cs="Times New Roman"/>
                <w:sz w:val="40"/>
                <w:lang w:eastAsia="pl-PL"/>
              </w:rPr>
              <w:t>X</w:t>
            </w:r>
          </w:p>
        </w:tc>
        <w:tc>
          <w:tcPr>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B529A2" w:rsidP="00B529A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40"/>
                <w:lang w:eastAsia="pl-PL"/>
              </w:rPr>
            </w:pPr>
            <w:r w:rsidRPr="00B529A2">
              <w:rPr>
                <w:rFonts w:ascii="Times New Roman" w:eastAsia="Calibri" w:hAnsi="Times New Roman" w:cs="Times New Roman"/>
                <w:sz w:val="40"/>
                <w:lang w:eastAsia="pl-PL"/>
              </w:rPr>
              <w:t>X</w:t>
            </w:r>
          </w:p>
        </w:tc>
        <w:tc>
          <w:tcPr>
            <w:cnfStyle w:val="000010000000" w:firstRow="0" w:lastRow="0" w:firstColumn="0" w:lastColumn="0" w:oddVBand="1" w:evenVBand="0" w:oddHBand="0" w:evenHBand="0" w:firstRowFirstColumn="0" w:firstRowLastColumn="0" w:lastRowFirstColumn="0" w:lastRowLastColumn="0"/>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EE0C8C" w:rsidP="00B529A2">
            <w:pPr>
              <w:jc w:val="center"/>
              <w:rPr>
                <w:rFonts w:ascii="Times New Roman" w:eastAsia="Calibri" w:hAnsi="Times New Roman" w:cs="Times New Roman"/>
                <w:sz w:val="40"/>
                <w:lang w:eastAsia="pl-PL"/>
              </w:rPr>
            </w:pPr>
          </w:p>
        </w:tc>
        <w:tc>
          <w:tcPr>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B529A2" w:rsidP="00B529A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40"/>
                <w:lang w:eastAsia="pl-PL"/>
              </w:rPr>
            </w:pPr>
            <w:r w:rsidRPr="00B529A2">
              <w:rPr>
                <w:rFonts w:ascii="Times New Roman" w:eastAsia="Calibri" w:hAnsi="Times New Roman" w:cs="Times New Roman"/>
                <w:sz w:val="40"/>
                <w:lang w:eastAsia="pl-PL"/>
              </w:rPr>
              <w:t>X</w:t>
            </w:r>
          </w:p>
        </w:tc>
        <w:tc>
          <w:tcPr>
            <w:cnfStyle w:val="000010000000" w:firstRow="0" w:lastRow="0" w:firstColumn="0" w:lastColumn="0" w:oddVBand="1" w:evenVBand="0" w:oddHBand="0" w:evenHBand="0" w:firstRowFirstColumn="0" w:firstRowLastColumn="0" w:lastRowFirstColumn="0" w:lastRowLastColumn="0"/>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B529A2" w:rsidP="00B529A2">
            <w:pPr>
              <w:jc w:val="center"/>
              <w:rPr>
                <w:rFonts w:ascii="Times New Roman" w:eastAsia="Calibri" w:hAnsi="Times New Roman" w:cs="Times New Roman"/>
                <w:sz w:val="40"/>
                <w:lang w:eastAsia="pl-PL"/>
              </w:rPr>
            </w:pPr>
            <w:r w:rsidRPr="00B529A2">
              <w:rPr>
                <w:rFonts w:ascii="Times New Roman" w:eastAsia="Calibri" w:hAnsi="Times New Roman" w:cs="Times New Roman"/>
                <w:sz w:val="40"/>
                <w:lang w:eastAsia="pl-PL"/>
              </w:rPr>
              <w:t>X</w:t>
            </w:r>
          </w:p>
        </w:tc>
        <w:tc>
          <w:tcPr>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B529A2" w:rsidP="00B529A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40"/>
                <w:lang w:eastAsia="pl-PL"/>
              </w:rPr>
            </w:pPr>
            <w:r w:rsidRPr="00B529A2">
              <w:rPr>
                <w:rFonts w:ascii="Times New Roman" w:eastAsia="Calibri" w:hAnsi="Times New Roman" w:cs="Times New Roman"/>
                <w:sz w:val="40"/>
                <w:lang w:eastAsia="pl-PL"/>
              </w:rPr>
              <w:t>X</w:t>
            </w:r>
          </w:p>
        </w:tc>
      </w:tr>
      <w:tr w:rsidR="00EE0C8C" w:rsidRPr="00EE0C8C" w:rsidTr="005E59F1">
        <w:trPr>
          <w:trHeight w:val="650"/>
        </w:trPr>
        <w:tc>
          <w:tcPr>
            <w:cnfStyle w:val="001000000000" w:firstRow="0" w:lastRow="0" w:firstColumn="1" w:lastColumn="0" w:oddVBand="0" w:evenVBand="0" w:oddHBand="0" w:evenHBand="0" w:firstRowFirstColumn="0" w:firstRowLastColumn="0" w:lastRowFirstColumn="0" w:lastRowLastColumn="0"/>
            <w:tcW w:w="1279" w:type="pct"/>
            <w:tcBorders>
              <w:top w:val="single" w:sz="12" w:space="0" w:color="76923C" w:themeColor="accent3" w:themeShade="BF"/>
              <w:left w:val="single" w:sz="18" w:space="0" w:color="76923C" w:themeColor="accent3" w:themeShade="BF"/>
              <w:bottom w:val="single" w:sz="12" w:space="0" w:color="76923C" w:themeColor="accent3" w:themeShade="BF"/>
              <w:right w:val="single" w:sz="18" w:space="0" w:color="76923C" w:themeColor="accent3" w:themeShade="BF"/>
            </w:tcBorders>
          </w:tcPr>
          <w:p w:rsidR="00EE0C8C" w:rsidRPr="00EE0C8C" w:rsidRDefault="00EE0C8C" w:rsidP="00BD04AA">
            <w:pPr>
              <w:rPr>
                <w:iCs/>
                <w:color w:val="000000" w:themeColor="text1"/>
              </w:rPr>
            </w:pPr>
            <w:r w:rsidRPr="00EE0C8C">
              <w:rPr>
                <w:iCs/>
                <w:color w:val="000000" w:themeColor="text1"/>
              </w:rPr>
              <w:t>1</w:t>
            </w:r>
            <w:r w:rsidR="00BD04AA">
              <w:rPr>
                <w:iCs/>
                <w:color w:val="000000" w:themeColor="text1"/>
              </w:rPr>
              <w:t>5</w:t>
            </w:r>
            <w:r w:rsidRPr="00EE0C8C">
              <w:rPr>
                <w:iCs/>
                <w:color w:val="000000" w:themeColor="text1"/>
              </w:rPr>
              <w:t xml:space="preserve">) Efektywność energetyczna </w:t>
            </w:r>
            <w:r w:rsidRPr="00EE0C8C">
              <w:rPr>
                <w:iCs/>
                <w:color w:val="000000" w:themeColor="text1"/>
              </w:rPr>
              <w:br/>
              <w:t>w budynkach mieszkalnych (osób fizycznych) poprzez termomodernizację z możliwością zakupu i montażu instalacji OZE</w:t>
            </w:r>
          </w:p>
        </w:tc>
        <w:tc>
          <w:tcPr>
            <w:cnfStyle w:val="000010000000" w:firstRow="0" w:lastRow="0" w:firstColumn="0" w:lastColumn="0" w:oddVBand="1" w:evenVBand="0" w:oddHBand="0" w:evenHBand="0" w:firstRowFirstColumn="0" w:firstRowLastColumn="0" w:lastRowFirstColumn="0" w:lastRowLastColumn="0"/>
            <w:tcW w:w="465" w:type="pct"/>
            <w:tcBorders>
              <w:top w:val="single" w:sz="12" w:space="0" w:color="76923C" w:themeColor="accent3" w:themeShade="BF"/>
              <w:left w:val="single" w:sz="18"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B529A2" w:rsidP="00B529A2">
            <w:pPr>
              <w:jc w:val="center"/>
              <w:rPr>
                <w:rFonts w:ascii="Times New Roman" w:eastAsia="Calibri" w:hAnsi="Times New Roman" w:cs="Times New Roman"/>
                <w:sz w:val="40"/>
                <w:lang w:eastAsia="pl-PL"/>
              </w:rPr>
            </w:pPr>
            <w:r w:rsidRPr="00B529A2">
              <w:rPr>
                <w:rFonts w:ascii="Times New Roman" w:eastAsia="Calibri" w:hAnsi="Times New Roman" w:cs="Times New Roman"/>
                <w:sz w:val="40"/>
                <w:lang w:eastAsia="pl-PL"/>
              </w:rPr>
              <w:t>X</w:t>
            </w:r>
          </w:p>
        </w:tc>
        <w:tc>
          <w:tcPr>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B529A2" w:rsidP="00B529A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40"/>
                <w:lang w:eastAsia="pl-PL"/>
              </w:rPr>
            </w:pPr>
            <w:r w:rsidRPr="00B529A2">
              <w:rPr>
                <w:rFonts w:ascii="Times New Roman" w:eastAsia="Calibri" w:hAnsi="Times New Roman" w:cs="Times New Roman"/>
                <w:sz w:val="40"/>
                <w:lang w:eastAsia="pl-PL"/>
              </w:rPr>
              <w:t>X</w:t>
            </w:r>
          </w:p>
        </w:tc>
        <w:tc>
          <w:tcPr>
            <w:cnfStyle w:val="000010000000" w:firstRow="0" w:lastRow="0" w:firstColumn="0" w:lastColumn="0" w:oddVBand="1" w:evenVBand="0" w:oddHBand="0" w:evenHBand="0" w:firstRowFirstColumn="0" w:firstRowLastColumn="0" w:lastRowFirstColumn="0" w:lastRowLastColumn="0"/>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B529A2" w:rsidP="00B529A2">
            <w:pPr>
              <w:jc w:val="center"/>
              <w:rPr>
                <w:rFonts w:ascii="Times New Roman" w:eastAsia="Calibri" w:hAnsi="Times New Roman" w:cs="Times New Roman"/>
                <w:sz w:val="40"/>
                <w:lang w:eastAsia="pl-PL"/>
              </w:rPr>
            </w:pPr>
            <w:r w:rsidRPr="00B529A2">
              <w:rPr>
                <w:rFonts w:ascii="Times New Roman" w:eastAsia="Calibri" w:hAnsi="Times New Roman" w:cs="Times New Roman"/>
                <w:sz w:val="40"/>
                <w:lang w:eastAsia="pl-PL"/>
              </w:rPr>
              <w:t>X</w:t>
            </w:r>
          </w:p>
        </w:tc>
        <w:tc>
          <w:tcPr>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B529A2" w:rsidP="00B529A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40"/>
                <w:lang w:eastAsia="pl-PL"/>
              </w:rPr>
            </w:pPr>
            <w:r w:rsidRPr="00B529A2">
              <w:rPr>
                <w:rFonts w:ascii="Times New Roman" w:eastAsia="Calibri" w:hAnsi="Times New Roman" w:cs="Times New Roman"/>
                <w:sz w:val="40"/>
                <w:lang w:eastAsia="pl-PL"/>
              </w:rPr>
              <w:t>X</w:t>
            </w:r>
          </w:p>
        </w:tc>
        <w:tc>
          <w:tcPr>
            <w:cnfStyle w:val="000010000000" w:firstRow="0" w:lastRow="0" w:firstColumn="0" w:lastColumn="0" w:oddVBand="1" w:evenVBand="0" w:oddHBand="0" w:evenHBand="0" w:firstRowFirstColumn="0" w:firstRowLastColumn="0" w:lastRowFirstColumn="0" w:lastRowLastColumn="0"/>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EE0C8C" w:rsidP="00B529A2">
            <w:pPr>
              <w:jc w:val="center"/>
              <w:rPr>
                <w:rFonts w:ascii="Times New Roman" w:eastAsia="Calibri" w:hAnsi="Times New Roman" w:cs="Times New Roman"/>
                <w:sz w:val="40"/>
                <w:lang w:eastAsia="pl-PL"/>
              </w:rPr>
            </w:pPr>
          </w:p>
        </w:tc>
        <w:tc>
          <w:tcPr>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B529A2" w:rsidP="00B529A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40"/>
                <w:lang w:eastAsia="pl-PL"/>
              </w:rPr>
            </w:pPr>
            <w:r w:rsidRPr="00B529A2">
              <w:rPr>
                <w:rFonts w:ascii="Times New Roman" w:eastAsia="Calibri" w:hAnsi="Times New Roman" w:cs="Times New Roman"/>
                <w:sz w:val="40"/>
                <w:lang w:eastAsia="pl-PL"/>
              </w:rPr>
              <w:t>X</w:t>
            </w:r>
          </w:p>
        </w:tc>
        <w:tc>
          <w:tcPr>
            <w:cnfStyle w:val="000010000000" w:firstRow="0" w:lastRow="0" w:firstColumn="0" w:lastColumn="0" w:oddVBand="1" w:evenVBand="0" w:oddHBand="0" w:evenHBand="0" w:firstRowFirstColumn="0" w:firstRowLastColumn="0" w:lastRowFirstColumn="0" w:lastRowLastColumn="0"/>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B529A2" w:rsidP="00B529A2">
            <w:pPr>
              <w:jc w:val="center"/>
              <w:rPr>
                <w:rFonts w:ascii="Times New Roman" w:eastAsia="Calibri" w:hAnsi="Times New Roman" w:cs="Times New Roman"/>
                <w:sz w:val="40"/>
                <w:lang w:eastAsia="pl-PL"/>
              </w:rPr>
            </w:pPr>
            <w:r w:rsidRPr="00B529A2">
              <w:rPr>
                <w:rFonts w:ascii="Times New Roman" w:eastAsia="Calibri" w:hAnsi="Times New Roman" w:cs="Times New Roman"/>
                <w:sz w:val="40"/>
                <w:lang w:eastAsia="pl-PL"/>
              </w:rPr>
              <w:t>X</w:t>
            </w:r>
          </w:p>
        </w:tc>
        <w:tc>
          <w:tcPr>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EE0C8C" w:rsidP="00B529A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40"/>
                <w:lang w:eastAsia="pl-PL"/>
              </w:rPr>
            </w:pPr>
          </w:p>
        </w:tc>
      </w:tr>
      <w:tr w:rsidR="00EE0C8C" w:rsidRPr="00EE0C8C" w:rsidTr="005E59F1">
        <w:trPr>
          <w:trHeight w:val="515"/>
        </w:trPr>
        <w:tc>
          <w:tcPr>
            <w:cnfStyle w:val="001000000000" w:firstRow="0" w:lastRow="0" w:firstColumn="1" w:lastColumn="0" w:oddVBand="0" w:evenVBand="0" w:oddHBand="0" w:evenHBand="0" w:firstRowFirstColumn="0" w:firstRowLastColumn="0" w:lastRowFirstColumn="0" w:lastRowLastColumn="0"/>
            <w:tcW w:w="1279" w:type="pct"/>
            <w:tcBorders>
              <w:top w:val="single" w:sz="12" w:space="0" w:color="76923C" w:themeColor="accent3" w:themeShade="BF"/>
              <w:left w:val="single" w:sz="18" w:space="0" w:color="76923C" w:themeColor="accent3" w:themeShade="BF"/>
              <w:bottom w:val="single" w:sz="12" w:space="0" w:color="76923C" w:themeColor="accent3" w:themeShade="BF"/>
              <w:right w:val="single" w:sz="18" w:space="0" w:color="76923C" w:themeColor="accent3" w:themeShade="BF"/>
            </w:tcBorders>
          </w:tcPr>
          <w:p w:rsidR="00EE0C8C" w:rsidRPr="00EE0C8C" w:rsidRDefault="00EE0C8C" w:rsidP="00BD04AA">
            <w:pPr>
              <w:rPr>
                <w:iCs/>
                <w:color w:val="000000" w:themeColor="text1"/>
              </w:rPr>
            </w:pPr>
            <w:r w:rsidRPr="00EE0C8C">
              <w:rPr>
                <w:iCs/>
                <w:color w:val="000000" w:themeColor="text1"/>
              </w:rPr>
              <w:t>1</w:t>
            </w:r>
            <w:r w:rsidR="00BD04AA">
              <w:rPr>
                <w:iCs/>
                <w:color w:val="000000" w:themeColor="text1"/>
              </w:rPr>
              <w:t>6</w:t>
            </w:r>
            <w:r w:rsidRPr="00EE0C8C">
              <w:rPr>
                <w:iCs/>
                <w:color w:val="000000" w:themeColor="text1"/>
              </w:rPr>
              <w:t xml:space="preserve">) Wyposażenie </w:t>
            </w:r>
            <w:r w:rsidRPr="00EE0C8C">
              <w:rPr>
                <w:iCs/>
                <w:color w:val="000000" w:themeColor="text1"/>
              </w:rPr>
              <w:br/>
              <w:t xml:space="preserve">w sprzęt zakładu fryzjerskiego </w:t>
            </w:r>
            <w:r w:rsidRPr="00EE0C8C">
              <w:rPr>
                <w:iCs/>
                <w:color w:val="000000" w:themeColor="text1"/>
              </w:rPr>
              <w:br/>
              <w:t xml:space="preserve">i solarium pn.,, GOLD HAIR” </w:t>
            </w:r>
            <w:r w:rsidRPr="00EE0C8C">
              <w:rPr>
                <w:iCs/>
                <w:color w:val="000000" w:themeColor="text1"/>
              </w:rPr>
              <w:br/>
              <w:t>w centrum Mirca</w:t>
            </w:r>
          </w:p>
        </w:tc>
        <w:tc>
          <w:tcPr>
            <w:cnfStyle w:val="000010000000" w:firstRow="0" w:lastRow="0" w:firstColumn="0" w:lastColumn="0" w:oddVBand="1" w:evenVBand="0" w:oddHBand="0" w:evenHBand="0" w:firstRowFirstColumn="0" w:firstRowLastColumn="0" w:lastRowFirstColumn="0" w:lastRowLastColumn="0"/>
            <w:tcW w:w="465" w:type="pct"/>
            <w:tcBorders>
              <w:top w:val="single" w:sz="12" w:space="0" w:color="76923C" w:themeColor="accent3" w:themeShade="BF"/>
              <w:left w:val="single" w:sz="18"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EE0C8C" w:rsidP="00B529A2">
            <w:pPr>
              <w:jc w:val="center"/>
              <w:rPr>
                <w:rFonts w:ascii="Times New Roman" w:eastAsia="Calibri" w:hAnsi="Times New Roman" w:cs="Times New Roman"/>
                <w:sz w:val="40"/>
                <w:lang w:eastAsia="pl-PL"/>
              </w:rPr>
            </w:pPr>
          </w:p>
        </w:tc>
        <w:tc>
          <w:tcPr>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B529A2" w:rsidP="00B529A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40"/>
                <w:lang w:eastAsia="pl-PL"/>
              </w:rPr>
            </w:pPr>
            <w:r w:rsidRPr="00B529A2">
              <w:rPr>
                <w:rFonts w:ascii="Times New Roman" w:eastAsia="Calibri" w:hAnsi="Times New Roman" w:cs="Times New Roman"/>
                <w:sz w:val="40"/>
                <w:lang w:eastAsia="pl-PL"/>
              </w:rPr>
              <w:t>X</w:t>
            </w:r>
          </w:p>
        </w:tc>
        <w:tc>
          <w:tcPr>
            <w:cnfStyle w:val="000010000000" w:firstRow="0" w:lastRow="0" w:firstColumn="0" w:lastColumn="0" w:oddVBand="1" w:evenVBand="0" w:oddHBand="0" w:evenHBand="0" w:firstRowFirstColumn="0" w:firstRowLastColumn="0" w:lastRowFirstColumn="0" w:lastRowLastColumn="0"/>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B529A2" w:rsidP="00B529A2">
            <w:pPr>
              <w:jc w:val="center"/>
              <w:rPr>
                <w:rFonts w:ascii="Times New Roman" w:eastAsia="Calibri" w:hAnsi="Times New Roman" w:cs="Times New Roman"/>
                <w:sz w:val="40"/>
                <w:lang w:eastAsia="pl-PL"/>
              </w:rPr>
            </w:pPr>
            <w:r w:rsidRPr="00B529A2">
              <w:rPr>
                <w:rFonts w:ascii="Times New Roman" w:eastAsia="Calibri" w:hAnsi="Times New Roman" w:cs="Times New Roman"/>
                <w:sz w:val="40"/>
                <w:lang w:eastAsia="pl-PL"/>
              </w:rPr>
              <w:t>X</w:t>
            </w:r>
          </w:p>
        </w:tc>
        <w:tc>
          <w:tcPr>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EE0C8C" w:rsidP="00B529A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40"/>
                <w:lang w:eastAsia="pl-PL"/>
              </w:rPr>
            </w:pPr>
          </w:p>
        </w:tc>
        <w:tc>
          <w:tcPr>
            <w:cnfStyle w:val="000010000000" w:firstRow="0" w:lastRow="0" w:firstColumn="0" w:lastColumn="0" w:oddVBand="1" w:evenVBand="0" w:oddHBand="0" w:evenHBand="0" w:firstRowFirstColumn="0" w:firstRowLastColumn="0" w:lastRowFirstColumn="0" w:lastRowLastColumn="0"/>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B529A2" w:rsidP="00B529A2">
            <w:pPr>
              <w:jc w:val="center"/>
              <w:rPr>
                <w:rFonts w:ascii="Times New Roman" w:eastAsia="Calibri" w:hAnsi="Times New Roman" w:cs="Times New Roman"/>
                <w:sz w:val="40"/>
                <w:lang w:eastAsia="pl-PL"/>
              </w:rPr>
            </w:pPr>
            <w:r w:rsidRPr="00B529A2">
              <w:rPr>
                <w:rFonts w:ascii="Times New Roman" w:eastAsia="Calibri" w:hAnsi="Times New Roman" w:cs="Times New Roman"/>
                <w:sz w:val="40"/>
                <w:lang w:eastAsia="pl-PL"/>
              </w:rPr>
              <w:t>X</w:t>
            </w:r>
          </w:p>
        </w:tc>
        <w:tc>
          <w:tcPr>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EE0C8C" w:rsidP="00B529A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40"/>
                <w:lang w:eastAsia="pl-PL"/>
              </w:rPr>
            </w:pPr>
          </w:p>
        </w:tc>
        <w:tc>
          <w:tcPr>
            <w:cnfStyle w:val="000010000000" w:firstRow="0" w:lastRow="0" w:firstColumn="0" w:lastColumn="0" w:oddVBand="1" w:evenVBand="0" w:oddHBand="0" w:evenHBand="0" w:firstRowFirstColumn="0" w:firstRowLastColumn="0" w:lastRowFirstColumn="0" w:lastRowLastColumn="0"/>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B529A2" w:rsidP="00B529A2">
            <w:pPr>
              <w:jc w:val="center"/>
              <w:rPr>
                <w:rFonts w:ascii="Times New Roman" w:eastAsia="Calibri" w:hAnsi="Times New Roman" w:cs="Times New Roman"/>
                <w:sz w:val="40"/>
                <w:lang w:eastAsia="pl-PL"/>
              </w:rPr>
            </w:pPr>
            <w:r w:rsidRPr="00B529A2">
              <w:rPr>
                <w:rFonts w:ascii="Times New Roman" w:eastAsia="Calibri" w:hAnsi="Times New Roman" w:cs="Times New Roman"/>
                <w:sz w:val="40"/>
                <w:lang w:eastAsia="pl-PL"/>
              </w:rPr>
              <w:t>X</w:t>
            </w:r>
          </w:p>
        </w:tc>
        <w:tc>
          <w:tcPr>
            <w:tcW w:w="465" w:type="pc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EE0C8C" w:rsidRPr="00B529A2" w:rsidRDefault="00B529A2" w:rsidP="00B529A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40"/>
                <w:lang w:eastAsia="pl-PL"/>
              </w:rPr>
            </w:pPr>
            <w:r w:rsidRPr="00B529A2">
              <w:rPr>
                <w:rFonts w:ascii="Times New Roman" w:eastAsia="Calibri" w:hAnsi="Times New Roman" w:cs="Times New Roman"/>
                <w:sz w:val="40"/>
                <w:lang w:eastAsia="pl-PL"/>
              </w:rPr>
              <w:t>X</w:t>
            </w:r>
          </w:p>
        </w:tc>
      </w:tr>
    </w:tbl>
    <w:p w:rsidR="00EE0C8C" w:rsidRPr="00EE0C8C" w:rsidRDefault="00EE0C8C" w:rsidP="00EE0C8C">
      <w:pPr>
        <w:rPr>
          <w:b/>
          <w:bCs/>
          <w:iCs/>
          <w:color w:val="4F81BD" w:themeColor="accent1"/>
          <w:sz w:val="28"/>
          <w:szCs w:val="28"/>
        </w:rPr>
      </w:pPr>
    </w:p>
    <w:p w:rsidR="00EE0C8C" w:rsidRPr="00EE0C8C" w:rsidRDefault="00EE0C8C" w:rsidP="00EE0C8C">
      <w:pPr>
        <w:rPr>
          <w:b/>
          <w:bCs/>
          <w:iCs/>
          <w:color w:val="4F81BD" w:themeColor="accent1"/>
          <w:sz w:val="28"/>
          <w:szCs w:val="28"/>
        </w:rPr>
      </w:pPr>
      <w:r w:rsidRPr="00EE0C8C">
        <w:rPr>
          <w:b/>
          <w:bCs/>
          <w:iCs/>
          <w:color w:val="4F81BD" w:themeColor="accent1"/>
          <w:sz w:val="28"/>
          <w:szCs w:val="28"/>
        </w:rPr>
        <w:br w:type="page"/>
      </w:r>
    </w:p>
    <w:p w:rsidR="00EE0C8C" w:rsidRPr="00EE0C8C" w:rsidRDefault="00EE0C8C" w:rsidP="00EE0C8C">
      <w:pPr>
        <w:rPr>
          <w:b/>
          <w:bCs/>
          <w:iCs/>
          <w:color w:val="4F81BD" w:themeColor="accent1"/>
          <w:sz w:val="28"/>
          <w:szCs w:val="28"/>
        </w:rPr>
        <w:sectPr w:rsidR="00EE0C8C" w:rsidRPr="00EE0C8C" w:rsidSect="00A76BDB">
          <w:type w:val="continuous"/>
          <w:pgSz w:w="16838" w:h="11906" w:orient="landscape"/>
          <w:pgMar w:top="1417" w:right="1417" w:bottom="1417" w:left="1417" w:header="709" w:footer="709" w:gutter="0"/>
          <w:cols w:space="708"/>
          <w:docGrid w:linePitch="360"/>
        </w:sectPr>
      </w:pPr>
    </w:p>
    <w:p w:rsidR="00EE0C8C" w:rsidRPr="00EE0C8C" w:rsidRDefault="00EE0C8C" w:rsidP="00EE0C8C">
      <w:pPr>
        <w:jc w:val="center"/>
        <w:rPr>
          <w:rFonts w:ascii="Calibri" w:eastAsia="Times New Roman" w:hAnsi="Calibri" w:cs="Times New Roman"/>
          <w:b/>
          <w:lang w:eastAsia="pl-PL"/>
        </w:rPr>
      </w:pPr>
      <w:r w:rsidRPr="00EE0C8C">
        <w:rPr>
          <w:rFonts w:ascii="Calibri" w:eastAsia="Times New Roman" w:hAnsi="Calibri" w:cs="Times New Roman"/>
          <w:b/>
          <w:lang w:eastAsia="pl-PL"/>
        </w:rPr>
        <w:lastRenderedPageBreak/>
        <w:t xml:space="preserve">Mapa – obszar rewitalizacji </w:t>
      </w:r>
      <w:r w:rsidRPr="00EE0C8C">
        <w:rPr>
          <w:rFonts w:ascii="Calibri" w:eastAsia="Times New Roman" w:hAnsi="Calibri" w:cs="Times New Roman"/>
          <w:b/>
          <w:lang w:eastAsia="pl-PL"/>
        </w:rPr>
        <w:br/>
        <w:t xml:space="preserve">w Gminnym </w:t>
      </w:r>
      <w:r w:rsidR="006A3D8D">
        <w:rPr>
          <w:rFonts w:ascii="Calibri" w:eastAsia="Times New Roman" w:hAnsi="Calibri" w:cs="Times New Roman"/>
          <w:b/>
          <w:lang w:eastAsia="pl-PL"/>
        </w:rPr>
        <w:t>p</w:t>
      </w:r>
      <w:r w:rsidRPr="00EE0C8C">
        <w:rPr>
          <w:rFonts w:ascii="Calibri" w:eastAsia="Times New Roman" w:hAnsi="Calibri" w:cs="Times New Roman"/>
          <w:b/>
          <w:lang w:eastAsia="pl-PL"/>
        </w:rPr>
        <w:t xml:space="preserve">rogramie </w:t>
      </w:r>
      <w:r w:rsidR="006A3D8D">
        <w:rPr>
          <w:rFonts w:ascii="Calibri" w:eastAsia="Times New Roman" w:hAnsi="Calibri" w:cs="Times New Roman"/>
          <w:b/>
          <w:lang w:eastAsia="pl-PL"/>
        </w:rPr>
        <w:t>r</w:t>
      </w:r>
      <w:r w:rsidRPr="00EE0C8C">
        <w:rPr>
          <w:rFonts w:ascii="Calibri" w:eastAsia="Times New Roman" w:hAnsi="Calibri" w:cs="Times New Roman"/>
          <w:b/>
          <w:lang w:eastAsia="pl-PL"/>
        </w:rPr>
        <w:t xml:space="preserve">ewitalizacji </w:t>
      </w:r>
      <w:r w:rsidR="00CE0AE5">
        <w:rPr>
          <w:rFonts w:ascii="Calibri" w:eastAsia="Times New Roman" w:hAnsi="Calibri" w:cs="Times New Roman"/>
          <w:b/>
          <w:lang w:eastAsia="pl-PL"/>
        </w:rPr>
        <w:t>dla gminy</w:t>
      </w:r>
      <w:r w:rsidRPr="00EE0C8C">
        <w:rPr>
          <w:rFonts w:ascii="Calibri" w:eastAsia="Times New Roman" w:hAnsi="Calibri" w:cs="Times New Roman"/>
          <w:b/>
          <w:lang w:eastAsia="pl-PL"/>
        </w:rPr>
        <w:t xml:space="preserve"> Mirzec </w:t>
      </w:r>
      <w:r w:rsidRPr="00EE0C8C">
        <w:rPr>
          <w:rFonts w:ascii="Calibri" w:eastAsia="Times New Roman" w:hAnsi="Calibri" w:cs="Times New Roman"/>
          <w:b/>
          <w:lang w:eastAsia="pl-PL"/>
        </w:rPr>
        <w:br/>
        <w:t>na lata 2016-2022</w:t>
      </w:r>
    </w:p>
    <w:p w:rsidR="00EE0C8C" w:rsidRPr="00EE0C8C" w:rsidRDefault="00EE0C8C" w:rsidP="00EE0C8C">
      <w:pPr>
        <w:rPr>
          <w:lang w:eastAsia="pl-PL"/>
        </w:rPr>
      </w:pPr>
      <w:r w:rsidRPr="00EE0C8C">
        <w:rPr>
          <w:lang w:eastAsia="pl-PL"/>
        </w:rPr>
        <w:br w:type="page"/>
      </w:r>
    </w:p>
    <w:p w:rsidR="00EE0C8C" w:rsidRPr="00EE0C8C" w:rsidRDefault="00EE0C8C" w:rsidP="00EE0C8C">
      <w:pPr>
        <w:jc w:val="center"/>
        <w:rPr>
          <w:rFonts w:ascii="Calibri" w:eastAsia="Times New Roman" w:hAnsi="Calibri" w:cs="Times New Roman"/>
          <w:b/>
          <w:lang w:eastAsia="pl-PL"/>
        </w:rPr>
      </w:pPr>
    </w:p>
    <w:p w:rsidR="00EE0C8C" w:rsidRPr="00EE0C8C" w:rsidRDefault="00EE0C8C" w:rsidP="00EE0C8C">
      <w:pPr>
        <w:rPr>
          <w:lang w:eastAsia="pl-PL"/>
        </w:rPr>
      </w:pPr>
      <w:r w:rsidRPr="00EE0C8C">
        <w:rPr>
          <w:lang w:eastAsia="pl-PL"/>
        </w:rPr>
        <w:br w:type="page"/>
      </w:r>
    </w:p>
    <w:p w:rsidR="00EE0C8C" w:rsidRPr="00EE0C8C" w:rsidRDefault="00EE0C8C" w:rsidP="00EE0C8C">
      <w:pPr>
        <w:jc w:val="both"/>
        <w:rPr>
          <w:b/>
        </w:rPr>
      </w:pPr>
      <w:r w:rsidRPr="00EE0C8C">
        <w:rPr>
          <w:b/>
        </w:rPr>
        <w:lastRenderedPageBreak/>
        <w:t>Działki gminne znajdujące się w obszarze zaznaczonym:</w:t>
      </w:r>
    </w:p>
    <w:p w:rsidR="00EE0C8C" w:rsidRPr="00EE0C8C" w:rsidRDefault="00EE0C8C" w:rsidP="008F01FE">
      <w:pPr>
        <w:contextualSpacing/>
        <w:rPr>
          <w:rFonts w:eastAsia="Calibri" w:cs="Times New Roman"/>
          <w:sz w:val="24"/>
          <w:szCs w:val="24"/>
        </w:rPr>
      </w:pPr>
      <w:r w:rsidRPr="00EE0C8C">
        <w:rPr>
          <w:rFonts w:eastAsia="Calibri" w:cs="Times New Roman"/>
          <w:sz w:val="24"/>
          <w:szCs w:val="24"/>
        </w:rPr>
        <w:t>Działki gminne:</w:t>
      </w:r>
    </w:p>
    <w:p w:rsidR="00EE0C8C" w:rsidRPr="00EE0C8C" w:rsidRDefault="00EE0C8C" w:rsidP="00EE0C8C">
      <w:pPr>
        <w:ind w:left="720"/>
        <w:contextualSpacing/>
        <w:rPr>
          <w:rFonts w:eastAsia="Calibri" w:cs="Times New Roman"/>
          <w:b/>
          <w:sz w:val="24"/>
          <w:szCs w:val="24"/>
        </w:rPr>
      </w:pPr>
      <w:r w:rsidRPr="00EE0C8C">
        <w:rPr>
          <w:rFonts w:eastAsia="Calibri" w:cs="Times New Roman"/>
          <w:b/>
          <w:sz w:val="24"/>
          <w:szCs w:val="24"/>
        </w:rPr>
        <w:t xml:space="preserve">Mirzec II: </w:t>
      </w:r>
    </w:p>
    <w:p w:rsidR="00EE0C8C" w:rsidRPr="00EE0C8C" w:rsidRDefault="00EE0C8C" w:rsidP="00EE0C8C">
      <w:pPr>
        <w:ind w:left="720"/>
        <w:contextualSpacing/>
        <w:rPr>
          <w:rFonts w:eastAsia="Calibri" w:cs="Times New Roman"/>
          <w:sz w:val="24"/>
          <w:szCs w:val="24"/>
        </w:rPr>
      </w:pPr>
      <w:r w:rsidRPr="00EE0C8C">
        <w:rPr>
          <w:rFonts w:eastAsia="Calibri" w:cs="Times New Roman"/>
          <w:sz w:val="24"/>
          <w:szCs w:val="24"/>
        </w:rPr>
        <w:t>nr 2598/5 pow. 0,2500 ha</w:t>
      </w:r>
    </w:p>
    <w:p w:rsidR="00EE0C8C" w:rsidRPr="00EE0C8C" w:rsidRDefault="00EE0C8C" w:rsidP="00EE0C8C">
      <w:pPr>
        <w:ind w:left="720"/>
        <w:contextualSpacing/>
        <w:rPr>
          <w:rFonts w:eastAsia="Calibri" w:cs="Times New Roman"/>
          <w:sz w:val="24"/>
          <w:szCs w:val="24"/>
        </w:rPr>
      </w:pPr>
      <w:r w:rsidRPr="00EE0C8C">
        <w:rPr>
          <w:rFonts w:eastAsia="Calibri" w:cs="Times New Roman"/>
          <w:sz w:val="24"/>
          <w:szCs w:val="24"/>
        </w:rPr>
        <w:t>nr 2599/5 pow. 0,1300 ha</w:t>
      </w:r>
    </w:p>
    <w:p w:rsidR="00EE0C8C" w:rsidRPr="00EE0C8C" w:rsidRDefault="00EE0C8C" w:rsidP="00EE0C8C">
      <w:pPr>
        <w:ind w:left="720"/>
        <w:contextualSpacing/>
        <w:rPr>
          <w:rFonts w:eastAsia="Calibri" w:cs="Times New Roman"/>
          <w:sz w:val="24"/>
          <w:szCs w:val="24"/>
        </w:rPr>
      </w:pPr>
      <w:r w:rsidRPr="00EE0C8C">
        <w:rPr>
          <w:rFonts w:eastAsia="Calibri" w:cs="Times New Roman"/>
          <w:sz w:val="24"/>
          <w:szCs w:val="24"/>
        </w:rPr>
        <w:t>nr 2656/6 pow. 1,3600 ha</w:t>
      </w:r>
    </w:p>
    <w:p w:rsidR="00EE0C8C" w:rsidRPr="00EE0C8C" w:rsidRDefault="00EE0C8C" w:rsidP="00EE0C8C">
      <w:pPr>
        <w:ind w:left="720"/>
        <w:contextualSpacing/>
        <w:rPr>
          <w:rFonts w:eastAsia="Calibri" w:cs="Times New Roman"/>
          <w:sz w:val="24"/>
          <w:szCs w:val="24"/>
        </w:rPr>
      </w:pPr>
      <w:r w:rsidRPr="00EE0C8C">
        <w:rPr>
          <w:rFonts w:eastAsia="Calibri" w:cs="Times New Roman"/>
          <w:sz w:val="24"/>
          <w:szCs w:val="24"/>
        </w:rPr>
        <w:t>nr 2921/1 pow. 0,0700 ha</w:t>
      </w:r>
    </w:p>
    <w:p w:rsidR="00EE0C8C" w:rsidRPr="00EE0C8C" w:rsidRDefault="00EE0C8C" w:rsidP="00EE0C8C">
      <w:pPr>
        <w:ind w:left="720"/>
        <w:contextualSpacing/>
        <w:rPr>
          <w:rFonts w:eastAsia="Calibri" w:cs="Times New Roman"/>
          <w:sz w:val="24"/>
          <w:szCs w:val="24"/>
        </w:rPr>
      </w:pPr>
      <w:r w:rsidRPr="00EE0C8C">
        <w:rPr>
          <w:rFonts w:eastAsia="Calibri" w:cs="Times New Roman"/>
          <w:sz w:val="24"/>
          <w:szCs w:val="24"/>
        </w:rPr>
        <w:t>nr 1627 pow. 0,1300 ha</w:t>
      </w:r>
    </w:p>
    <w:p w:rsidR="00EE0C8C" w:rsidRPr="00EE0C8C" w:rsidRDefault="00EE0C8C" w:rsidP="00EE0C8C">
      <w:pPr>
        <w:ind w:left="720"/>
        <w:contextualSpacing/>
        <w:rPr>
          <w:rFonts w:eastAsia="Calibri" w:cs="Times New Roman"/>
          <w:sz w:val="24"/>
          <w:szCs w:val="24"/>
        </w:rPr>
      </w:pPr>
      <w:r w:rsidRPr="00EE0C8C">
        <w:rPr>
          <w:rFonts w:eastAsia="Calibri" w:cs="Times New Roman"/>
          <w:sz w:val="24"/>
          <w:szCs w:val="24"/>
        </w:rPr>
        <w:t>nr 2753/4 pow. 0,0100 ha</w:t>
      </w:r>
    </w:p>
    <w:p w:rsidR="00EE0C8C" w:rsidRPr="00EE0C8C" w:rsidRDefault="00EE0C8C" w:rsidP="00EE0C8C">
      <w:pPr>
        <w:ind w:left="720"/>
        <w:contextualSpacing/>
        <w:rPr>
          <w:rFonts w:eastAsia="Calibri" w:cs="Times New Roman"/>
          <w:sz w:val="24"/>
          <w:szCs w:val="24"/>
        </w:rPr>
      </w:pPr>
      <w:r w:rsidRPr="00EE0C8C">
        <w:rPr>
          <w:rFonts w:eastAsia="Calibri" w:cs="Times New Roman"/>
          <w:sz w:val="24"/>
          <w:szCs w:val="24"/>
        </w:rPr>
        <w:t>nr 2621 pow. 0,1400 ha</w:t>
      </w:r>
    </w:p>
    <w:p w:rsidR="00EE0C8C" w:rsidRPr="00EE0C8C" w:rsidRDefault="00EE0C8C" w:rsidP="00EE0C8C">
      <w:pPr>
        <w:ind w:left="720"/>
        <w:contextualSpacing/>
        <w:rPr>
          <w:rFonts w:eastAsia="Calibri" w:cs="Times New Roman"/>
          <w:sz w:val="24"/>
          <w:szCs w:val="24"/>
        </w:rPr>
      </w:pPr>
      <w:r w:rsidRPr="00EE0C8C">
        <w:rPr>
          <w:rFonts w:eastAsia="Calibri" w:cs="Times New Roman"/>
          <w:sz w:val="24"/>
          <w:szCs w:val="24"/>
        </w:rPr>
        <w:t>nr 2608 pow. 0,6400 ha</w:t>
      </w:r>
    </w:p>
    <w:p w:rsidR="00EE0C8C" w:rsidRPr="00EE0C8C" w:rsidRDefault="00EE0C8C" w:rsidP="00EE0C8C">
      <w:pPr>
        <w:ind w:left="720"/>
        <w:contextualSpacing/>
        <w:rPr>
          <w:rFonts w:eastAsia="Calibri" w:cs="Times New Roman"/>
          <w:sz w:val="24"/>
          <w:szCs w:val="24"/>
        </w:rPr>
      </w:pPr>
      <w:r w:rsidRPr="00EE0C8C">
        <w:rPr>
          <w:rFonts w:eastAsia="Calibri" w:cs="Times New Roman"/>
          <w:sz w:val="24"/>
          <w:szCs w:val="24"/>
        </w:rPr>
        <w:t>nr 2871 pow. 0,1300 ha</w:t>
      </w:r>
    </w:p>
    <w:p w:rsidR="00EE0C8C" w:rsidRPr="00EE0C8C" w:rsidRDefault="00EE0C8C" w:rsidP="00EE0C8C">
      <w:pPr>
        <w:ind w:left="720"/>
        <w:contextualSpacing/>
        <w:rPr>
          <w:rFonts w:eastAsia="Calibri" w:cs="Times New Roman"/>
          <w:sz w:val="24"/>
          <w:szCs w:val="24"/>
        </w:rPr>
      </w:pPr>
      <w:r w:rsidRPr="00EE0C8C">
        <w:rPr>
          <w:rFonts w:eastAsia="Calibri" w:cs="Times New Roman"/>
          <w:sz w:val="24"/>
          <w:szCs w:val="24"/>
        </w:rPr>
        <w:t>nr 2911/1 pow. 0,3800 ha</w:t>
      </w:r>
    </w:p>
    <w:p w:rsidR="00EE0C8C" w:rsidRPr="00EE0C8C" w:rsidRDefault="00EE0C8C" w:rsidP="00EE0C8C">
      <w:pPr>
        <w:ind w:left="720"/>
        <w:contextualSpacing/>
        <w:rPr>
          <w:rFonts w:eastAsia="Calibri" w:cs="Times New Roman"/>
          <w:sz w:val="24"/>
          <w:szCs w:val="24"/>
        </w:rPr>
      </w:pPr>
      <w:r w:rsidRPr="00EE0C8C">
        <w:rPr>
          <w:rFonts w:eastAsia="Calibri" w:cs="Times New Roman"/>
          <w:sz w:val="24"/>
          <w:szCs w:val="24"/>
        </w:rPr>
        <w:t>nr 2656/10 pow. 0,0100 ha</w:t>
      </w:r>
    </w:p>
    <w:p w:rsidR="00EE0C8C" w:rsidRPr="00EE0C8C" w:rsidRDefault="00EE0C8C" w:rsidP="00EE0C8C">
      <w:pPr>
        <w:ind w:left="720"/>
        <w:contextualSpacing/>
        <w:rPr>
          <w:rFonts w:eastAsia="Calibri" w:cs="Times New Roman"/>
          <w:sz w:val="24"/>
          <w:szCs w:val="24"/>
        </w:rPr>
      </w:pPr>
      <w:r w:rsidRPr="00EE0C8C">
        <w:rPr>
          <w:rFonts w:eastAsia="Calibri" w:cs="Times New Roman"/>
          <w:sz w:val="24"/>
          <w:szCs w:val="24"/>
        </w:rPr>
        <w:t>nr 2656/13 pow. 0,0600 ha</w:t>
      </w:r>
    </w:p>
    <w:p w:rsidR="00EE0C8C" w:rsidRPr="00EE0C8C" w:rsidRDefault="00EE0C8C" w:rsidP="00EE0C8C">
      <w:pPr>
        <w:ind w:left="720"/>
        <w:contextualSpacing/>
        <w:rPr>
          <w:rFonts w:eastAsia="Calibri" w:cs="Times New Roman"/>
          <w:sz w:val="24"/>
          <w:szCs w:val="24"/>
        </w:rPr>
      </w:pPr>
      <w:r w:rsidRPr="00EE0C8C">
        <w:rPr>
          <w:rFonts w:eastAsia="Calibri" w:cs="Times New Roman"/>
          <w:sz w:val="24"/>
          <w:szCs w:val="24"/>
        </w:rPr>
        <w:t>nr 2656/17 pow. 0,0100 ha</w:t>
      </w:r>
    </w:p>
    <w:p w:rsidR="00EE0C8C" w:rsidRPr="00EE0C8C" w:rsidRDefault="00EE0C8C" w:rsidP="00EE0C8C">
      <w:pPr>
        <w:ind w:left="720"/>
        <w:contextualSpacing/>
        <w:rPr>
          <w:rFonts w:eastAsia="Calibri" w:cs="Times New Roman"/>
          <w:sz w:val="24"/>
          <w:szCs w:val="24"/>
        </w:rPr>
      </w:pPr>
      <w:r w:rsidRPr="00EE0C8C">
        <w:rPr>
          <w:rFonts w:eastAsia="Calibri" w:cs="Times New Roman"/>
          <w:sz w:val="24"/>
          <w:szCs w:val="24"/>
        </w:rPr>
        <w:t>nr 2656/18 pow. 0,0300 ha</w:t>
      </w:r>
    </w:p>
    <w:p w:rsidR="00EE0C8C" w:rsidRPr="00EE0C8C" w:rsidRDefault="00EE0C8C" w:rsidP="00EE0C8C">
      <w:pPr>
        <w:ind w:left="720"/>
        <w:contextualSpacing/>
        <w:rPr>
          <w:rFonts w:eastAsia="Calibri" w:cs="Times New Roman"/>
          <w:sz w:val="24"/>
          <w:szCs w:val="24"/>
        </w:rPr>
      </w:pPr>
      <w:r w:rsidRPr="00EE0C8C">
        <w:rPr>
          <w:rFonts w:eastAsia="Calibri" w:cs="Times New Roman"/>
          <w:sz w:val="24"/>
          <w:szCs w:val="24"/>
        </w:rPr>
        <w:t>nr 2656/21 pow. 0,0300 ha</w:t>
      </w:r>
    </w:p>
    <w:p w:rsidR="00EE0C8C" w:rsidRPr="00EE0C8C" w:rsidRDefault="00EE0C8C" w:rsidP="00EE0C8C">
      <w:pPr>
        <w:ind w:left="720"/>
        <w:contextualSpacing/>
        <w:rPr>
          <w:rFonts w:eastAsia="Calibri" w:cs="Times New Roman"/>
          <w:sz w:val="24"/>
          <w:szCs w:val="24"/>
        </w:rPr>
      </w:pPr>
      <w:r w:rsidRPr="00EE0C8C">
        <w:rPr>
          <w:rFonts w:eastAsia="Calibri" w:cs="Times New Roman"/>
          <w:sz w:val="24"/>
          <w:szCs w:val="24"/>
        </w:rPr>
        <w:t>nr 2656/28 pow. 0,5166 ha</w:t>
      </w:r>
    </w:p>
    <w:p w:rsidR="00EE0C8C" w:rsidRPr="00EE0C8C" w:rsidRDefault="00EE0C8C" w:rsidP="00EE0C8C">
      <w:pPr>
        <w:ind w:left="720"/>
        <w:contextualSpacing/>
        <w:rPr>
          <w:rFonts w:eastAsia="Calibri" w:cs="Times New Roman"/>
          <w:sz w:val="24"/>
          <w:szCs w:val="24"/>
        </w:rPr>
      </w:pPr>
      <w:r w:rsidRPr="00EE0C8C">
        <w:rPr>
          <w:rFonts w:eastAsia="Calibri" w:cs="Times New Roman"/>
          <w:sz w:val="24"/>
          <w:szCs w:val="24"/>
        </w:rPr>
        <w:t>nr 2748/6 pow. 0,0042 ha</w:t>
      </w:r>
    </w:p>
    <w:p w:rsidR="00EE0C8C" w:rsidRPr="00EE0C8C" w:rsidRDefault="00EE0C8C" w:rsidP="00EE0C8C">
      <w:pPr>
        <w:ind w:left="720"/>
        <w:contextualSpacing/>
        <w:rPr>
          <w:rFonts w:eastAsia="Calibri" w:cs="Times New Roman"/>
          <w:sz w:val="24"/>
          <w:szCs w:val="24"/>
        </w:rPr>
      </w:pPr>
      <w:r w:rsidRPr="00EE0C8C">
        <w:rPr>
          <w:rFonts w:eastAsia="Calibri" w:cs="Times New Roman"/>
          <w:sz w:val="24"/>
          <w:szCs w:val="24"/>
        </w:rPr>
        <w:t>nr 2743/3 pow. 0,0035 ha</w:t>
      </w:r>
    </w:p>
    <w:p w:rsidR="00EE0C8C" w:rsidRPr="00EE0C8C" w:rsidRDefault="00EE0C8C" w:rsidP="00EE0C8C">
      <w:pPr>
        <w:ind w:left="720"/>
        <w:contextualSpacing/>
        <w:rPr>
          <w:rFonts w:eastAsia="Calibri" w:cs="Times New Roman"/>
          <w:sz w:val="24"/>
          <w:szCs w:val="24"/>
        </w:rPr>
      </w:pPr>
      <w:r w:rsidRPr="00EE0C8C">
        <w:rPr>
          <w:rFonts w:eastAsia="Calibri" w:cs="Times New Roman"/>
          <w:sz w:val="24"/>
          <w:szCs w:val="24"/>
        </w:rPr>
        <w:t>nr 2753/6 pow. 0,0500 ha</w:t>
      </w:r>
    </w:p>
    <w:p w:rsidR="00EE0C8C" w:rsidRPr="00EE0C8C" w:rsidRDefault="00EE0C8C" w:rsidP="00EE0C8C">
      <w:pPr>
        <w:ind w:left="720"/>
        <w:contextualSpacing/>
        <w:rPr>
          <w:rFonts w:eastAsia="Calibri" w:cs="Times New Roman"/>
          <w:sz w:val="24"/>
          <w:szCs w:val="24"/>
        </w:rPr>
      </w:pPr>
      <w:r w:rsidRPr="00EE0C8C">
        <w:rPr>
          <w:rFonts w:eastAsia="Calibri" w:cs="Times New Roman"/>
          <w:sz w:val="24"/>
          <w:szCs w:val="24"/>
        </w:rPr>
        <w:t>nr 2746/3 pow. 0,0036 ha</w:t>
      </w:r>
    </w:p>
    <w:p w:rsidR="00EE0C8C" w:rsidRPr="00EE0C8C" w:rsidRDefault="00EE0C8C" w:rsidP="00EE0C8C">
      <w:pPr>
        <w:ind w:left="720"/>
        <w:contextualSpacing/>
        <w:rPr>
          <w:rFonts w:eastAsia="Calibri" w:cs="Times New Roman"/>
          <w:sz w:val="24"/>
          <w:szCs w:val="24"/>
        </w:rPr>
      </w:pPr>
      <w:r w:rsidRPr="00EE0C8C">
        <w:rPr>
          <w:rFonts w:eastAsia="Calibri" w:cs="Times New Roman"/>
          <w:sz w:val="24"/>
          <w:szCs w:val="24"/>
        </w:rPr>
        <w:t>nr 2906/3 pow. 0,0100 ha</w:t>
      </w:r>
    </w:p>
    <w:p w:rsidR="00EE0C8C" w:rsidRPr="00EE0C8C" w:rsidRDefault="00EE0C8C" w:rsidP="00EE0C8C">
      <w:pPr>
        <w:ind w:left="720"/>
        <w:contextualSpacing/>
        <w:rPr>
          <w:rFonts w:eastAsia="Calibri" w:cs="Times New Roman"/>
          <w:sz w:val="24"/>
          <w:szCs w:val="24"/>
        </w:rPr>
      </w:pPr>
      <w:r w:rsidRPr="00EE0C8C">
        <w:rPr>
          <w:rFonts w:eastAsia="Calibri" w:cs="Times New Roman"/>
          <w:sz w:val="24"/>
          <w:szCs w:val="24"/>
        </w:rPr>
        <w:t>nr 2610 pow. 1,5400 ha</w:t>
      </w:r>
    </w:p>
    <w:p w:rsidR="00EE0C8C" w:rsidRPr="00EE0C8C" w:rsidRDefault="00EE0C8C" w:rsidP="00EE0C8C">
      <w:pPr>
        <w:ind w:left="720"/>
        <w:contextualSpacing/>
        <w:rPr>
          <w:rFonts w:eastAsia="Calibri" w:cs="Times New Roman"/>
          <w:sz w:val="24"/>
          <w:szCs w:val="24"/>
        </w:rPr>
      </w:pPr>
      <w:r w:rsidRPr="00EE0C8C">
        <w:rPr>
          <w:rFonts w:eastAsia="Calibri" w:cs="Times New Roman"/>
          <w:sz w:val="24"/>
          <w:szCs w:val="24"/>
        </w:rPr>
        <w:t>nr 2911/2 pow. 0,3100 ha</w:t>
      </w:r>
    </w:p>
    <w:p w:rsidR="00EE0C8C" w:rsidRPr="00EE0C8C" w:rsidRDefault="00EE0C8C" w:rsidP="00EE0C8C">
      <w:pPr>
        <w:ind w:left="720"/>
        <w:contextualSpacing/>
        <w:rPr>
          <w:rFonts w:eastAsia="Calibri" w:cs="Times New Roman"/>
          <w:sz w:val="24"/>
          <w:szCs w:val="24"/>
        </w:rPr>
      </w:pPr>
      <w:r w:rsidRPr="00EE0C8C">
        <w:rPr>
          <w:rFonts w:eastAsia="Calibri" w:cs="Times New Roman"/>
          <w:sz w:val="24"/>
          <w:szCs w:val="24"/>
        </w:rPr>
        <w:t>nr 2734 pow. 0,2700 ha</w:t>
      </w:r>
    </w:p>
    <w:p w:rsidR="00EE0C8C" w:rsidRPr="00EE0C8C" w:rsidRDefault="00EE0C8C" w:rsidP="00EE0C8C">
      <w:pPr>
        <w:ind w:left="720"/>
        <w:contextualSpacing/>
        <w:rPr>
          <w:rFonts w:eastAsia="Calibri" w:cs="Times New Roman"/>
          <w:sz w:val="24"/>
          <w:szCs w:val="24"/>
        </w:rPr>
      </w:pPr>
      <w:r w:rsidRPr="00EE0C8C">
        <w:rPr>
          <w:rFonts w:eastAsia="Calibri" w:cs="Times New Roman"/>
          <w:sz w:val="24"/>
          <w:szCs w:val="24"/>
        </w:rPr>
        <w:t>nr 2656/9 pow. 0,4300 ha</w:t>
      </w:r>
    </w:p>
    <w:p w:rsidR="00EE0C8C" w:rsidRPr="00EE0C8C" w:rsidRDefault="00EE0C8C" w:rsidP="00EE0C8C">
      <w:pPr>
        <w:ind w:left="720"/>
        <w:contextualSpacing/>
        <w:rPr>
          <w:rFonts w:eastAsia="Calibri" w:cs="Times New Roman"/>
          <w:sz w:val="24"/>
          <w:szCs w:val="24"/>
        </w:rPr>
      </w:pPr>
      <w:r w:rsidRPr="00EE0C8C">
        <w:rPr>
          <w:rFonts w:eastAsia="Calibri" w:cs="Times New Roman"/>
          <w:sz w:val="24"/>
          <w:szCs w:val="24"/>
        </w:rPr>
        <w:t>nr 2656/8 pow. 0,0500 ha</w:t>
      </w:r>
    </w:p>
    <w:p w:rsidR="00EE0C8C" w:rsidRPr="00EE0C8C" w:rsidRDefault="00EE0C8C" w:rsidP="00EE0C8C">
      <w:pPr>
        <w:ind w:left="720"/>
        <w:contextualSpacing/>
        <w:rPr>
          <w:rFonts w:eastAsia="Calibri" w:cs="Times New Roman"/>
          <w:sz w:val="24"/>
          <w:szCs w:val="24"/>
        </w:rPr>
      </w:pPr>
      <w:r w:rsidRPr="00EE0C8C">
        <w:rPr>
          <w:rFonts w:eastAsia="Calibri" w:cs="Times New Roman"/>
          <w:sz w:val="24"/>
          <w:szCs w:val="24"/>
        </w:rPr>
        <w:t>nr 2040 pow. 0,6511 ha</w:t>
      </w:r>
    </w:p>
    <w:p w:rsidR="00EE0C8C" w:rsidRPr="00EE0C8C" w:rsidRDefault="00EE0C8C" w:rsidP="00EE0C8C">
      <w:pPr>
        <w:ind w:left="720"/>
        <w:contextualSpacing/>
        <w:rPr>
          <w:rFonts w:eastAsia="Calibri" w:cs="Times New Roman"/>
          <w:sz w:val="24"/>
          <w:szCs w:val="24"/>
        </w:rPr>
      </w:pPr>
      <w:r w:rsidRPr="00EE0C8C">
        <w:rPr>
          <w:rFonts w:eastAsia="Calibri" w:cs="Times New Roman"/>
          <w:sz w:val="24"/>
          <w:szCs w:val="24"/>
        </w:rPr>
        <w:t>nr 2656/7 pow. 0,0100 ha</w:t>
      </w:r>
    </w:p>
    <w:p w:rsidR="00EE0C8C" w:rsidRPr="00EE0C8C" w:rsidRDefault="00EE0C8C" w:rsidP="00EE0C8C">
      <w:pPr>
        <w:ind w:left="720"/>
        <w:contextualSpacing/>
        <w:rPr>
          <w:rFonts w:eastAsia="Calibri" w:cs="Times New Roman"/>
          <w:sz w:val="24"/>
          <w:szCs w:val="24"/>
        </w:rPr>
      </w:pPr>
      <w:r w:rsidRPr="00EE0C8C">
        <w:rPr>
          <w:rFonts w:eastAsia="Calibri" w:cs="Times New Roman"/>
          <w:sz w:val="24"/>
          <w:szCs w:val="24"/>
        </w:rPr>
        <w:t>nr 2689 pow. 0,3600 ha</w:t>
      </w:r>
    </w:p>
    <w:p w:rsidR="00EE0C8C" w:rsidRPr="00EE0C8C" w:rsidRDefault="00EE0C8C" w:rsidP="00EE0C8C">
      <w:pPr>
        <w:ind w:left="720"/>
        <w:contextualSpacing/>
        <w:rPr>
          <w:rFonts w:eastAsia="Calibri" w:cs="Times New Roman"/>
          <w:sz w:val="24"/>
          <w:szCs w:val="24"/>
        </w:rPr>
      </w:pPr>
      <w:r w:rsidRPr="00EE0C8C">
        <w:rPr>
          <w:rFonts w:eastAsia="Calibri" w:cs="Times New Roman"/>
          <w:sz w:val="24"/>
          <w:szCs w:val="24"/>
        </w:rPr>
        <w:t>nr 2592 pow. 1,2400 ha</w:t>
      </w:r>
    </w:p>
    <w:p w:rsidR="00EE0C8C" w:rsidRPr="00EE0C8C" w:rsidRDefault="00EE0C8C" w:rsidP="00EE0C8C">
      <w:pPr>
        <w:ind w:left="720"/>
        <w:contextualSpacing/>
        <w:rPr>
          <w:rFonts w:eastAsia="Calibri" w:cs="Times New Roman"/>
          <w:sz w:val="24"/>
          <w:szCs w:val="24"/>
        </w:rPr>
      </w:pPr>
      <w:r w:rsidRPr="00EE0C8C">
        <w:rPr>
          <w:rFonts w:eastAsia="Calibri" w:cs="Times New Roman"/>
          <w:sz w:val="24"/>
          <w:szCs w:val="24"/>
        </w:rPr>
        <w:t>nr 2591 pow. 0,1200 ha</w:t>
      </w:r>
    </w:p>
    <w:p w:rsidR="00EE0C8C" w:rsidRPr="00EE0C8C" w:rsidRDefault="00EE0C8C" w:rsidP="00EE0C8C">
      <w:pPr>
        <w:ind w:left="720"/>
        <w:contextualSpacing/>
        <w:rPr>
          <w:rFonts w:eastAsia="Calibri" w:cs="Times New Roman"/>
          <w:sz w:val="24"/>
          <w:szCs w:val="24"/>
        </w:rPr>
      </w:pPr>
      <w:r w:rsidRPr="00EE0C8C">
        <w:rPr>
          <w:rFonts w:eastAsia="Calibri" w:cs="Times New Roman"/>
          <w:sz w:val="24"/>
          <w:szCs w:val="24"/>
        </w:rPr>
        <w:t>nr 2656/26 pow. 0,4242 ha</w:t>
      </w:r>
    </w:p>
    <w:p w:rsidR="00EE0C8C" w:rsidRPr="00EE0C8C" w:rsidRDefault="00EE0C8C" w:rsidP="00EE0C8C">
      <w:pPr>
        <w:ind w:left="720"/>
        <w:contextualSpacing/>
        <w:rPr>
          <w:rFonts w:eastAsia="Calibri" w:cs="Times New Roman"/>
          <w:sz w:val="24"/>
          <w:szCs w:val="24"/>
        </w:rPr>
      </w:pPr>
      <w:r w:rsidRPr="00EE0C8C">
        <w:rPr>
          <w:rFonts w:eastAsia="Calibri" w:cs="Times New Roman"/>
          <w:sz w:val="24"/>
          <w:szCs w:val="24"/>
        </w:rPr>
        <w:t>nr 2609/3 pow. 0,0567 ha</w:t>
      </w:r>
    </w:p>
    <w:p w:rsidR="00EE0C8C" w:rsidRPr="00EE0C8C" w:rsidRDefault="00EE0C8C" w:rsidP="00EE0C8C">
      <w:pPr>
        <w:ind w:left="720"/>
        <w:contextualSpacing/>
        <w:rPr>
          <w:rFonts w:eastAsia="Calibri" w:cs="Times New Roman"/>
          <w:sz w:val="24"/>
          <w:szCs w:val="24"/>
        </w:rPr>
      </w:pPr>
      <w:r w:rsidRPr="00EE0C8C">
        <w:rPr>
          <w:rFonts w:eastAsia="Calibri" w:cs="Times New Roman"/>
          <w:sz w:val="24"/>
          <w:szCs w:val="24"/>
        </w:rPr>
        <w:t>nr 2609/2 pow. 0,0131 ha</w:t>
      </w:r>
    </w:p>
    <w:p w:rsidR="00EE0C8C" w:rsidRPr="00EE0C8C" w:rsidRDefault="00EE0C8C" w:rsidP="00EE0C8C">
      <w:pPr>
        <w:ind w:left="720"/>
        <w:contextualSpacing/>
        <w:rPr>
          <w:rFonts w:eastAsia="Calibri" w:cs="Times New Roman"/>
          <w:sz w:val="24"/>
          <w:szCs w:val="24"/>
        </w:rPr>
      </w:pPr>
      <w:r w:rsidRPr="00EE0C8C">
        <w:rPr>
          <w:rFonts w:eastAsia="Calibri" w:cs="Times New Roman"/>
          <w:sz w:val="24"/>
          <w:szCs w:val="24"/>
        </w:rPr>
        <w:t>nr 2754/2 pow. 0,2183 ha ( w użytkowaniu wieczystym innego podmiotu)</w:t>
      </w:r>
    </w:p>
    <w:p w:rsidR="00EE0C8C" w:rsidRPr="00EE0C8C" w:rsidRDefault="00EE0C8C" w:rsidP="00EE0C8C">
      <w:pPr>
        <w:ind w:left="720"/>
        <w:contextualSpacing/>
        <w:rPr>
          <w:rFonts w:eastAsia="Calibri" w:cs="Times New Roman"/>
          <w:sz w:val="24"/>
          <w:szCs w:val="24"/>
        </w:rPr>
      </w:pPr>
      <w:r w:rsidRPr="00EE0C8C">
        <w:rPr>
          <w:rFonts w:eastAsia="Calibri" w:cs="Times New Roman"/>
          <w:sz w:val="24"/>
          <w:szCs w:val="24"/>
        </w:rPr>
        <w:t>nr 2615 pow. 0,7200 ha ( w użytkowaniu wieczystym innego podmiotu)</w:t>
      </w:r>
    </w:p>
    <w:p w:rsidR="00EE0C8C" w:rsidRPr="00EE0C8C" w:rsidRDefault="00EE0C8C" w:rsidP="00EE0C8C">
      <w:pPr>
        <w:ind w:left="720"/>
        <w:contextualSpacing/>
        <w:rPr>
          <w:rFonts w:eastAsia="Calibri" w:cs="Times New Roman"/>
          <w:sz w:val="24"/>
          <w:szCs w:val="24"/>
        </w:rPr>
      </w:pPr>
      <w:r w:rsidRPr="00EE0C8C">
        <w:rPr>
          <w:rFonts w:eastAsia="Calibri" w:cs="Times New Roman"/>
          <w:sz w:val="24"/>
          <w:szCs w:val="24"/>
        </w:rPr>
        <w:t>nr 2572/1 pow. 0,0678 ha</w:t>
      </w:r>
    </w:p>
    <w:p w:rsidR="00EE0C8C" w:rsidRPr="00EE0C8C" w:rsidRDefault="00EE0C8C" w:rsidP="00EE0C8C">
      <w:pPr>
        <w:ind w:left="720"/>
        <w:contextualSpacing/>
        <w:rPr>
          <w:rFonts w:eastAsia="Calibri" w:cs="Times New Roman"/>
          <w:sz w:val="24"/>
          <w:szCs w:val="24"/>
        </w:rPr>
      </w:pPr>
      <w:r w:rsidRPr="00EE0C8C">
        <w:rPr>
          <w:rFonts w:eastAsia="Calibri" w:cs="Times New Roman"/>
          <w:sz w:val="24"/>
          <w:szCs w:val="24"/>
        </w:rPr>
        <w:lastRenderedPageBreak/>
        <w:t>nr 2403/1 pow. 0,0241 ha</w:t>
      </w:r>
    </w:p>
    <w:p w:rsidR="00EE0C8C" w:rsidRPr="00EE0C8C" w:rsidRDefault="00EE0C8C" w:rsidP="00EE0C8C">
      <w:pPr>
        <w:ind w:left="720"/>
        <w:contextualSpacing/>
        <w:rPr>
          <w:rFonts w:eastAsia="Calibri" w:cs="Times New Roman"/>
          <w:sz w:val="24"/>
          <w:szCs w:val="24"/>
        </w:rPr>
      </w:pPr>
      <w:r w:rsidRPr="00EE0C8C">
        <w:rPr>
          <w:rFonts w:eastAsia="Calibri" w:cs="Times New Roman"/>
          <w:sz w:val="24"/>
          <w:szCs w:val="24"/>
        </w:rPr>
        <w:t>nr 2656/29 pow. 2,2934 ha</w:t>
      </w:r>
    </w:p>
    <w:p w:rsidR="00EE0C8C" w:rsidRPr="00EE0C8C" w:rsidRDefault="00EE0C8C" w:rsidP="00EE0C8C">
      <w:pPr>
        <w:ind w:left="720"/>
        <w:contextualSpacing/>
        <w:rPr>
          <w:rFonts w:eastAsia="Calibri" w:cs="Times New Roman"/>
          <w:sz w:val="24"/>
          <w:szCs w:val="24"/>
        </w:rPr>
      </w:pPr>
      <w:r w:rsidRPr="00EE0C8C">
        <w:rPr>
          <w:rFonts w:eastAsia="Calibri" w:cs="Times New Roman"/>
          <w:sz w:val="24"/>
          <w:szCs w:val="24"/>
        </w:rPr>
        <w:t>nr 1956/3 pow. 0,0052 ha</w:t>
      </w:r>
    </w:p>
    <w:p w:rsidR="00EE0C8C" w:rsidRPr="00EE0C8C" w:rsidRDefault="00EE0C8C" w:rsidP="00EE0C8C">
      <w:pPr>
        <w:ind w:left="720"/>
        <w:contextualSpacing/>
        <w:rPr>
          <w:rFonts w:eastAsia="Calibri" w:cs="Times New Roman"/>
          <w:sz w:val="24"/>
          <w:szCs w:val="24"/>
        </w:rPr>
      </w:pPr>
      <w:r w:rsidRPr="00EE0C8C">
        <w:rPr>
          <w:rFonts w:eastAsia="Calibri" w:cs="Times New Roman"/>
          <w:sz w:val="24"/>
          <w:szCs w:val="24"/>
        </w:rPr>
        <w:t xml:space="preserve">nr 1983 pow. 0,0374 ha </w:t>
      </w:r>
    </w:p>
    <w:p w:rsidR="00EE0C8C" w:rsidRPr="00EE0C8C" w:rsidRDefault="00EE0C8C" w:rsidP="00EE0C8C">
      <w:pPr>
        <w:ind w:left="720"/>
        <w:contextualSpacing/>
        <w:rPr>
          <w:rFonts w:eastAsia="Calibri" w:cs="Times New Roman"/>
          <w:b/>
          <w:sz w:val="24"/>
          <w:szCs w:val="24"/>
        </w:rPr>
      </w:pPr>
      <w:r w:rsidRPr="00EE0C8C">
        <w:rPr>
          <w:rFonts w:eastAsia="Calibri" w:cs="Times New Roman"/>
          <w:b/>
          <w:sz w:val="24"/>
          <w:szCs w:val="24"/>
        </w:rPr>
        <w:t>Razem: 12,8092 ha</w:t>
      </w:r>
    </w:p>
    <w:p w:rsidR="00EE0C8C" w:rsidRPr="00EE0C8C" w:rsidRDefault="00EE0C8C" w:rsidP="00EE0C8C">
      <w:pPr>
        <w:ind w:left="720"/>
        <w:contextualSpacing/>
        <w:rPr>
          <w:rFonts w:eastAsia="Calibri" w:cs="Times New Roman"/>
          <w:b/>
          <w:sz w:val="24"/>
          <w:szCs w:val="24"/>
        </w:rPr>
      </w:pPr>
    </w:p>
    <w:p w:rsidR="00EE0C8C" w:rsidRPr="00EE0C8C" w:rsidRDefault="00EE0C8C" w:rsidP="00EE0C8C">
      <w:pPr>
        <w:ind w:left="720"/>
        <w:contextualSpacing/>
        <w:rPr>
          <w:rFonts w:eastAsia="Calibri" w:cs="Times New Roman"/>
          <w:b/>
          <w:sz w:val="24"/>
          <w:szCs w:val="24"/>
        </w:rPr>
      </w:pPr>
      <w:r w:rsidRPr="00EE0C8C">
        <w:rPr>
          <w:rFonts w:eastAsia="Calibri" w:cs="Times New Roman"/>
          <w:b/>
          <w:sz w:val="24"/>
          <w:szCs w:val="24"/>
        </w:rPr>
        <w:t>Mirzec I:</w:t>
      </w:r>
    </w:p>
    <w:p w:rsidR="00EE0C8C" w:rsidRPr="00EE0C8C" w:rsidRDefault="00EE0C8C" w:rsidP="00EE0C8C">
      <w:pPr>
        <w:ind w:left="720"/>
        <w:contextualSpacing/>
        <w:rPr>
          <w:rFonts w:eastAsia="Calibri" w:cs="Times New Roman"/>
          <w:sz w:val="24"/>
          <w:szCs w:val="24"/>
        </w:rPr>
      </w:pPr>
      <w:r w:rsidRPr="00EE0C8C">
        <w:rPr>
          <w:rFonts w:eastAsia="Calibri" w:cs="Times New Roman"/>
          <w:sz w:val="24"/>
          <w:szCs w:val="24"/>
        </w:rPr>
        <w:t>nr 228/3 pow. 0,1778 ha</w:t>
      </w:r>
    </w:p>
    <w:p w:rsidR="00EE0C8C" w:rsidRPr="00EE0C8C" w:rsidRDefault="00EE0C8C" w:rsidP="00EE0C8C">
      <w:pPr>
        <w:ind w:left="720"/>
        <w:contextualSpacing/>
        <w:rPr>
          <w:rFonts w:eastAsia="Calibri" w:cs="Times New Roman"/>
          <w:sz w:val="24"/>
          <w:szCs w:val="24"/>
        </w:rPr>
      </w:pPr>
      <w:r w:rsidRPr="00EE0C8C">
        <w:rPr>
          <w:rFonts w:eastAsia="Calibri" w:cs="Times New Roman"/>
          <w:sz w:val="24"/>
          <w:szCs w:val="24"/>
        </w:rPr>
        <w:t xml:space="preserve">nr 226/13 pow. 0,0594 ha </w:t>
      </w:r>
    </w:p>
    <w:p w:rsidR="00EE0C8C" w:rsidRPr="00EE0C8C" w:rsidRDefault="00EE0C8C" w:rsidP="00EE0C8C">
      <w:pPr>
        <w:ind w:left="720"/>
        <w:contextualSpacing/>
        <w:rPr>
          <w:rFonts w:eastAsia="Calibri" w:cs="Times New Roman"/>
          <w:sz w:val="24"/>
          <w:szCs w:val="24"/>
        </w:rPr>
      </w:pPr>
      <w:r w:rsidRPr="00EE0C8C">
        <w:rPr>
          <w:rFonts w:eastAsia="Calibri" w:cs="Times New Roman"/>
          <w:sz w:val="24"/>
          <w:szCs w:val="24"/>
        </w:rPr>
        <w:t>nr 230 pow. 0,1837 ha</w:t>
      </w:r>
    </w:p>
    <w:p w:rsidR="00EE0C8C" w:rsidRPr="00EE0C8C" w:rsidRDefault="00EE0C8C" w:rsidP="00EE0C8C">
      <w:pPr>
        <w:ind w:left="720"/>
        <w:contextualSpacing/>
        <w:rPr>
          <w:rFonts w:eastAsia="Calibri" w:cs="Times New Roman"/>
          <w:sz w:val="24"/>
          <w:szCs w:val="24"/>
        </w:rPr>
      </w:pPr>
      <w:r w:rsidRPr="00EE0C8C">
        <w:rPr>
          <w:rFonts w:eastAsia="Calibri" w:cs="Times New Roman"/>
          <w:sz w:val="24"/>
          <w:szCs w:val="24"/>
        </w:rPr>
        <w:t>nr 381/2 pow. 0,4296 ha</w:t>
      </w:r>
    </w:p>
    <w:p w:rsidR="00EE0C8C" w:rsidRPr="00EE0C8C" w:rsidRDefault="00EE0C8C" w:rsidP="00EE0C8C">
      <w:pPr>
        <w:ind w:left="720"/>
        <w:contextualSpacing/>
        <w:rPr>
          <w:rFonts w:eastAsia="Calibri" w:cs="Times New Roman"/>
          <w:sz w:val="24"/>
          <w:szCs w:val="24"/>
        </w:rPr>
      </w:pPr>
      <w:r w:rsidRPr="00EE0C8C">
        <w:rPr>
          <w:rFonts w:eastAsia="Calibri" w:cs="Times New Roman"/>
          <w:sz w:val="24"/>
          <w:szCs w:val="24"/>
        </w:rPr>
        <w:t>nr 226/8 pow. 0,0528 ha</w:t>
      </w:r>
    </w:p>
    <w:p w:rsidR="00EE0C8C" w:rsidRPr="00EE0C8C" w:rsidRDefault="00EE0C8C" w:rsidP="00EE0C8C">
      <w:pPr>
        <w:ind w:left="720"/>
        <w:contextualSpacing/>
        <w:rPr>
          <w:rFonts w:eastAsia="Calibri" w:cs="Times New Roman"/>
          <w:sz w:val="24"/>
          <w:szCs w:val="24"/>
        </w:rPr>
      </w:pPr>
      <w:r w:rsidRPr="00EE0C8C">
        <w:rPr>
          <w:rFonts w:eastAsia="Calibri" w:cs="Times New Roman"/>
          <w:sz w:val="24"/>
          <w:szCs w:val="24"/>
        </w:rPr>
        <w:t>nr 224/1 pow. 0,0491 ha</w:t>
      </w:r>
    </w:p>
    <w:p w:rsidR="00EE0C8C" w:rsidRPr="00EE0C8C" w:rsidRDefault="00EE0C8C" w:rsidP="00EE0C8C">
      <w:pPr>
        <w:ind w:left="720"/>
        <w:contextualSpacing/>
        <w:rPr>
          <w:rFonts w:eastAsia="Calibri" w:cs="Times New Roman"/>
          <w:sz w:val="24"/>
          <w:szCs w:val="24"/>
        </w:rPr>
      </w:pPr>
      <w:r w:rsidRPr="00EE0C8C">
        <w:rPr>
          <w:rFonts w:eastAsia="Calibri" w:cs="Times New Roman"/>
          <w:sz w:val="24"/>
          <w:szCs w:val="24"/>
        </w:rPr>
        <w:t>nr 226/7 pow. 0,0130 ha</w:t>
      </w:r>
    </w:p>
    <w:p w:rsidR="00EE0C8C" w:rsidRPr="00EE0C8C" w:rsidRDefault="00EE0C8C" w:rsidP="00EE0C8C">
      <w:pPr>
        <w:ind w:left="720"/>
        <w:contextualSpacing/>
        <w:rPr>
          <w:rFonts w:eastAsia="Calibri" w:cs="Times New Roman"/>
          <w:sz w:val="24"/>
          <w:szCs w:val="24"/>
        </w:rPr>
      </w:pPr>
      <w:r w:rsidRPr="00EE0C8C">
        <w:rPr>
          <w:rFonts w:eastAsia="Calibri" w:cs="Times New Roman"/>
          <w:sz w:val="24"/>
          <w:szCs w:val="24"/>
        </w:rPr>
        <w:t>nr 553/2 pow. 0,0811 ha</w:t>
      </w:r>
    </w:p>
    <w:p w:rsidR="00EE0C8C" w:rsidRPr="00EE0C8C" w:rsidRDefault="00EE0C8C" w:rsidP="00EE0C8C">
      <w:pPr>
        <w:ind w:left="720"/>
        <w:contextualSpacing/>
        <w:rPr>
          <w:rFonts w:eastAsia="Calibri" w:cs="Times New Roman"/>
          <w:sz w:val="24"/>
          <w:szCs w:val="24"/>
        </w:rPr>
      </w:pPr>
      <w:r w:rsidRPr="00EE0C8C">
        <w:rPr>
          <w:rFonts w:eastAsia="Calibri" w:cs="Times New Roman"/>
          <w:sz w:val="24"/>
          <w:szCs w:val="24"/>
        </w:rPr>
        <w:t>nr 554/2 pow. 0,0318 ha</w:t>
      </w:r>
    </w:p>
    <w:p w:rsidR="00EE0C8C" w:rsidRPr="00EE0C8C" w:rsidRDefault="00EE0C8C" w:rsidP="00EE0C8C">
      <w:pPr>
        <w:ind w:left="720"/>
        <w:contextualSpacing/>
        <w:rPr>
          <w:rFonts w:eastAsia="Calibri" w:cs="Times New Roman"/>
          <w:sz w:val="24"/>
          <w:szCs w:val="24"/>
        </w:rPr>
      </w:pPr>
      <w:r w:rsidRPr="00EE0C8C">
        <w:rPr>
          <w:rFonts w:eastAsia="Calibri" w:cs="Times New Roman"/>
          <w:sz w:val="24"/>
          <w:szCs w:val="24"/>
        </w:rPr>
        <w:t>nr 1007/1 pow. 1,5196 ha</w:t>
      </w:r>
    </w:p>
    <w:p w:rsidR="00EE0C8C" w:rsidRPr="00EE0C8C" w:rsidRDefault="00EE0C8C" w:rsidP="00EE0C8C">
      <w:pPr>
        <w:ind w:left="720"/>
        <w:contextualSpacing/>
        <w:rPr>
          <w:rFonts w:eastAsia="Calibri" w:cs="Times New Roman"/>
          <w:sz w:val="24"/>
          <w:szCs w:val="24"/>
        </w:rPr>
      </w:pPr>
      <w:r w:rsidRPr="00EE0C8C">
        <w:rPr>
          <w:rFonts w:eastAsia="Calibri" w:cs="Times New Roman"/>
          <w:sz w:val="24"/>
          <w:szCs w:val="24"/>
        </w:rPr>
        <w:t>nr 1007/2 pow. 1,3652 ha</w:t>
      </w:r>
    </w:p>
    <w:p w:rsidR="00EE0C8C" w:rsidRPr="00EE0C8C" w:rsidRDefault="00EE0C8C" w:rsidP="00EE0C8C">
      <w:pPr>
        <w:ind w:left="720"/>
        <w:contextualSpacing/>
        <w:rPr>
          <w:rFonts w:eastAsia="Calibri" w:cs="Times New Roman"/>
          <w:sz w:val="24"/>
          <w:szCs w:val="24"/>
        </w:rPr>
      </w:pPr>
      <w:r w:rsidRPr="00EE0C8C">
        <w:rPr>
          <w:rFonts w:eastAsia="Calibri" w:cs="Times New Roman"/>
          <w:sz w:val="24"/>
          <w:szCs w:val="24"/>
        </w:rPr>
        <w:t>nr 226/19 pow. 0,0338 ha</w:t>
      </w:r>
    </w:p>
    <w:p w:rsidR="00EE0C8C" w:rsidRPr="00EE0C8C" w:rsidRDefault="00EE0C8C" w:rsidP="00EE0C8C">
      <w:pPr>
        <w:ind w:left="720"/>
        <w:contextualSpacing/>
        <w:rPr>
          <w:rFonts w:eastAsia="Calibri" w:cs="Times New Roman"/>
          <w:sz w:val="24"/>
          <w:szCs w:val="24"/>
        </w:rPr>
      </w:pPr>
      <w:r w:rsidRPr="00EE0C8C">
        <w:rPr>
          <w:rFonts w:eastAsia="Calibri" w:cs="Times New Roman"/>
          <w:sz w:val="24"/>
          <w:szCs w:val="24"/>
        </w:rPr>
        <w:t>nr 163 pow. 1,3166 ha</w:t>
      </w:r>
    </w:p>
    <w:p w:rsidR="00EE0C8C" w:rsidRPr="00EE0C8C" w:rsidRDefault="00EE0C8C" w:rsidP="00EE0C8C">
      <w:pPr>
        <w:ind w:left="720"/>
        <w:contextualSpacing/>
        <w:rPr>
          <w:rFonts w:eastAsia="Calibri" w:cs="Times New Roman"/>
          <w:sz w:val="24"/>
          <w:szCs w:val="24"/>
        </w:rPr>
      </w:pPr>
      <w:r w:rsidRPr="00EE0C8C">
        <w:rPr>
          <w:rFonts w:eastAsia="Calibri" w:cs="Times New Roman"/>
          <w:sz w:val="24"/>
          <w:szCs w:val="24"/>
        </w:rPr>
        <w:t>nr 164 pow. 0,2695 ha</w:t>
      </w:r>
    </w:p>
    <w:p w:rsidR="00EE0C8C" w:rsidRPr="00EE0C8C" w:rsidRDefault="00EE0C8C" w:rsidP="00EE0C8C">
      <w:pPr>
        <w:ind w:left="720"/>
        <w:contextualSpacing/>
        <w:rPr>
          <w:rFonts w:eastAsia="Calibri" w:cs="Times New Roman"/>
          <w:sz w:val="24"/>
          <w:szCs w:val="24"/>
        </w:rPr>
      </w:pPr>
      <w:r w:rsidRPr="00EE0C8C">
        <w:rPr>
          <w:rFonts w:eastAsia="Calibri" w:cs="Times New Roman"/>
          <w:sz w:val="24"/>
          <w:szCs w:val="24"/>
        </w:rPr>
        <w:t>nr 223/2 pow. 0,0758 ha</w:t>
      </w:r>
    </w:p>
    <w:p w:rsidR="00EE0C8C" w:rsidRPr="00EE0C8C" w:rsidRDefault="00EE0C8C" w:rsidP="00EE0C8C">
      <w:pPr>
        <w:ind w:left="720"/>
        <w:contextualSpacing/>
        <w:rPr>
          <w:rFonts w:eastAsia="Calibri" w:cs="Times New Roman"/>
          <w:sz w:val="24"/>
          <w:szCs w:val="24"/>
        </w:rPr>
      </w:pPr>
      <w:r w:rsidRPr="00EE0C8C">
        <w:rPr>
          <w:rFonts w:eastAsia="Calibri" w:cs="Times New Roman"/>
          <w:sz w:val="24"/>
          <w:szCs w:val="24"/>
        </w:rPr>
        <w:t>nr 226/5 pow. 0,0370 ha</w:t>
      </w:r>
    </w:p>
    <w:p w:rsidR="00EE0C8C" w:rsidRPr="00EE0C8C" w:rsidRDefault="00EE0C8C" w:rsidP="00EE0C8C">
      <w:pPr>
        <w:ind w:left="720"/>
        <w:contextualSpacing/>
        <w:rPr>
          <w:rFonts w:eastAsia="Calibri" w:cs="Times New Roman"/>
          <w:sz w:val="24"/>
          <w:szCs w:val="24"/>
        </w:rPr>
      </w:pPr>
      <w:r w:rsidRPr="00EE0C8C">
        <w:rPr>
          <w:rFonts w:eastAsia="Calibri" w:cs="Times New Roman"/>
          <w:sz w:val="24"/>
          <w:szCs w:val="24"/>
        </w:rPr>
        <w:t>nr 31 pow. 0,7515 ha</w:t>
      </w:r>
    </w:p>
    <w:p w:rsidR="00EE0C8C" w:rsidRPr="00EE0C8C" w:rsidRDefault="00EE0C8C" w:rsidP="00EE0C8C">
      <w:pPr>
        <w:ind w:left="720"/>
        <w:contextualSpacing/>
        <w:rPr>
          <w:rFonts w:eastAsia="Calibri" w:cs="Times New Roman"/>
          <w:sz w:val="24"/>
          <w:szCs w:val="24"/>
        </w:rPr>
      </w:pPr>
      <w:r w:rsidRPr="00EE0C8C">
        <w:rPr>
          <w:rFonts w:eastAsia="Calibri" w:cs="Times New Roman"/>
          <w:sz w:val="24"/>
          <w:szCs w:val="24"/>
        </w:rPr>
        <w:t>nr 130/5 pow. 0,0347 ha</w:t>
      </w:r>
    </w:p>
    <w:p w:rsidR="00EE0C8C" w:rsidRPr="00EE0C8C" w:rsidRDefault="00EE0C8C" w:rsidP="00EE0C8C">
      <w:pPr>
        <w:ind w:left="720"/>
        <w:contextualSpacing/>
        <w:rPr>
          <w:rFonts w:eastAsia="Calibri" w:cs="Times New Roman"/>
          <w:sz w:val="24"/>
          <w:szCs w:val="24"/>
        </w:rPr>
      </w:pPr>
      <w:r w:rsidRPr="00EE0C8C">
        <w:rPr>
          <w:rFonts w:eastAsia="Calibri" w:cs="Times New Roman"/>
          <w:sz w:val="24"/>
          <w:szCs w:val="24"/>
        </w:rPr>
        <w:t>nr 130/4 pow. 0,0071 ha</w:t>
      </w:r>
    </w:p>
    <w:p w:rsidR="00EE0C8C" w:rsidRPr="00EE0C8C" w:rsidRDefault="00EE0C8C" w:rsidP="00EE0C8C">
      <w:pPr>
        <w:ind w:left="720"/>
        <w:contextualSpacing/>
        <w:rPr>
          <w:rFonts w:eastAsia="Calibri" w:cs="Times New Roman"/>
          <w:sz w:val="24"/>
          <w:szCs w:val="24"/>
        </w:rPr>
      </w:pPr>
      <w:r w:rsidRPr="00EE0C8C">
        <w:rPr>
          <w:rFonts w:eastAsia="Calibri" w:cs="Times New Roman"/>
          <w:sz w:val="24"/>
          <w:szCs w:val="24"/>
        </w:rPr>
        <w:t>nr 226/21 pow. 0,0673 ha</w:t>
      </w:r>
    </w:p>
    <w:p w:rsidR="00EE0C8C" w:rsidRPr="00EE0C8C" w:rsidRDefault="00EE0C8C" w:rsidP="00EE0C8C">
      <w:pPr>
        <w:ind w:left="720"/>
        <w:contextualSpacing/>
        <w:rPr>
          <w:rFonts w:eastAsia="Calibri" w:cs="Times New Roman"/>
          <w:sz w:val="24"/>
          <w:szCs w:val="24"/>
        </w:rPr>
      </w:pPr>
      <w:r w:rsidRPr="00EE0C8C">
        <w:rPr>
          <w:rFonts w:eastAsia="Calibri" w:cs="Times New Roman"/>
          <w:sz w:val="24"/>
          <w:szCs w:val="24"/>
        </w:rPr>
        <w:t>nr 226/20 pow. 0,0028 ha</w:t>
      </w:r>
    </w:p>
    <w:p w:rsidR="00EE0C8C" w:rsidRPr="00EE0C8C" w:rsidRDefault="00EE0C8C" w:rsidP="00EE0C8C">
      <w:pPr>
        <w:ind w:left="720"/>
        <w:contextualSpacing/>
        <w:rPr>
          <w:rFonts w:eastAsia="Calibri" w:cs="Times New Roman"/>
          <w:sz w:val="24"/>
          <w:szCs w:val="24"/>
        </w:rPr>
      </w:pPr>
      <w:r w:rsidRPr="00EE0C8C">
        <w:rPr>
          <w:rFonts w:eastAsia="Calibri" w:cs="Times New Roman"/>
          <w:sz w:val="24"/>
          <w:szCs w:val="24"/>
        </w:rPr>
        <w:t>nr 130/7 pow. 0,0381 ha</w:t>
      </w:r>
    </w:p>
    <w:p w:rsidR="00EE0C8C" w:rsidRPr="00EE0C8C" w:rsidRDefault="00EE0C8C" w:rsidP="00EE0C8C">
      <w:pPr>
        <w:ind w:left="720"/>
        <w:contextualSpacing/>
        <w:rPr>
          <w:rFonts w:eastAsia="Calibri" w:cs="Times New Roman"/>
          <w:sz w:val="24"/>
          <w:szCs w:val="24"/>
        </w:rPr>
      </w:pPr>
      <w:r w:rsidRPr="00EE0C8C">
        <w:rPr>
          <w:rFonts w:eastAsia="Calibri" w:cs="Times New Roman"/>
          <w:sz w:val="24"/>
          <w:szCs w:val="24"/>
        </w:rPr>
        <w:t>nr 130/9 pow. 2,5941 ha</w:t>
      </w:r>
    </w:p>
    <w:p w:rsidR="00EE0C8C" w:rsidRPr="00EE0C8C" w:rsidRDefault="00EE0C8C" w:rsidP="00EE0C8C">
      <w:pPr>
        <w:ind w:left="720"/>
        <w:contextualSpacing/>
        <w:rPr>
          <w:rFonts w:eastAsia="Calibri" w:cs="Times New Roman"/>
          <w:sz w:val="24"/>
          <w:szCs w:val="24"/>
        </w:rPr>
      </w:pPr>
      <w:r w:rsidRPr="00EE0C8C">
        <w:rPr>
          <w:rFonts w:eastAsia="Calibri" w:cs="Times New Roman"/>
          <w:sz w:val="24"/>
          <w:szCs w:val="24"/>
        </w:rPr>
        <w:t>nr 1/1 pow. 0,1095 ha</w:t>
      </w:r>
    </w:p>
    <w:p w:rsidR="00EE0C8C" w:rsidRPr="00EE0C8C" w:rsidRDefault="00EE0C8C" w:rsidP="00EE0C8C">
      <w:pPr>
        <w:ind w:left="720"/>
        <w:contextualSpacing/>
        <w:rPr>
          <w:rFonts w:eastAsia="Calibri" w:cs="Times New Roman"/>
          <w:sz w:val="24"/>
          <w:szCs w:val="24"/>
        </w:rPr>
      </w:pPr>
      <w:r w:rsidRPr="00EE0C8C">
        <w:rPr>
          <w:rFonts w:eastAsia="Calibri" w:cs="Times New Roman"/>
          <w:sz w:val="24"/>
          <w:szCs w:val="24"/>
        </w:rPr>
        <w:t>nr 2/1 pow. 0,3836 ha</w:t>
      </w:r>
    </w:p>
    <w:p w:rsidR="00EE0C8C" w:rsidRPr="00EE0C8C" w:rsidRDefault="00EE0C8C" w:rsidP="00EE0C8C">
      <w:pPr>
        <w:ind w:left="720"/>
        <w:contextualSpacing/>
        <w:rPr>
          <w:rFonts w:eastAsia="Calibri" w:cs="Times New Roman"/>
          <w:sz w:val="24"/>
          <w:szCs w:val="24"/>
        </w:rPr>
      </w:pPr>
      <w:r w:rsidRPr="00EE0C8C">
        <w:rPr>
          <w:rFonts w:eastAsia="Calibri" w:cs="Times New Roman"/>
          <w:sz w:val="24"/>
          <w:szCs w:val="24"/>
        </w:rPr>
        <w:t>nr 1/2 pow. 0,0698 ha</w:t>
      </w:r>
    </w:p>
    <w:p w:rsidR="00EE0C8C" w:rsidRPr="00EE0C8C" w:rsidRDefault="00EE0C8C" w:rsidP="00EE0C8C">
      <w:pPr>
        <w:ind w:left="720"/>
        <w:contextualSpacing/>
        <w:rPr>
          <w:rFonts w:eastAsia="Calibri" w:cs="Times New Roman"/>
          <w:sz w:val="24"/>
          <w:szCs w:val="24"/>
        </w:rPr>
      </w:pPr>
      <w:r w:rsidRPr="00EE0C8C">
        <w:rPr>
          <w:rFonts w:eastAsia="Calibri" w:cs="Times New Roman"/>
          <w:sz w:val="24"/>
          <w:szCs w:val="24"/>
        </w:rPr>
        <w:t>nr 226/12 pow. 0,0260 ha ( w użytkowaniu wieczystym innego podmiotu)</w:t>
      </w:r>
    </w:p>
    <w:p w:rsidR="00EE0C8C" w:rsidRPr="00EE0C8C" w:rsidRDefault="00EE0C8C" w:rsidP="00EE0C8C">
      <w:pPr>
        <w:ind w:left="720"/>
        <w:contextualSpacing/>
        <w:rPr>
          <w:rFonts w:eastAsia="Calibri" w:cs="Times New Roman"/>
          <w:sz w:val="24"/>
          <w:szCs w:val="24"/>
        </w:rPr>
      </w:pPr>
      <w:r w:rsidRPr="00EE0C8C">
        <w:rPr>
          <w:rFonts w:eastAsia="Calibri" w:cs="Times New Roman"/>
          <w:sz w:val="24"/>
          <w:szCs w:val="24"/>
        </w:rPr>
        <w:t xml:space="preserve">nr 226/18 pow. 0,1049 ha ( w użytkowaniu wieczystym innego podmiotu) </w:t>
      </w:r>
    </w:p>
    <w:p w:rsidR="00EE0C8C" w:rsidRPr="00EE0C8C" w:rsidRDefault="00EE0C8C" w:rsidP="00EE0C8C">
      <w:pPr>
        <w:ind w:left="720"/>
        <w:contextualSpacing/>
        <w:rPr>
          <w:rFonts w:eastAsia="Calibri" w:cs="Times New Roman"/>
          <w:sz w:val="24"/>
          <w:szCs w:val="24"/>
        </w:rPr>
      </w:pPr>
      <w:r w:rsidRPr="00EE0C8C">
        <w:rPr>
          <w:rFonts w:eastAsia="Calibri" w:cs="Times New Roman"/>
          <w:sz w:val="24"/>
          <w:szCs w:val="24"/>
        </w:rPr>
        <w:t>nr 228/4 pow. 0,1578 ha (w użytkowaniu wieczystym innego podmiotu)</w:t>
      </w:r>
    </w:p>
    <w:p w:rsidR="00EE0C8C" w:rsidRPr="00EE0C8C" w:rsidRDefault="00EE0C8C" w:rsidP="00EE0C8C">
      <w:pPr>
        <w:ind w:left="720"/>
        <w:contextualSpacing/>
        <w:rPr>
          <w:rFonts w:eastAsia="Calibri" w:cs="Times New Roman"/>
          <w:sz w:val="24"/>
          <w:szCs w:val="24"/>
        </w:rPr>
      </w:pPr>
      <w:r w:rsidRPr="00EE0C8C">
        <w:rPr>
          <w:rFonts w:eastAsia="Calibri" w:cs="Times New Roman"/>
          <w:sz w:val="24"/>
          <w:szCs w:val="24"/>
        </w:rPr>
        <w:t>nr 228/5 pow. 0,1277 ha ( w użytkowaniu wieczystym innego podmiotu)</w:t>
      </w:r>
    </w:p>
    <w:p w:rsidR="00EE0C8C" w:rsidRPr="00EE0C8C" w:rsidRDefault="00EE0C8C" w:rsidP="00EE0C8C">
      <w:pPr>
        <w:ind w:left="720"/>
        <w:contextualSpacing/>
        <w:rPr>
          <w:rFonts w:eastAsia="Calibri" w:cs="Times New Roman"/>
          <w:sz w:val="24"/>
          <w:szCs w:val="24"/>
        </w:rPr>
      </w:pPr>
      <w:r w:rsidRPr="00EE0C8C">
        <w:rPr>
          <w:rFonts w:eastAsia="Calibri" w:cs="Times New Roman"/>
          <w:sz w:val="24"/>
          <w:szCs w:val="24"/>
        </w:rPr>
        <w:t>nr 229/1 pow. 0,1524 ha ( w użytkowaniu wieczystym innego podmiotu)</w:t>
      </w:r>
    </w:p>
    <w:p w:rsidR="00EE0C8C" w:rsidRPr="00EE0C8C" w:rsidRDefault="00EE0C8C" w:rsidP="00EE0C8C">
      <w:pPr>
        <w:ind w:left="720"/>
        <w:contextualSpacing/>
        <w:rPr>
          <w:rFonts w:eastAsia="Calibri" w:cs="Times New Roman"/>
          <w:sz w:val="24"/>
          <w:szCs w:val="24"/>
        </w:rPr>
      </w:pPr>
      <w:r w:rsidRPr="00EE0C8C">
        <w:rPr>
          <w:rFonts w:eastAsia="Calibri" w:cs="Times New Roman"/>
          <w:sz w:val="24"/>
          <w:szCs w:val="24"/>
        </w:rPr>
        <w:t>nr 229/2 pow. 0,1995 ha ( w użytkowaniu wieczystym innego podmiotu)</w:t>
      </w:r>
    </w:p>
    <w:p w:rsidR="00EE0C8C" w:rsidRPr="00EE0C8C" w:rsidRDefault="00EE0C8C" w:rsidP="00EE0C8C">
      <w:pPr>
        <w:ind w:left="720"/>
        <w:contextualSpacing/>
        <w:rPr>
          <w:rFonts w:eastAsia="Calibri" w:cs="Times New Roman"/>
          <w:sz w:val="24"/>
          <w:szCs w:val="24"/>
        </w:rPr>
      </w:pPr>
      <w:r w:rsidRPr="00EE0C8C">
        <w:rPr>
          <w:rFonts w:eastAsia="Calibri" w:cs="Times New Roman"/>
          <w:sz w:val="24"/>
          <w:szCs w:val="24"/>
        </w:rPr>
        <w:t>nr 228/2 pow. 0,4103 ha ( w użytkowaniu wieczystym innego podmiotu)</w:t>
      </w:r>
    </w:p>
    <w:p w:rsidR="00EE0C8C" w:rsidRPr="00EE0C8C" w:rsidRDefault="00EE0C8C" w:rsidP="00EE0C8C">
      <w:pPr>
        <w:ind w:left="720"/>
        <w:contextualSpacing/>
        <w:rPr>
          <w:rFonts w:eastAsia="Calibri" w:cs="Times New Roman"/>
          <w:sz w:val="24"/>
          <w:szCs w:val="24"/>
        </w:rPr>
      </w:pPr>
      <w:r w:rsidRPr="00EE0C8C">
        <w:rPr>
          <w:rFonts w:eastAsia="Calibri" w:cs="Times New Roman"/>
          <w:sz w:val="24"/>
          <w:szCs w:val="24"/>
        </w:rPr>
        <w:lastRenderedPageBreak/>
        <w:t>nr 228/6 pow. 0,0124 ha ( w użytkowaniu wieczystym innego podmiotu)</w:t>
      </w:r>
    </w:p>
    <w:p w:rsidR="00EE0C8C" w:rsidRPr="00EE0C8C" w:rsidRDefault="00EE0C8C" w:rsidP="00EE0C8C">
      <w:pPr>
        <w:ind w:left="720"/>
        <w:contextualSpacing/>
        <w:rPr>
          <w:rFonts w:eastAsia="Calibri" w:cs="Times New Roman"/>
          <w:sz w:val="24"/>
          <w:szCs w:val="24"/>
        </w:rPr>
      </w:pPr>
      <w:r w:rsidRPr="00EE0C8C">
        <w:rPr>
          <w:rFonts w:eastAsia="Calibri" w:cs="Times New Roman"/>
          <w:sz w:val="24"/>
          <w:szCs w:val="24"/>
        </w:rPr>
        <w:t>nr 226/17 pow. 0,0813 ha ( w użytkowaniu wieczystym innego podmiotu)</w:t>
      </w:r>
    </w:p>
    <w:p w:rsidR="00EE0C8C" w:rsidRPr="00EE0C8C" w:rsidRDefault="00EE0C8C" w:rsidP="00EE0C8C">
      <w:pPr>
        <w:ind w:left="720"/>
        <w:contextualSpacing/>
        <w:rPr>
          <w:rFonts w:eastAsia="Calibri" w:cs="Times New Roman"/>
          <w:sz w:val="24"/>
          <w:szCs w:val="24"/>
        </w:rPr>
      </w:pPr>
      <w:r w:rsidRPr="00EE0C8C">
        <w:rPr>
          <w:rFonts w:eastAsia="Calibri" w:cs="Times New Roman"/>
          <w:sz w:val="24"/>
          <w:szCs w:val="24"/>
        </w:rPr>
        <w:t>nr 220/2 pow. 0,0110 ha</w:t>
      </w:r>
    </w:p>
    <w:p w:rsidR="00EE0C8C" w:rsidRPr="00EE0C8C" w:rsidRDefault="00EE0C8C" w:rsidP="00EE0C8C">
      <w:pPr>
        <w:ind w:left="720"/>
        <w:contextualSpacing/>
        <w:rPr>
          <w:rFonts w:eastAsia="Calibri" w:cs="Times New Roman"/>
          <w:sz w:val="24"/>
          <w:szCs w:val="24"/>
        </w:rPr>
      </w:pPr>
      <w:r w:rsidRPr="00EE0C8C">
        <w:rPr>
          <w:rFonts w:eastAsia="Calibri" w:cs="Times New Roman"/>
          <w:sz w:val="24"/>
          <w:szCs w:val="24"/>
        </w:rPr>
        <w:t>nr 206/7 pow. 0,0034 ha</w:t>
      </w:r>
    </w:p>
    <w:p w:rsidR="00EE0C8C" w:rsidRPr="00EE0C8C" w:rsidRDefault="00EE0C8C" w:rsidP="00EE0C8C">
      <w:pPr>
        <w:ind w:left="720"/>
        <w:contextualSpacing/>
        <w:rPr>
          <w:rFonts w:eastAsia="Calibri" w:cs="Times New Roman"/>
          <w:sz w:val="24"/>
          <w:szCs w:val="24"/>
        </w:rPr>
      </w:pPr>
      <w:r w:rsidRPr="00EE0C8C">
        <w:rPr>
          <w:rFonts w:eastAsia="Calibri" w:cs="Times New Roman"/>
          <w:sz w:val="24"/>
          <w:szCs w:val="24"/>
        </w:rPr>
        <w:t>nr 206/9 pow. 0,0107 ha</w:t>
      </w:r>
    </w:p>
    <w:p w:rsidR="00EE0C8C" w:rsidRPr="00EE0C8C" w:rsidRDefault="00EE0C8C" w:rsidP="00EE0C8C">
      <w:pPr>
        <w:ind w:left="720"/>
        <w:contextualSpacing/>
        <w:rPr>
          <w:rFonts w:eastAsia="Calibri" w:cs="Times New Roman"/>
          <w:sz w:val="24"/>
          <w:szCs w:val="24"/>
        </w:rPr>
      </w:pPr>
      <w:r w:rsidRPr="00EE0C8C">
        <w:rPr>
          <w:rFonts w:eastAsia="Calibri" w:cs="Times New Roman"/>
          <w:sz w:val="24"/>
          <w:szCs w:val="24"/>
        </w:rPr>
        <w:t>nr 187/3 pow. 0,0389 ha</w:t>
      </w:r>
    </w:p>
    <w:p w:rsidR="00EE0C8C" w:rsidRPr="00EE0C8C" w:rsidRDefault="00EE0C8C" w:rsidP="00EE0C8C">
      <w:pPr>
        <w:ind w:left="720"/>
        <w:contextualSpacing/>
        <w:rPr>
          <w:rFonts w:eastAsia="Calibri" w:cs="Times New Roman"/>
          <w:sz w:val="24"/>
          <w:szCs w:val="24"/>
        </w:rPr>
      </w:pPr>
      <w:r w:rsidRPr="00EE0C8C">
        <w:rPr>
          <w:rFonts w:eastAsia="Calibri" w:cs="Times New Roman"/>
          <w:sz w:val="24"/>
          <w:szCs w:val="24"/>
        </w:rPr>
        <w:t>nr 209/5 pow. 0,0118 ha</w:t>
      </w:r>
    </w:p>
    <w:p w:rsidR="00EE0C8C" w:rsidRPr="00EE0C8C" w:rsidRDefault="00EE0C8C" w:rsidP="00EE0C8C">
      <w:pPr>
        <w:ind w:left="720"/>
        <w:contextualSpacing/>
        <w:rPr>
          <w:rFonts w:eastAsia="Calibri" w:cs="Times New Roman"/>
          <w:sz w:val="24"/>
          <w:szCs w:val="24"/>
        </w:rPr>
      </w:pPr>
      <w:r w:rsidRPr="00EE0C8C">
        <w:rPr>
          <w:rFonts w:eastAsia="Calibri" w:cs="Times New Roman"/>
          <w:sz w:val="24"/>
          <w:szCs w:val="24"/>
        </w:rPr>
        <w:t>nr 108/4 pow. 0,0928 ha</w:t>
      </w:r>
    </w:p>
    <w:p w:rsidR="00EE0C8C" w:rsidRPr="00EE0C8C" w:rsidRDefault="00EE0C8C" w:rsidP="00EE0C8C">
      <w:pPr>
        <w:ind w:left="720"/>
        <w:contextualSpacing/>
        <w:rPr>
          <w:rFonts w:eastAsia="Calibri" w:cs="Times New Roman"/>
          <w:b/>
          <w:sz w:val="24"/>
          <w:szCs w:val="24"/>
        </w:rPr>
      </w:pPr>
      <w:r w:rsidRPr="00EE0C8C">
        <w:rPr>
          <w:rFonts w:eastAsia="Calibri" w:cs="Times New Roman"/>
          <w:sz w:val="24"/>
          <w:szCs w:val="24"/>
        </w:rPr>
        <w:t xml:space="preserve">Razem: </w:t>
      </w:r>
      <w:r w:rsidRPr="00EE0C8C">
        <w:rPr>
          <w:rFonts w:eastAsia="Calibri" w:cs="Times New Roman"/>
          <w:b/>
          <w:sz w:val="24"/>
          <w:szCs w:val="24"/>
        </w:rPr>
        <w:t xml:space="preserve"> 11,1952 ha</w:t>
      </w:r>
    </w:p>
    <w:p w:rsidR="00EE0C8C" w:rsidRPr="00EE0C8C" w:rsidRDefault="00EE0C8C" w:rsidP="00EE0C8C">
      <w:pPr>
        <w:ind w:left="720"/>
        <w:contextualSpacing/>
        <w:rPr>
          <w:rFonts w:eastAsia="Calibri" w:cs="Times New Roman"/>
          <w:sz w:val="24"/>
          <w:szCs w:val="24"/>
        </w:rPr>
      </w:pPr>
    </w:p>
    <w:p w:rsidR="00EE0C8C" w:rsidRPr="00EE0C8C" w:rsidRDefault="00EE0C8C" w:rsidP="00EE0C8C">
      <w:pPr>
        <w:ind w:left="720"/>
        <w:contextualSpacing/>
        <w:rPr>
          <w:rFonts w:eastAsia="Calibri" w:cs="Times New Roman"/>
          <w:b/>
          <w:sz w:val="24"/>
          <w:szCs w:val="24"/>
        </w:rPr>
      </w:pPr>
      <w:r w:rsidRPr="00EE0C8C">
        <w:rPr>
          <w:rFonts w:eastAsia="Calibri" w:cs="Times New Roman"/>
          <w:sz w:val="24"/>
          <w:szCs w:val="24"/>
        </w:rPr>
        <w:t xml:space="preserve">ŁĄCZNIE GRUNTY GMINNE MIRZEC I I  MIRZEC II TO  POW. </w:t>
      </w:r>
      <w:r w:rsidRPr="00EE0C8C">
        <w:rPr>
          <w:rFonts w:eastAsia="Calibri" w:cs="Times New Roman"/>
          <w:b/>
          <w:sz w:val="24"/>
          <w:szCs w:val="24"/>
        </w:rPr>
        <w:t xml:space="preserve"> 24,0044 ha.</w:t>
      </w:r>
    </w:p>
    <w:p w:rsidR="00EE0C8C" w:rsidRPr="00EE0C8C" w:rsidRDefault="00EE0C8C" w:rsidP="00EE0C8C">
      <w:pPr>
        <w:ind w:left="720"/>
        <w:contextualSpacing/>
        <w:rPr>
          <w:rFonts w:eastAsia="Calibri" w:cs="Times New Roman"/>
          <w:b/>
          <w:sz w:val="24"/>
          <w:szCs w:val="24"/>
        </w:rPr>
      </w:pPr>
      <w:r w:rsidRPr="00EE0C8C">
        <w:rPr>
          <w:rFonts w:eastAsia="Calibri" w:cs="Times New Roman"/>
          <w:b/>
          <w:sz w:val="24"/>
          <w:szCs w:val="24"/>
        </w:rPr>
        <w:t xml:space="preserve"> </w:t>
      </w:r>
    </w:p>
    <w:p w:rsidR="00EE0C8C" w:rsidRPr="00EE0C8C" w:rsidRDefault="00EE0C8C" w:rsidP="00EE0C8C">
      <w:pPr>
        <w:contextualSpacing/>
        <w:rPr>
          <w:rFonts w:eastAsia="Calibri" w:cs="Times New Roman"/>
          <w:b/>
          <w:sz w:val="24"/>
          <w:szCs w:val="24"/>
        </w:rPr>
      </w:pPr>
    </w:p>
    <w:p w:rsidR="00EE0C8C" w:rsidRPr="00EE0C8C" w:rsidRDefault="00EE0C8C" w:rsidP="008903A4">
      <w:pPr>
        <w:pStyle w:val="Nagwek2"/>
        <w:rPr>
          <w:rFonts w:eastAsiaTheme="majorEastAsia"/>
        </w:rPr>
      </w:pPr>
      <w:bookmarkStart w:id="120" w:name="_Toc439157981"/>
      <w:bookmarkStart w:id="121" w:name="_Toc450562523"/>
      <w:r w:rsidRPr="00EE0C8C">
        <w:rPr>
          <w:rFonts w:eastAsiaTheme="majorEastAsia"/>
        </w:rPr>
        <w:t>6.7. OCZEKIWANE WSKAŹNIKI OSIĄGNIĘĆ</w:t>
      </w:r>
      <w:bookmarkEnd w:id="120"/>
      <w:bookmarkEnd w:id="121"/>
    </w:p>
    <w:p w:rsidR="00EE0C8C" w:rsidRPr="00EE0C8C" w:rsidRDefault="00EE0C8C" w:rsidP="00EE0C8C">
      <w:pPr>
        <w:widowControl w:val="0"/>
        <w:spacing w:after="0"/>
        <w:ind w:firstLine="1134"/>
        <w:jc w:val="both"/>
        <w:rPr>
          <w:rFonts w:ascii="Calibri" w:eastAsia="Arial" w:hAnsi="Calibri" w:cs="Times New Roman"/>
          <w:lang w:eastAsia="pl-PL"/>
        </w:rPr>
      </w:pPr>
    </w:p>
    <w:p w:rsidR="00EE0C8C" w:rsidRPr="00EE0C8C" w:rsidRDefault="00EE0C8C" w:rsidP="00EE0C8C">
      <w:pPr>
        <w:widowControl w:val="0"/>
        <w:spacing w:after="0"/>
        <w:jc w:val="both"/>
        <w:rPr>
          <w:rFonts w:ascii="Calibri" w:eastAsia="Arial" w:hAnsi="Calibri" w:cs="Times New Roman"/>
          <w:lang w:eastAsia="pl-PL"/>
        </w:rPr>
      </w:pPr>
      <w:r w:rsidRPr="00EE0C8C">
        <w:rPr>
          <w:rFonts w:ascii="Calibri" w:eastAsia="Arial" w:hAnsi="Calibri" w:cs="Times New Roman"/>
          <w:lang w:eastAsia="pl-PL"/>
        </w:rPr>
        <w:t xml:space="preserve">Realizacja Gminnego </w:t>
      </w:r>
      <w:r w:rsidR="003E259E">
        <w:rPr>
          <w:rFonts w:ascii="Calibri" w:eastAsia="Arial" w:hAnsi="Calibri" w:cs="Times New Roman"/>
          <w:lang w:eastAsia="pl-PL"/>
        </w:rPr>
        <w:t>p</w:t>
      </w:r>
      <w:r w:rsidRPr="00EE0C8C">
        <w:rPr>
          <w:rFonts w:ascii="Calibri" w:eastAsia="Arial" w:hAnsi="Calibri" w:cs="Times New Roman"/>
          <w:lang w:eastAsia="pl-PL"/>
        </w:rPr>
        <w:t xml:space="preserve">rogramu </w:t>
      </w:r>
      <w:r w:rsidR="003E259E">
        <w:rPr>
          <w:rFonts w:ascii="Calibri" w:eastAsia="Arial" w:hAnsi="Calibri" w:cs="Times New Roman"/>
          <w:lang w:eastAsia="pl-PL"/>
        </w:rPr>
        <w:t>r</w:t>
      </w:r>
      <w:r w:rsidRPr="00EE0C8C">
        <w:rPr>
          <w:rFonts w:ascii="Calibri" w:eastAsia="Arial" w:hAnsi="Calibri" w:cs="Times New Roman"/>
          <w:lang w:eastAsia="pl-PL"/>
        </w:rPr>
        <w:t xml:space="preserve">ewitalizacji miejscowości Mirzec na lata 2016-2022wymagać będzie zarówno od Gminy Mirzec, jak i od pozostałych beneficjentów końcowych usytuowanych w obszarze objętym rewitalizacją dużej pracy w zakresie przygotowywania dokumentacji technicznej, studiów wykonalności, wniosków aplikacyjnych. </w:t>
      </w:r>
    </w:p>
    <w:p w:rsidR="00EE0C8C" w:rsidRPr="00EE0C8C" w:rsidRDefault="00EE0C8C" w:rsidP="00EE0C8C">
      <w:pPr>
        <w:widowControl w:val="0"/>
        <w:spacing w:after="0"/>
        <w:jc w:val="both"/>
        <w:rPr>
          <w:rFonts w:ascii="Calibri" w:eastAsia="Arial" w:hAnsi="Calibri" w:cs="Times New Roman"/>
          <w:lang w:eastAsia="pl-PL"/>
        </w:rPr>
      </w:pPr>
    </w:p>
    <w:p w:rsidR="00EE0C8C" w:rsidRPr="00EE0C8C" w:rsidRDefault="00EE0C8C" w:rsidP="00EE0C8C">
      <w:pPr>
        <w:widowControl w:val="0"/>
        <w:spacing w:after="0"/>
        <w:jc w:val="both"/>
        <w:rPr>
          <w:rFonts w:ascii="Calibri" w:eastAsia="Arial" w:hAnsi="Calibri" w:cs="Times New Roman"/>
          <w:lang w:eastAsia="pl-PL"/>
        </w:rPr>
      </w:pPr>
      <w:r w:rsidRPr="00EE0C8C">
        <w:rPr>
          <w:rFonts w:ascii="Calibri" w:eastAsia="Arial" w:hAnsi="Calibri" w:cs="Times New Roman"/>
          <w:lang w:eastAsia="pl-PL"/>
        </w:rPr>
        <w:t xml:space="preserve">Zgodnie z wymogami EFRR, każdy projekt musi mieć zgodnie z zasadą trwałości precyzyjnie określone wskaźniki monitorowania, czyli wskaźniki produktu i rezultatu. Wskaźniki te służą do oceny każdego projektu w trzech fazach: </w:t>
      </w:r>
    </w:p>
    <w:p w:rsidR="00EE0C8C" w:rsidRPr="00EE0C8C" w:rsidRDefault="00EE0C8C" w:rsidP="00EE0C8C">
      <w:pPr>
        <w:spacing w:after="0"/>
        <w:rPr>
          <w:rFonts w:ascii="Calibri" w:eastAsia="Batang" w:hAnsi="Calibri" w:cs="Times New Roman"/>
          <w:b/>
          <w:bCs/>
          <w:lang w:eastAsia="pl-PL"/>
        </w:rPr>
      </w:pPr>
      <w:r w:rsidRPr="00EE0C8C">
        <w:rPr>
          <w:rFonts w:ascii="Calibri" w:eastAsia="Batang" w:hAnsi="Calibri" w:cs="Times New Roman"/>
          <w:b/>
          <w:bCs/>
          <w:lang w:eastAsia="pl-PL"/>
        </w:rPr>
        <w:t xml:space="preserve">I faza – realizacji, </w:t>
      </w:r>
    </w:p>
    <w:p w:rsidR="00EE0C8C" w:rsidRPr="00EE0C8C" w:rsidRDefault="00EE0C8C" w:rsidP="00EE0C8C">
      <w:pPr>
        <w:spacing w:after="0"/>
        <w:rPr>
          <w:rFonts w:ascii="Calibri" w:eastAsia="Batang" w:hAnsi="Calibri" w:cs="Times New Roman"/>
          <w:b/>
          <w:bCs/>
          <w:lang w:eastAsia="pl-PL"/>
        </w:rPr>
      </w:pPr>
      <w:r w:rsidRPr="00EE0C8C">
        <w:rPr>
          <w:rFonts w:ascii="Calibri" w:eastAsia="Batang" w:hAnsi="Calibri" w:cs="Times New Roman"/>
          <w:b/>
          <w:bCs/>
          <w:lang w:eastAsia="pl-PL"/>
        </w:rPr>
        <w:t xml:space="preserve">II faza – zamknięcia inwestycji, </w:t>
      </w:r>
    </w:p>
    <w:p w:rsidR="00EE0C8C" w:rsidRPr="00EE0C8C" w:rsidRDefault="00EE0C8C" w:rsidP="00EE0C8C">
      <w:pPr>
        <w:spacing w:after="0"/>
        <w:rPr>
          <w:rFonts w:ascii="Calibri" w:eastAsia="Batang" w:hAnsi="Calibri" w:cs="Times New Roman"/>
          <w:b/>
          <w:bCs/>
          <w:lang w:eastAsia="pl-PL"/>
        </w:rPr>
      </w:pPr>
      <w:r w:rsidRPr="00EE0C8C">
        <w:rPr>
          <w:rFonts w:ascii="Calibri" w:eastAsia="Batang" w:hAnsi="Calibri" w:cs="Times New Roman"/>
          <w:b/>
          <w:bCs/>
          <w:lang w:eastAsia="pl-PL"/>
        </w:rPr>
        <w:t>III faza – 202</w:t>
      </w:r>
      <w:r w:rsidR="00A25D60">
        <w:rPr>
          <w:rFonts w:ascii="Calibri" w:eastAsia="Batang" w:hAnsi="Calibri" w:cs="Times New Roman"/>
          <w:b/>
          <w:bCs/>
          <w:lang w:eastAsia="pl-PL"/>
        </w:rPr>
        <w:t>2</w:t>
      </w:r>
      <w:r w:rsidRPr="00EE0C8C">
        <w:rPr>
          <w:rFonts w:ascii="Calibri" w:eastAsia="Batang" w:hAnsi="Calibri" w:cs="Times New Roman"/>
          <w:b/>
          <w:bCs/>
          <w:lang w:eastAsia="pl-PL"/>
        </w:rPr>
        <w:t xml:space="preserve"> rok</w:t>
      </w:r>
    </w:p>
    <w:p w:rsidR="00EE0C8C" w:rsidRPr="00EE0C8C" w:rsidRDefault="00EE0C8C" w:rsidP="00EE0C8C">
      <w:pPr>
        <w:spacing w:after="0"/>
        <w:jc w:val="both"/>
        <w:rPr>
          <w:rFonts w:ascii="Calibri" w:eastAsia="Batang" w:hAnsi="Calibri" w:cs="Times New Roman"/>
          <w:lang w:eastAsia="pl-PL"/>
        </w:rPr>
      </w:pPr>
    </w:p>
    <w:p w:rsidR="00EE0C8C" w:rsidRPr="00EE0C8C" w:rsidRDefault="00EE0C8C" w:rsidP="00EE0C8C">
      <w:pPr>
        <w:spacing w:after="0"/>
        <w:jc w:val="both"/>
        <w:rPr>
          <w:rFonts w:ascii="Calibri" w:eastAsia="Batang" w:hAnsi="Calibri" w:cs="Times New Roman"/>
          <w:lang w:eastAsia="pl-PL"/>
        </w:rPr>
      </w:pPr>
      <w:r w:rsidRPr="00EE0C8C">
        <w:rPr>
          <w:rFonts w:ascii="Calibri" w:eastAsia="Batang" w:hAnsi="Calibri" w:cs="Times New Roman"/>
          <w:lang w:eastAsia="pl-PL"/>
        </w:rPr>
        <w:t>Definicje wskaźników:</w:t>
      </w:r>
    </w:p>
    <w:p w:rsidR="00EE0C8C" w:rsidRPr="00EE0C8C" w:rsidRDefault="00EE0C8C" w:rsidP="00EE0C8C">
      <w:pPr>
        <w:spacing w:after="0"/>
        <w:jc w:val="both"/>
        <w:rPr>
          <w:rFonts w:ascii="Calibri" w:eastAsia="Batang" w:hAnsi="Calibri" w:cs="Times New Roman"/>
          <w:lang w:eastAsia="pl-PL"/>
        </w:rPr>
      </w:pPr>
      <w:r w:rsidRPr="00EE0C8C">
        <w:rPr>
          <w:rFonts w:ascii="Calibri" w:eastAsia="Batang" w:hAnsi="Calibri" w:cs="Times New Roman"/>
          <w:b/>
          <w:bCs/>
          <w:lang w:eastAsia="pl-PL"/>
        </w:rPr>
        <w:t xml:space="preserve">PRODUKT – </w:t>
      </w:r>
      <w:r w:rsidRPr="00EE0C8C">
        <w:rPr>
          <w:rFonts w:ascii="Calibri" w:eastAsia="Batang" w:hAnsi="Calibri" w:cs="Times New Roman"/>
          <w:lang w:eastAsia="pl-PL"/>
        </w:rPr>
        <w:t>wynik interwencji w stan aktualny, czyli bezpośredni, materialny efekt realizacji przedsięwzięcia mierzony konkretnymi wielkościami (np. km jezdni).</w:t>
      </w:r>
    </w:p>
    <w:p w:rsidR="00EE0C8C" w:rsidRPr="00EE0C8C" w:rsidRDefault="00EE0C8C" w:rsidP="00EE0C8C">
      <w:pPr>
        <w:spacing w:after="0"/>
        <w:jc w:val="both"/>
        <w:rPr>
          <w:rFonts w:ascii="Calibri" w:eastAsia="Batang" w:hAnsi="Calibri" w:cs="Times New Roman"/>
          <w:lang w:eastAsia="pl-PL"/>
        </w:rPr>
      </w:pPr>
      <w:r w:rsidRPr="00EE0C8C">
        <w:rPr>
          <w:rFonts w:ascii="Calibri" w:eastAsia="Batang" w:hAnsi="Calibri" w:cs="Times New Roman"/>
          <w:b/>
          <w:bCs/>
          <w:lang w:eastAsia="pl-PL"/>
        </w:rPr>
        <w:t xml:space="preserve">REZULTATY – </w:t>
      </w:r>
      <w:r w:rsidRPr="00EE0C8C">
        <w:rPr>
          <w:rFonts w:ascii="Calibri" w:eastAsia="Batang" w:hAnsi="Calibri" w:cs="Times New Roman"/>
          <w:lang w:eastAsia="pl-PL"/>
        </w:rPr>
        <w:t>bezpośrednie i natychmiastowe efekty zrealizowanego programu lub projektu. Rezultaty dostarczają informacji o zmianach, jakie nastąpiły w wyniku wdrożenia programu lub projektu u beneficjentów pomocy, bezpośrednio po uzyskaniu przez nich wsparcia.</w:t>
      </w:r>
    </w:p>
    <w:p w:rsidR="00EE0C8C" w:rsidRPr="00EE0C8C" w:rsidRDefault="00EE0C8C" w:rsidP="00EE0C8C">
      <w:pPr>
        <w:spacing w:after="0"/>
        <w:jc w:val="both"/>
        <w:rPr>
          <w:rFonts w:ascii="Calibri" w:eastAsia="Batang" w:hAnsi="Calibri" w:cs="Times New Roman"/>
          <w:lang w:eastAsia="pl-PL"/>
        </w:rPr>
      </w:pPr>
      <w:r w:rsidRPr="00EE0C8C">
        <w:rPr>
          <w:rFonts w:ascii="Calibri" w:eastAsia="Batang" w:hAnsi="Calibri" w:cs="Times New Roman"/>
          <w:b/>
          <w:lang w:eastAsia="pl-PL"/>
        </w:rPr>
        <w:t>ODDZIAŁYWANIE</w:t>
      </w:r>
      <w:r w:rsidRPr="00EE0C8C">
        <w:rPr>
          <w:rFonts w:ascii="Calibri" w:eastAsia="Batang" w:hAnsi="Calibri" w:cs="Times New Roman"/>
          <w:lang w:eastAsia="pl-PL"/>
        </w:rPr>
        <w:t xml:space="preserve"> - </w:t>
      </w:r>
      <w:r w:rsidRPr="00EE0C8C">
        <w:rPr>
          <w:rFonts w:ascii="Calibri" w:eastAsia="Calibri" w:hAnsi="Calibri" w:cs="Times New Roman"/>
          <w:lang w:eastAsia="pl-PL"/>
        </w:rPr>
        <w:t xml:space="preserve">Wskaźniki odnoszące się do skutków danego programu wykraczających poza natychmiastowe efekty dla beneficjentów (np. wpływ projektu na sytuację społeczno-gospodarczą </w:t>
      </w:r>
      <w:r w:rsidRPr="00EE0C8C">
        <w:rPr>
          <w:rFonts w:ascii="Calibri" w:eastAsia="Calibri" w:hAnsi="Calibri" w:cs="Times New Roman"/>
          <w:lang w:eastAsia="pl-PL"/>
        </w:rPr>
        <w:br/>
        <w:t>w pewnym okresie od zakończenia jego realizacji). Oddziaływanie szczegółowe to te efekty, które pojawią się po pewnym okresie czasu, niemniej jednak są bezpośrednio powiązane z podjętym działaniem. Wskaźniki oddziaływania mogą być bezpośrednie i globalne. Oddziaływania bezpośrednie, są to efekty pojawiające się po pewnym upływie czasu, niemniej jednak są bezpośrednio związane z podjętym działaniem i beneficjentami bezpośrednimi. Oddziaływania globalne to długoterminowe efekty mające wpływ na większą populację.</w:t>
      </w:r>
    </w:p>
    <w:p w:rsidR="00EE0C8C" w:rsidRPr="00EE0C8C" w:rsidRDefault="00EE0C8C" w:rsidP="00EE0C8C">
      <w:pPr>
        <w:spacing w:after="0"/>
        <w:jc w:val="both"/>
        <w:rPr>
          <w:rFonts w:ascii="Calibri" w:eastAsia="Times New Roman" w:hAnsi="Calibri" w:cs="Times New Roman"/>
          <w:lang w:eastAsia="pl-PL"/>
        </w:rPr>
      </w:pPr>
    </w:p>
    <w:p w:rsidR="00EE0C8C" w:rsidRPr="00EE0C8C" w:rsidRDefault="00EE0C8C" w:rsidP="00EE0C8C">
      <w:pPr>
        <w:spacing w:after="0"/>
        <w:jc w:val="both"/>
        <w:rPr>
          <w:rFonts w:ascii="Calibri" w:eastAsia="Times New Roman" w:hAnsi="Calibri" w:cs="Times New Roman"/>
          <w:lang w:eastAsia="pl-PL"/>
        </w:rPr>
      </w:pPr>
      <w:r w:rsidRPr="00EE0C8C">
        <w:rPr>
          <w:rFonts w:ascii="Calibri" w:eastAsia="Times New Roman" w:hAnsi="Calibri" w:cs="Times New Roman"/>
          <w:lang w:eastAsia="pl-PL"/>
        </w:rPr>
        <w:lastRenderedPageBreak/>
        <w:t xml:space="preserve">Część wskaźników szczególnie oddziaływanie ma charakter nie mierzalny lub zostanie osiągnięta </w:t>
      </w:r>
      <w:r w:rsidR="00C255D3">
        <w:rPr>
          <w:rFonts w:ascii="Calibri" w:eastAsia="Times New Roman" w:hAnsi="Calibri" w:cs="Times New Roman"/>
          <w:lang w:eastAsia="pl-PL"/>
        </w:rPr>
        <w:br/>
      </w:r>
      <w:r w:rsidRPr="00EE0C8C">
        <w:rPr>
          <w:rFonts w:ascii="Calibri" w:eastAsia="Times New Roman" w:hAnsi="Calibri" w:cs="Times New Roman"/>
          <w:lang w:eastAsia="pl-PL"/>
        </w:rPr>
        <w:t>w długim okresie czasu, dlatego też zostaną one określone szczegółowo przy opracowywaniu poszczególnych projektów.</w:t>
      </w:r>
    </w:p>
    <w:p w:rsidR="00EE0C8C" w:rsidRPr="00EE0C8C" w:rsidRDefault="00EE0C8C" w:rsidP="00EE0C8C">
      <w:pPr>
        <w:spacing w:after="0"/>
        <w:jc w:val="both"/>
        <w:rPr>
          <w:rFonts w:ascii="Calibri" w:eastAsia="Times New Roman" w:hAnsi="Calibri" w:cs="Times New Roman"/>
          <w:lang w:eastAsia="pl-PL"/>
        </w:rPr>
      </w:pPr>
    </w:p>
    <w:p w:rsidR="00EE0C8C" w:rsidRPr="00EE0C8C" w:rsidRDefault="00EE0C8C" w:rsidP="00EE0C8C">
      <w:pPr>
        <w:spacing w:after="0"/>
        <w:jc w:val="both"/>
        <w:rPr>
          <w:rFonts w:ascii="Calibri" w:eastAsia="Times New Roman" w:hAnsi="Calibri" w:cs="Times New Roman"/>
          <w:lang w:eastAsia="pl-PL"/>
        </w:rPr>
      </w:pPr>
      <w:r w:rsidRPr="00EE0C8C">
        <w:rPr>
          <w:rFonts w:ascii="Calibri" w:eastAsia="Times New Roman" w:hAnsi="Calibri" w:cs="Times New Roman"/>
          <w:lang w:eastAsia="pl-PL"/>
        </w:rPr>
        <w:t>Zrealizowane projekty inwestycyjne będą analizowane pod katem osiągniętych niżej wskaźników.</w:t>
      </w:r>
    </w:p>
    <w:p w:rsidR="00EE0C8C" w:rsidRPr="00EE0C8C" w:rsidRDefault="00EE0C8C" w:rsidP="00EE0C8C">
      <w:pPr>
        <w:ind w:firstLine="1134"/>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5"/>
        <w:gridCol w:w="72"/>
        <w:gridCol w:w="1341"/>
        <w:gridCol w:w="70"/>
        <w:gridCol w:w="1253"/>
        <w:gridCol w:w="227"/>
        <w:gridCol w:w="980"/>
        <w:gridCol w:w="38"/>
        <w:gridCol w:w="1670"/>
      </w:tblGrid>
      <w:tr w:rsidR="00EE0C8C" w:rsidRPr="00EE0C8C" w:rsidTr="00A76BDB">
        <w:tc>
          <w:tcPr>
            <w:tcW w:w="9286" w:type="dxa"/>
            <w:gridSpan w:val="9"/>
            <w:shd w:val="clear" w:color="auto" w:fill="FF5050"/>
          </w:tcPr>
          <w:p w:rsidR="00EE0C8C" w:rsidRPr="00EE0C8C" w:rsidRDefault="00EE0C8C" w:rsidP="00EE0C8C">
            <w:pPr>
              <w:spacing w:after="0" w:line="240" w:lineRule="auto"/>
              <w:jc w:val="center"/>
              <w:rPr>
                <w:rFonts w:ascii="Times New Roman" w:eastAsia="Calibri" w:hAnsi="Times New Roman" w:cs="Times New Roman"/>
                <w:b/>
                <w:sz w:val="24"/>
                <w:lang w:eastAsia="pl-PL"/>
              </w:rPr>
            </w:pPr>
            <w:r w:rsidRPr="00EE0C8C">
              <w:rPr>
                <w:rFonts w:ascii="Times New Roman" w:eastAsia="Calibri" w:hAnsi="Times New Roman" w:cs="Times New Roman"/>
                <w:b/>
                <w:sz w:val="24"/>
                <w:lang w:eastAsia="pl-PL"/>
              </w:rPr>
              <w:t>WSKAŹNIK PRODUKTU</w:t>
            </w:r>
          </w:p>
        </w:tc>
      </w:tr>
      <w:tr w:rsidR="00EE0C8C" w:rsidRPr="00EE0C8C" w:rsidTr="00A76BDB">
        <w:tc>
          <w:tcPr>
            <w:tcW w:w="3635" w:type="dxa"/>
            <w:shd w:val="clear" w:color="auto" w:fill="F28C93"/>
          </w:tcPr>
          <w:p w:rsidR="00EE0C8C" w:rsidRPr="00EE0C8C" w:rsidRDefault="00EE0C8C" w:rsidP="00EE0C8C">
            <w:pPr>
              <w:spacing w:after="0" w:line="240" w:lineRule="auto"/>
              <w:jc w:val="center"/>
              <w:rPr>
                <w:rFonts w:ascii="Times New Roman" w:eastAsia="Calibri" w:hAnsi="Times New Roman" w:cs="Times New Roman"/>
                <w:b/>
                <w:sz w:val="24"/>
                <w:lang w:eastAsia="pl-PL"/>
              </w:rPr>
            </w:pPr>
            <w:r w:rsidRPr="00EE0C8C">
              <w:rPr>
                <w:rFonts w:ascii="Times New Roman" w:eastAsia="Calibri" w:hAnsi="Times New Roman" w:cs="Times New Roman"/>
                <w:b/>
                <w:sz w:val="24"/>
                <w:lang w:eastAsia="pl-PL"/>
              </w:rPr>
              <w:t>WSKAŹNIK PRODUKTU</w:t>
            </w:r>
          </w:p>
        </w:tc>
        <w:tc>
          <w:tcPr>
            <w:tcW w:w="1413" w:type="dxa"/>
            <w:gridSpan w:val="2"/>
            <w:shd w:val="clear" w:color="auto" w:fill="F28C93"/>
          </w:tcPr>
          <w:p w:rsidR="00EE0C8C" w:rsidRPr="00EE0C8C" w:rsidRDefault="00EE0C8C" w:rsidP="00EE0C8C">
            <w:pPr>
              <w:spacing w:after="0" w:line="240" w:lineRule="auto"/>
              <w:jc w:val="center"/>
              <w:rPr>
                <w:rFonts w:ascii="Times New Roman" w:eastAsia="Calibri" w:hAnsi="Times New Roman" w:cs="Times New Roman"/>
                <w:b/>
                <w:sz w:val="24"/>
                <w:lang w:eastAsia="pl-PL"/>
              </w:rPr>
            </w:pPr>
            <w:r w:rsidRPr="00EE0C8C">
              <w:rPr>
                <w:rFonts w:ascii="Times New Roman" w:eastAsia="Calibri" w:hAnsi="Times New Roman" w:cs="Times New Roman"/>
                <w:b/>
                <w:sz w:val="24"/>
                <w:lang w:eastAsia="pl-PL"/>
              </w:rPr>
              <w:t>ŹRÓDŁO DANYCH</w:t>
            </w:r>
          </w:p>
        </w:tc>
        <w:tc>
          <w:tcPr>
            <w:tcW w:w="1550" w:type="dxa"/>
            <w:gridSpan w:val="3"/>
            <w:shd w:val="clear" w:color="auto" w:fill="F28C93"/>
          </w:tcPr>
          <w:p w:rsidR="00EE0C8C" w:rsidRPr="00EE0C8C" w:rsidRDefault="00EE0C8C" w:rsidP="00EE0C8C">
            <w:pPr>
              <w:spacing w:after="0" w:line="240" w:lineRule="auto"/>
              <w:jc w:val="center"/>
              <w:rPr>
                <w:rFonts w:ascii="Times New Roman" w:eastAsia="Calibri" w:hAnsi="Times New Roman" w:cs="Times New Roman"/>
                <w:b/>
                <w:sz w:val="24"/>
                <w:lang w:eastAsia="pl-PL"/>
              </w:rPr>
            </w:pPr>
            <w:r w:rsidRPr="00EE0C8C">
              <w:rPr>
                <w:rFonts w:ascii="Times New Roman" w:eastAsia="Calibri" w:hAnsi="Times New Roman" w:cs="Times New Roman"/>
                <w:b/>
                <w:sz w:val="24"/>
                <w:lang w:eastAsia="pl-PL"/>
              </w:rPr>
              <w:t>JEDN. MIARY</w:t>
            </w:r>
          </w:p>
        </w:tc>
        <w:tc>
          <w:tcPr>
            <w:tcW w:w="1018" w:type="dxa"/>
            <w:gridSpan w:val="2"/>
            <w:shd w:val="clear" w:color="auto" w:fill="F28C93"/>
          </w:tcPr>
          <w:p w:rsidR="00EE0C8C" w:rsidRPr="00EE0C8C" w:rsidRDefault="00EE0C8C" w:rsidP="00EE0C8C">
            <w:pPr>
              <w:spacing w:after="0" w:line="240" w:lineRule="auto"/>
              <w:jc w:val="center"/>
              <w:rPr>
                <w:rFonts w:ascii="Times New Roman" w:eastAsia="Calibri" w:hAnsi="Times New Roman" w:cs="Times New Roman"/>
                <w:b/>
                <w:sz w:val="24"/>
                <w:lang w:eastAsia="pl-PL"/>
              </w:rPr>
            </w:pPr>
            <w:r w:rsidRPr="00EE0C8C">
              <w:rPr>
                <w:rFonts w:ascii="Times New Roman" w:eastAsia="Calibri" w:hAnsi="Times New Roman" w:cs="Times New Roman"/>
                <w:b/>
                <w:sz w:val="24"/>
                <w:lang w:eastAsia="pl-PL"/>
              </w:rPr>
              <w:t>ROK 2015</w:t>
            </w:r>
          </w:p>
        </w:tc>
        <w:tc>
          <w:tcPr>
            <w:tcW w:w="1670" w:type="dxa"/>
            <w:shd w:val="clear" w:color="auto" w:fill="F28C93"/>
          </w:tcPr>
          <w:p w:rsidR="00EE0C8C" w:rsidRPr="00EE0C8C" w:rsidRDefault="00EE0C8C" w:rsidP="00EE0C8C">
            <w:pPr>
              <w:spacing w:after="0" w:line="240" w:lineRule="auto"/>
              <w:jc w:val="center"/>
              <w:rPr>
                <w:rFonts w:ascii="Times New Roman" w:eastAsia="Calibri" w:hAnsi="Times New Roman" w:cs="Times New Roman"/>
                <w:b/>
                <w:sz w:val="24"/>
                <w:lang w:eastAsia="pl-PL"/>
              </w:rPr>
            </w:pPr>
            <w:r w:rsidRPr="00EE0C8C">
              <w:rPr>
                <w:rFonts w:ascii="Times New Roman" w:eastAsia="Calibri" w:hAnsi="Times New Roman" w:cs="Times New Roman"/>
                <w:b/>
                <w:sz w:val="24"/>
                <w:lang w:eastAsia="pl-PL"/>
              </w:rPr>
              <w:t>STAN NA ROK 2022</w:t>
            </w:r>
            <w:r w:rsidRPr="00EE0C8C">
              <w:rPr>
                <w:rFonts w:ascii="Times New Roman" w:eastAsia="Calibri" w:hAnsi="Times New Roman" w:cs="Times New Roman"/>
                <w:b/>
                <w:sz w:val="24"/>
                <w:lang w:eastAsia="pl-PL"/>
              </w:rPr>
              <w:br/>
              <w:t>WSKAŹNIK DOCELOWY</w:t>
            </w:r>
          </w:p>
        </w:tc>
      </w:tr>
      <w:tr w:rsidR="00EE0C8C" w:rsidRPr="00EE0C8C" w:rsidTr="00A76BDB">
        <w:tc>
          <w:tcPr>
            <w:tcW w:w="3635" w:type="dxa"/>
            <w:shd w:val="clear" w:color="auto" w:fill="auto"/>
          </w:tcPr>
          <w:p w:rsidR="00EE0C8C" w:rsidRPr="00EE0C8C" w:rsidRDefault="00EE0C8C" w:rsidP="00EE0C8C">
            <w:pPr>
              <w:spacing w:after="0" w:line="240" w:lineRule="auto"/>
              <w:jc w:val="both"/>
              <w:rPr>
                <w:rFonts w:ascii="Times New Roman" w:eastAsia="Calibri" w:hAnsi="Times New Roman" w:cs="Times New Roman"/>
                <w:sz w:val="24"/>
                <w:lang w:eastAsia="pl-PL"/>
              </w:rPr>
            </w:pPr>
            <w:r w:rsidRPr="00EE0C8C">
              <w:rPr>
                <w:rFonts w:ascii="Times New Roman" w:eastAsia="Calibri" w:hAnsi="Times New Roman" w:cs="Times New Roman"/>
                <w:sz w:val="24"/>
                <w:lang w:eastAsia="pl-PL"/>
              </w:rPr>
              <w:t xml:space="preserve">Powierzchnia zmodernizowanych </w:t>
            </w:r>
            <w:r w:rsidRPr="00EE0C8C">
              <w:rPr>
                <w:rFonts w:ascii="Times New Roman" w:eastAsia="Calibri" w:hAnsi="Times New Roman" w:cs="Times New Roman"/>
                <w:sz w:val="24"/>
                <w:lang w:eastAsia="pl-PL"/>
              </w:rPr>
              <w:br/>
              <w:t>i zrewaloryzowanych obiektów infrastruktury kultury i oświaty</w:t>
            </w:r>
          </w:p>
        </w:tc>
        <w:tc>
          <w:tcPr>
            <w:tcW w:w="1413" w:type="dxa"/>
            <w:gridSpan w:val="2"/>
            <w:shd w:val="clear" w:color="auto" w:fill="auto"/>
          </w:tcPr>
          <w:p w:rsidR="00EE0C8C" w:rsidRPr="00EE0C8C" w:rsidRDefault="00EE0C8C" w:rsidP="00EE0C8C">
            <w:pPr>
              <w:spacing w:after="0" w:line="240" w:lineRule="auto"/>
              <w:jc w:val="both"/>
              <w:rPr>
                <w:rFonts w:ascii="Times New Roman" w:eastAsia="Calibri" w:hAnsi="Times New Roman" w:cs="Times New Roman"/>
                <w:sz w:val="24"/>
                <w:lang w:eastAsia="pl-PL"/>
              </w:rPr>
            </w:pPr>
            <w:r w:rsidRPr="00EE0C8C">
              <w:rPr>
                <w:rFonts w:ascii="Times New Roman" w:eastAsia="Calibri" w:hAnsi="Times New Roman" w:cs="Times New Roman"/>
                <w:sz w:val="24"/>
                <w:lang w:eastAsia="pl-PL"/>
              </w:rPr>
              <w:t>Monitoring własny</w:t>
            </w:r>
          </w:p>
        </w:tc>
        <w:tc>
          <w:tcPr>
            <w:tcW w:w="1550" w:type="dxa"/>
            <w:gridSpan w:val="3"/>
            <w:shd w:val="clear" w:color="auto" w:fill="auto"/>
          </w:tcPr>
          <w:p w:rsidR="00EE0C8C" w:rsidRPr="00EE0C8C" w:rsidRDefault="00EE0C8C" w:rsidP="00EE0C8C">
            <w:pPr>
              <w:spacing w:after="0" w:line="240" w:lineRule="auto"/>
              <w:jc w:val="both"/>
              <w:rPr>
                <w:rFonts w:ascii="Times New Roman" w:eastAsia="Calibri" w:hAnsi="Times New Roman" w:cs="Times New Roman"/>
                <w:sz w:val="24"/>
                <w:lang w:eastAsia="pl-PL"/>
              </w:rPr>
            </w:pPr>
            <w:r w:rsidRPr="00EE0C8C">
              <w:rPr>
                <w:rFonts w:ascii="Times New Roman" w:eastAsia="Calibri" w:hAnsi="Times New Roman" w:cs="Times New Roman"/>
                <w:sz w:val="24"/>
                <w:lang w:eastAsia="pl-PL"/>
              </w:rPr>
              <w:t>ha</w:t>
            </w:r>
          </w:p>
        </w:tc>
        <w:tc>
          <w:tcPr>
            <w:tcW w:w="1018" w:type="dxa"/>
            <w:gridSpan w:val="2"/>
            <w:shd w:val="clear" w:color="auto" w:fill="auto"/>
          </w:tcPr>
          <w:p w:rsidR="00EE0C8C" w:rsidRPr="00EE0C8C" w:rsidRDefault="00EE0C8C" w:rsidP="00EE0C8C">
            <w:pPr>
              <w:spacing w:after="0" w:line="240" w:lineRule="auto"/>
              <w:jc w:val="both"/>
              <w:rPr>
                <w:rFonts w:ascii="Times New Roman" w:eastAsia="Calibri" w:hAnsi="Times New Roman" w:cs="Times New Roman"/>
                <w:sz w:val="24"/>
                <w:lang w:eastAsia="pl-PL"/>
              </w:rPr>
            </w:pPr>
            <w:r w:rsidRPr="00EE0C8C">
              <w:rPr>
                <w:rFonts w:ascii="Times New Roman" w:eastAsia="Calibri" w:hAnsi="Times New Roman" w:cs="Times New Roman"/>
                <w:sz w:val="24"/>
                <w:lang w:eastAsia="pl-PL"/>
              </w:rPr>
              <w:t>0</w:t>
            </w:r>
          </w:p>
        </w:tc>
        <w:tc>
          <w:tcPr>
            <w:tcW w:w="1670" w:type="dxa"/>
            <w:shd w:val="clear" w:color="auto" w:fill="auto"/>
          </w:tcPr>
          <w:p w:rsidR="00EE0C8C" w:rsidRPr="00EE0C8C" w:rsidRDefault="00A25D60" w:rsidP="00EE0C8C">
            <w:pPr>
              <w:spacing w:after="0" w:line="240" w:lineRule="auto"/>
              <w:jc w:val="both"/>
              <w:rPr>
                <w:rFonts w:ascii="Times New Roman" w:eastAsia="Calibri" w:hAnsi="Times New Roman" w:cs="Times New Roman"/>
                <w:sz w:val="24"/>
                <w:lang w:eastAsia="pl-PL"/>
              </w:rPr>
            </w:pPr>
            <w:r>
              <w:rPr>
                <w:rFonts w:ascii="Times New Roman" w:eastAsia="Calibri" w:hAnsi="Times New Roman" w:cs="Times New Roman"/>
                <w:sz w:val="24"/>
                <w:lang w:eastAsia="pl-PL"/>
              </w:rPr>
              <w:t>6,08</w:t>
            </w:r>
          </w:p>
        </w:tc>
      </w:tr>
      <w:tr w:rsidR="00EE0C8C" w:rsidRPr="00EE0C8C" w:rsidTr="00A76BDB">
        <w:tc>
          <w:tcPr>
            <w:tcW w:w="3635" w:type="dxa"/>
            <w:shd w:val="clear" w:color="auto" w:fill="auto"/>
          </w:tcPr>
          <w:p w:rsidR="00EE0C8C" w:rsidRPr="00EE0C8C" w:rsidRDefault="00EE0C8C" w:rsidP="00EE0C8C">
            <w:pPr>
              <w:spacing w:after="0" w:line="240" w:lineRule="auto"/>
              <w:jc w:val="both"/>
              <w:rPr>
                <w:rFonts w:ascii="Times New Roman" w:eastAsia="Calibri" w:hAnsi="Times New Roman" w:cs="Times New Roman"/>
                <w:sz w:val="24"/>
                <w:lang w:eastAsia="pl-PL"/>
              </w:rPr>
            </w:pPr>
            <w:r w:rsidRPr="00EE0C8C">
              <w:rPr>
                <w:rFonts w:ascii="Times New Roman" w:eastAsia="Calibri" w:hAnsi="Times New Roman" w:cs="Times New Roman"/>
                <w:sz w:val="24"/>
                <w:lang w:eastAsia="pl-PL"/>
              </w:rPr>
              <w:t xml:space="preserve">Obszar poddany rewitalizacji </w:t>
            </w:r>
          </w:p>
        </w:tc>
        <w:tc>
          <w:tcPr>
            <w:tcW w:w="1413" w:type="dxa"/>
            <w:gridSpan w:val="2"/>
            <w:shd w:val="clear" w:color="auto" w:fill="auto"/>
          </w:tcPr>
          <w:p w:rsidR="00EE0C8C" w:rsidRPr="00EE0C8C" w:rsidRDefault="00EE0C8C" w:rsidP="00EE0C8C">
            <w:pPr>
              <w:spacing w:after="0" w:line="240" w:lineRule="auto"/>
              <w:jc w:val="both"/>
              <w:rPr>
                <w:rFonts w:ascii="Times New Roman" w:eastAsia="Calibri" w:hAnsi="Times New Roman" w:cs="Times New Roman"/>
                <w:sz w:val="24"/>
                <w:lang w:eastAsia="pl-PL"/>
              </w:rPr>
            </w:pPr>
            <w:r w:rsidRPr="00EE0C8C">
              <w:rPr>
                <w:rFonts w:ascii="Times New Roman" w:eastAsia="Calibri" w:hAnsi="Times New Roman" w:cs="Times New Roman"/>
                <w:sz w:val="24"/>
                <w:lang w:eastAsia="pl-PL"/>
              </w:rPr>
              <w:t>Monitoring własny</w:t>
            </w:r>
          </w:p>
        </w:tc>
        <w:tc>
          <w:tcPr>
            <w:tcW w:w="1550" w:type="dxa"/>
            <w:gridSpan w:val="3"/>
            <w:shd w:val="clear" w:color="auto" w:fill="auto"/>
          </w:tcPr>
          <w:p w:rsidR="00EE0C8C" w:rsidRPr="00EE0C8C" w:rsidRDefault="00EE0C8C" w:rsidP="00EE0C8C">
            <w:pPr>
              <w:spacing w:after="0" w:line="240" w:lineRule="auto"/>
              <w:jc w:val="both"/>
              <w:rPr>
                <w:rFonts w:ascii="Times New Roman" w:eastAsia="Calibri" w:hAnsi="Times New Roman" w:cs="Times New Roman"/>
                <w:sz w:val="24"/>
                <w:lang w:eastAsia="pl-PL"/>
              </w:rPr>
            </w:pPr>
            <w:r w:rsidRPr="00EE0C8C">
              <w:rPr>
                <w:rFonts w:ascii="Times New Roman" w:eastAsia="Calibri" w:hAnsi="Times New Roman" w:cs="Times New Roman"/>
                <w:sz w:val="24"/>
                <w:lang w:eastAsia="pl-PL"/>
              </w:rPr>
              <w:t>ha</w:t>
            </w:r>
          </w:p>
        </w:tc>
        <w:tc>
          <w:tcPr>
            <w:tcW w:w="1018" w:type="dxa"/>
            <w:gridSpan w:val="2"/>
            <w:shd w:val="clear" w:color="auto" w:fill="auto"/>
          </w:tcPr>
          <w:p w:rsidR="00EE0C8C" w:rsidRPr="00EE0C8C" w:rsidRDefault="00EE0C8C" w:rsidP="00EE0C8C">
            <w:pPr>
              <w:spacing w:after="0" w:line="240" w:lineRule="auto"/>
              <w:jc w:val="both"/>
              <w:rPr>
                <w:rFonts w:ascii="Times New Roman" w:eastAsia="Calibri" w:hAnsi="Times New Roman" w:cs="Times New Roman"/>
                <w:sz w:val="24"/>
                <w:lang w:eastAsia="pl-PL"/>
              </w:rPr>
            </w:pPr>
            <w:r w:rsidRPr="00EE0C8C">
              <w:rPr>
                <w:rFonts w:ascii="Times New Roman" w:eastAsia="Calibri" w:hAnsi="Times New Roman" w:cs="Times New Roman"/>
                <w:sz w:val="24"/>
                <w:lang w:eastAsia="pl-PL"/>
              </w:rPr>
              <w:t>0</w:t>
            </w:r>
          </w:p>
        </w:tc>
        <w:tc>
          <w:tcPr>
            <w:tcW w:w="1670" w:type="dxa"/>
            <w:shd w:val="clear" w:color="auto" w:fill="auto"/>
          </w:tcPr>
          <w:p w:rsidR="00EE0C8C" w:rsidRPr="00EE0C8C" w:rsidRDefault="00B41986" w:rsidP="00EE0C8C">
            <w:pPr>
              <w:spacing w:after="0" w:line="240" w:lineRule="auto"/>
              <w:jc w:val="both"/>
              <w:rPr>
                <w:rFonts w:ascii="Times New Roman" w:eastAsia="Calibri" w:hAnsi="Times New Roman" w:cs="Times New Roman"/>
                <w:sz w:val="24"/>
                <w:lang w:eastAsia="pl-PL"/>
              </w:rPr>
            </w:pPr>
            <w:r>
              <w:rPr>
                <w:rFonts w:ascii="Times New Roman" w:eastAsia="Calibri" w:hAnsi="Times New Roman" w:cs="Times New Roman"/>
                <w:sz w:val="24"/>
                <w:lang w:eastAsia="pl-PL"/>
              </w:rPr>
              <w:t>1478,1</w:t>
            </w:r>
          </w:p>
        </w:tc>
      </w:tr>
      <w:tr w:rsidR="00EE0C8C" w:rsidRPr="00EE0C8C" w:rsidTr="00A76BDB">
        <w:tc>
          <w:tcPr>
            <w:tcW w:w="9286" w:type="dxa"/>
            <w:gridSpan w:val="9"/>
            <w:tcBorders>
              <w:left w:val="nil"/>
              <w:right w:val="nil"/>
            </w:tcBorders>
            <w:shd w:val="clear" w:color="auto" w:fill="auto"/>
          </w:tcPr>
          <w:p w:rsidR="00EE0C8C" w:rsidRPr="00EE0C8C" w:rsidRDefault="00EE0C8C" w:rsidP="00EE0C8C">
            <w:pPr>
              <w:spacing w:after="0" w:line="240" w:lineRule="auto"/>
              <w:jc w:val="both"/>
              <w:rPr>
                <w:rFonts w:ascii="Times New Roman" w:eastAsia="Calibri" w:hAnsi="Times New Roman" w:cs="Times New Roman"/>
                <w:sz w:val="24"/>
                <w:lang w:eastAsia="pl-PL"/>
              </w:rPr>
            </w:pPr>
          </w:p>
        </w:tc>
      </w:tr>
      <w:tr w:rsidR="00EE0C8C" w:rsidRPr="00EE0C8C" w:rsidTr="00A76BDB">
        <w:tc>
          <w:tcPr>
            <w:tcW w:w="9286" w:type="dxa"/>
            <w:gridSpan w:val="9"/>
            <w:shd w:val="clear" w:color="auto" w:fill="97BFA6"/>
            <w:vAlign w:val="center"/>
          </w:tcPr>
          <w:p w:rsidR="00EE0C8C" w:rsidRPr="00EE0C8C" w:rsidRDefault="00EE0C8C" w:rsidP="00EE0C8C">
            <w:pPr>
              <w:spacing w:after="0" w:line="240" w:lineRule="auto"/>
              <w:jc w:val="center"/>
              <w:rPr>
                <w:rFonts w:ascii="Times New Roman" w:eastAsia="Calibri" w:hAnsi="Times New Roman" w:cs="Times New Roman"/>
                <w:b/>
                <w:sz w:val="24"/>
                <w:lang w:eastAsia="pl-PL"/>
              </w:rPr>
            </w:pPr>
            <w:r w:rsidRPr="00EE0C8C">
              <w:rPr>
                <w:rFonts w:ascii="Times New Roman" w:eastAsia="Calibri" w:hAnsi="Times New Roman" w:cs="Times New Roman"/>
                <w:b/>
                <w:sz w:val="24"/>
                <w:lang w:eastAsia="pl-PL"/>
              </w:rPr>
              <w:t>WSKAŹNIK REZULTATU</w:t>
            </w:r>
          </w:p>
        </w:tc>
      </w:tr>
      <w:tr w:rsidR="00EE0C8C" w:rsidRPr="00EE0C8C" w:rsidTr="00A76BDB">
        <w:tc>
          <w:tcPr>
            <w:tcW w:w="3707" w:type="dxa"/>
            <w:gridSpan w:val="2"/>
            <w:shd w:val="clear" w:color="auto" w:fill="D4E4DA"/>
          </w:tcPr>
          <w:p w:rsidR="00EE0C8C" w:rsidRPr="00EE0C8C" w:rsidRDefault="00EE0C8C" w:rsidP="00EE0C8C">
            <w:pPr>
              <w:spacing w:after="0" w:line="240" w:lineRule="auto"/>
              <w:jc w:val="center"/>
              <w:rPr>
                <w:rFonts w:ascii="Times New Roman" w:eastAsia="Calibri" w:hAnsi="Times New Roman" w:cs="Times New Roman"/>
                <w:b/>
                <w:sz w:val="24"/>
                <w:lang w:eastAsia="pl-PL"/>
              </w:rPr>
            </w:pPr>
            <w:r w:rsidRPr="00EE0C8C">
              <w:rPr>
                <w:rFonts w:ascii="Times New Roman" w:eastAsia="Calibri" w:hAnsi="Times New Roman" w:cs="Times New Roman"/>
                <w:b/>
                <w:sz w:val="24"/>
                <w:lang w:eastAsia="pl-PL"/>
              </w:rPr>
              <w:t>WSKAŹNIK PRODUKTU</w:t>
            </w:r>
          </w:p>
        </w:tc>
        <w:tc>
          <w:tcPr>
            <w:tcW w:w="1341" w:type="dxa"/>
            <w:shd w:val="clear" w:color="auto" w:fill="D4E4DA"/>
          </w:tcPr>
          <w:p w:rsidR="00EE0C8C" w:rsidRPr="00EE0C8C" w:rsidRDefault="00EE0C8C" w:rsidP="00EE0C8C">
            <w:pPr>
              <w:spacing w:after="0" w:line="240" w:lineRule="auto"/>
              <w:jc w:val="center"/>
              <w:rPr>
                <w:rFonts w:ascii="Times New Roman" w:eastAsia="Calibri" w:hAnsi="Times New Roman" w:cs="Times New Roman"/>
                <w:b/>
                <w:sz w:val="24"/>
                <w:lang w:eastAsia="pl-PL"/>
              </w:rPr>
            </w:pPr>
            <w:r w:rsidRPr="00EE0C8C">
              <w:rPr>
                <w:rFonts w:ascii="Times New Roman" w:eastAsia="Calibri" w:hAnsi="Times New Roman" w:cs="Times New Roman"/>
                <w:b/>
                <w:sz w:val="24"/>
                <w:lang w:eastAsia="pl-PL"/>
              </w:rPr>
              <w:t>ŹRÓDŁO DANYCH</w:t>
            </w:r>
          </w:p>
        </w:tc>
        <w:tc>
          <w:tcPr>
            <w:tcW w:w="1323" w:type="dxa"/>
            <w:gridSpan w:val="2"/>
            <w:shd w:val="clear" w:color="auto" w:fill="D4E4DA"/>
          </w:tcPr>
          <w:p w:rsidR="00EE0C8C" w:rsidRPr="00EE0C8C" w:rsidRDefault="00EE0C8C" w:rsidP="00EE0C8C">
            <w:pPr>
              <w:spacing w:after="0" w:line="240" w:lineRule="auto"/>
              <w:jc w:val="center"/>
              <w:rPr>
                <w:rFonts w:ascii="Times New Roman" w:eastAsia="Calibri" w:hAnsi="Times New Roman" w:cs="Times New Roman"/>
                <w:b/>
                <w:sz w:val="24"/>
                <w:lang w:eastAsia="pl-PL"/>
              </w:rPr>
            </w:pPr>
            <w:r w:rsidRPr="00EE0C8C">
              <w:rPr>
                <w:rFonts w:ascii="Times New Roman" w:eastAsia="Calibri" w:hAnsi="Times New Roman" w:cs="Times New Roman"/>
                <w:b/>
                <w:sz w:val="24"/>
                <w:lang w:eastAsia="pl-PL"/>
              </w:rPr>
              <w:t>JEDN. MIARY</w:t>
            </w:r>
          </w:p>
        </w:tc>
        <w:tc>
          <w:tcPr>
            <w:tcW w:w="1207" w:type="dxa"/>
            <w:gridSpan w:val="2"/>
            <w:shd w:val="clear" w:color="auto" w:fill="D4E4DA"/>
          </w:tcPr>
          <w:p w:rsidR="00EE0C8C" w:rsidRPr="00EE0C8C" w:rsidRDefault="00EE0C8C" w:rsidP="00EE0C8C">
            <w:pPr>
              <w:spacing w:after="0" w:line="240" w:lineRule="auto"/>
              <w:jc w:val="center"/>
              <w:rPr>
                <w:rFonts w:ascii="Times New Roman" w:eastAsia="Calibri" w:hAnsi="Times New Roman" w:cs="Times New Roman"/>
                <w:b/>
                <w:sz w:val="24"/>
                <w:lang w:eastAsia="pl-PL"/>
              </w:rPr>
            </w:pPr>
            <w:r w:rsidRPr="00EE0C8C">
              <w:rPr>
                <w:rFonts w:ascii="Times New Roman" w:eastAsia="Calibri" w:hAnsi="Times New Roman" w:cs="Times New Roman"/>
                <w:b/>
                <w:sz w:val="24"/>
                <w:lang w:eastAsia="pl-PL"/>
              </w:rPr>
              <w:t>ROK 2015</w:t>
            </w:r>
          </w:p>
        </w:tc>
        <w:tc>
          <w:tcPr>
            <w:tcW w:w="1708" w:type="dxa"/>
            <w:gridSpan w:val="2"/>
            <w:shd w:val="clear" w:color="auto" w:fill="D4E4DA"/>
          </w:tcPr>
          <w:p w:rsidR="00EE0C8C" w:rsidRPr="00EE0C8C" w:rsidRDefault="00EE0C8C" w:rsidP="00EE0C8C">
            <w:pPr>
              <w:spacing w:after="0" w:line="240" w:lineRule="auto"/>
              <w:jc w:val="center"/>
              <w:rPr>
                <w:rFonts w:ascii="Times New Roman" w:eastAsia="Calibri" w:hAnsi="Times New Roman" w:cs="Times New Roman"/>
                <w:b/>
                <w:sz w:val="24"/>
                <w:lang w:eastAsia="pl-PL"/>
              </w:rPr>
            </w:pPr>
            <w:r w:rsidRPr="00EE0C8C">
              <w:rPr>
                <w:rFonts w:ascii="Times New Roman" w:eastAsia="Calibri" w:hAnsi="Times New Roman" w:cs="Times New Roman"/>
                <w:b/>
                <w:sz w:val="24"/>
                <w:lang w:eastAsia="pl-PL"/>
              </w:rPr>
              <w:t>STAN NA ROK 2022</w:t>
            </w:r>
            <w:r w:rsidRPr="00EE0C8C">
              <w:rPr>
                <w:rFonts w:ascii="Times New Roman" w:eastAsia="Calibri" w:hAnsi="Times New Roman" w:cs="Times New Roman"/>
                <w:b/>
                <w:sz w:val="24"/>
                <w:lang w:eastAsia="pl-PL"/>
              </w:rPr>
              <w:br/>
              <w:t>WSKAŹNIK DOCELOWY</w:t>
            </w:r>
          </w:p>
        </w:tc>
      </w:tr>
      <w:tr w:rsidR="00EE0C8C" w:rsidRPr="00EE0C8C" w:rsidTr="00A76BDB">
        <w:tc>
          <w:tcPr>
            <w:tcW w:w="3707" w:type="dxa"/>
            <w:gridSpan w:val="2"/>
            <w:shd w:val="clear" w:color="auto" w:fill="auto"/>
          </w:tcPr>
          <w:p w:rsidR="00EE0C8C" w:rsidRPr="00EE0C8C" w:rsidRDefault="00EE0C8C" w:rsidP="00EE0C8C">
            <w:pPr>
              <w:spacing w:after="0" w:line="240" w:lineRule="auto"/>
              <w:jc w:val="both"/>
              <w:rPr>
                <w:rFonts w:ascii="Times New Roman" w:eastAsia="Calibri" w:hAnsi="Times New Roman" w:cs="Times New Roman"/>
                <w:sz w:val="24"/>
                <w:lang w:eastAsia="pl-PL"/>
              </w:rPr>
            </w:pPr>
            <w:r w:rsidRPr="00EE0C8C">
              <w:rPr>
                <w:rFonts w:ascii="Times New Roman" w:eastAsia="Calibri" w:hAnsi="Times New Roman" w:cs="Times New Roman"/>
                <w:sz w:val="24"/>
                <w:lang w:eastAsia="pl-PL"/>
              </w:rPr>
              <w:t>Wartość zadań inwestycyjnych</w:t>
            </w:r>
          </w:p>
        </w:tc>
        <w:tc>
          <w:tcPr>
            <w:tcW w:w="1341" w:type="dxa"/>
            <w:shd w:val="clear" w:color="auto" w:fill="auto"/>
          </w:tcPr>
          <w:p w:rsidR="00EE0C8C" w:rsidRPr="00EE0C8C" w:rsidRDefault="00EE0C8C" w:rsidP="00EE0C8C">
            <w:pPr>
              <w:spacing w:after="0" w:line="240" w:lineRule="auto"/>
              <w:jc w:val="both"/>
              <w:rPr>
                <w:rFonts w:ascii="Times New Roman" w:eastAsia="Calibri" w:hAnsi="Times New Roman" w:cs="Times New Roman"/>
                <w:sz w:val="24"/>
                <w:lang w:eastAsia="pl-PL"/>
              </w:rPr>
            </w:pPr>
            <w:r w:rsidRPr="00EE0C8C">
              <w:rPr>
                <w:rFonts w:ascii="Times New Roman" w:eastAsia="Calibri" w:hAnsi="Times New Roman" w:cs="Times New Roman"/>
                <w:sz w:val="24"/>
                <w:lang w:eastAsia="pl-PL"/>
              </w:rPr>
              <w:t>Monitoring własny</w:t>
            </w:r>
          </w:p>
        </w:tc>
        <w:tc>
          <w:tcPr>
            <w:tcW w:w="1323" w:type="dxa"/>
            <w:gridSpan w:val="2"/>
            <w:shd w:val="clear" w:color="auto" w:fill="auto"/>
          </w:tcPr>
          <w:p w:rsidR="00EE0C8C" w:rsidRPr="00EE0C8C" w:rsidRDefault="00EE0C8C" w:rsidP="00EE0C8C">
            <w:pPr>
              <w:spacing w:after="0" w:line="240" w:lineRule="auto"/>
              <w:jc w:val="both"/>
              <w:rPr>
                <w:rFonts w:ascii="Times New Roman" w:eastAsia="Calibri" w:hAnsi="Times New Roman" w:cs="Times New Roman"/>
                <w:sz w:val="24"/>
                <w:lang w:eastAsia="pl-PL"/>
              </w:rPr>
            </w:pPr>
            <w:r w:rsidRPr="00EE0C8C">
              <w:rPr>
                <w:rFonts w:ascii="Times New Roman" w:eastAsia="Calibri" w:hAnsi="Times New Roman" w:cs="Times New Roman"/>
                <w:sz w:val="24"/>
                <w:lang w:eastAsia="pl-PL"/>
              </w:rPr>
              <w:t>PLN</w:t>
            </w:r>
          </w:p>
        </w:tc>
        <w:tc>
          <w:tcPr>
            <w:tcW w:w="1207" w:type="dxa"/>
            <w:gridSpan w:val="2"/>
            <w:shd w:val="clear" w:color="auto" w:fill="auto"/>
          </w:tcPr>
          <w:p w:rsidR="00EE0C8C" w:rsidRPr="00EE0C8C" w:rsidRDefault="00EE0C8C" w:rsidP="00EE0C8C">
            <w:pPr>
              <w:spacing w:after="0" w:line="240" w:lineRule="auto"/>
              <w:jc w:val="both"/>
              <w:rPr>
                <w:rFonts w:ascii="Times New Roman" w:eastAsia="Calibri" w:hAnsi="Times New Roman" w:cs="Times New Roman"/>
                <w:sz w:val="24"/>
                <w:lang w:eastAsia="pl-PL"/>
              </w:rPr>
            </w:pPr>
            <w:r w:rsidRPr="00EE0C8C">
              <w:rPr>
                <w:rFonts w:ascii="Times New Roman" w:eastAsia="Calibri" w:hAnsi="Times New Roman" w:cs="Times New Roman"/>
                <w:sz w:val="24"/>
                <w:lang w:eastAsia="pl-PL"/>
              </w:rPr>
              <w:t>0</w:t>
            </w:r>
          </w:p>
        </w:tc>
        <w:tc>
          <w:tcPr>
            <w:tcW w:w="1708" w:type="dxa"/>
            <w:gridSpan w:val="2"/>
            <w:shd w:val="clear" w:color="auto" w:fill="auto"/>
          </w:tcPr>
          <w:p w:rsidR="00EE0C8C" w:rsidRPr="00EE0C8C" w:rsidRDefault="00B41986" w:rsidP="00EE0C8C">
            <w:pPr>
              <w:spacing w:after="0" w:line="240" w:lineRule="auto"/>
              <w:jc w:val="both"/>
              <w:rPr>
                <w:rFonts w:ascii="Times New Roman" w:eastAsia="Calibri" w:hAnsi="Times New Roman" w:cs="Times New Roman"/>
                <w:sz w:val="24"/>
                <w:lang w:eastAsia="pl-PL"/>
              </w:rPr>
            </w:pPr>
            <w:r w:rsidRPr="00B41986">
              <w:rPr>
                <w:rFonts w:ascii="Times New Roman" w:eastAsia="Calibri" w:hAnsi="Times New Roman" w:cs="Times New Roman"/>
                <w:sz w:val="24"/>
                <w:lang w:eastAsia="pl-PL"/>
              </w:rPr>
              <w:t>10 113 334 ZŁ</w:t>
            </w:r>
          </w:p>
        </w:tc>
      </w:tr>
      <w:tr w:rsidR="00EE0C8C" w:rsidRPr="00EE0C8C" w:rsidTr="00A76BDB">
        <w:tc>
          <w:tcPr>
            <w:tcW w:w="3707" w:type="dxa"/>
            <w:gridSpan w:val="2"/>
            <w:shd w:val="clear" w:color="auto" w:fill="auto"/>
          </w:tcPr>
          <w:p w:rsidR="00EE0C8C" w:rsidRPr="00EE0C8C" w:rsidRDefault="00EE0C8C" w:rsidP="00EE0C8C">
            <w:pPr>
              <w:spacing w:after="0" w:line="240" w:lineRule="auto"/>
              <w:jc w:val="both"/>
              <w:rPr>
                <w:rFonts w:ascii="Times New Roman" w:eastAsia="Calibri" w:hAnsi="Times New Roman" w:cs="Times New Roman"/>
                <w:sz w:val="24"/>
                <w:lang w:eastAsia="pl-PL"/>
              </w:rPr>
            </w:pPr>
            <w:r w:rsidRPr="00EE0C8C">
              <w:rPr>
                <w:rFonts w:ascii="Times New Roman" w:eastAsia="Calibri" w:hAnsi="Times New Roman" w:cs="Times New Roman"/>
                <w:sz w:val="24"/>
                <w:lang w:eastAsia="pl-PL"/>
              </w:rPr>
              <w:t xml:space="preserve">Wartość zadań społecznych </w:t>
            </w:r>
          </w:p>
        </w:tc>
        <w:tc>
          <w:tcPr>
            <w:tcW w:w="1341" w:type="dxa"/>
            <w:shd w:val="clear" w:color="auto" w:fill="auto"/>
          </w:tcPr>
          <w:p w:rsidR="00EE0C8C" w:rsidRPr="00EE0C8C" w:rsidRDefault="00EE0C8C" w:rsidP="00EE0C8C">
            <w:pPr>
              <w:spacing w:after="0" w:line="240" w:lineRule="auto"/>
              <w:jc w:val="both"/>
              <w:rPr>
                <w:rFonts w:ascii="Times New Roman" w:eastAsia="Calibri" w:hAnsi="Times New Roman" w:cs="Times New Roman"/>
                <w:sz w:val="24"/>
                <w:lang w:eastAsia="pl-PL"/>
              </w:rPr>
            </w:pPr>
            <w:r w:rsidRPr="00EE0C8C">
              <w:rPr>
                <w:rFonts w:ascii="Times New Roman" w:eastAsia="Calibri" w:hAnsi="Times New Roman" w:cs="Times New Roman"/>
                <w:sz w:val="24"/>
                <w:lang w:eastAsia="pl-PL"/>
              </w:rPr>
              <w:t>Monitoring własny</w:t>
            </w:r>
          </w:p>
        </w:tc>
        <w:tc>
          <w:tcPr>
            <w:tcW w:w="1323" w:type="dxa"/>
            <w:gridSpan w:val="2"/>
            <w:shd w:val="clear" w:color="auto" w:fill="auto"/>
          </w:tcPr>
          <w:p w:rsidR="00EE0C8C" w:rsidRPr="00EE0C8C" w:rsidRDefault="00EE0C8C" w:rsidP="00EE0C8C">
            <w:pPr>
              <w:spacing w:after="0" w:line="240" w:lineRule="auto"/>
              <w:jc w:val="both"/>
              <w:rPr>
                <w:rFonts w:ascii="Times New Roman" w:eastAsia="Calibri" w:hAnsi="Times New Roman" w:cs="Times New Roman"/>
                <w:sz w:val="24"/>
                <w:lang w:eastAsia="pl-PL"/>
              </w:rPr>
            </w:pPr>
            <w:r w:rsidRPr="00EE0C8C">
              <w:rPr>
                <w:rFonts w:ascii="Times New Roman" w:eastAsia="Calibri" w:hAnsi="Times New Roman" w:cs="Times New Roman"/>
                <w:sz w:val="24"/>
                <w:lang w:eastAsia="pl-PL"/>
              </w:rPr>
              <w:t>PLN</w:t>
            </w:r>
          </w:p>
        </w:tc>
        <w:tc>
          <w:tcPr>
            <w:tcW w:w="1207" w:type="dxa"/>
            <w:gridSpan w:val="2"/>
            <w:shd w:val="clear" w:color="auto" w:fill="auto"/>
          </w:tcPr>
          <w:p w:rsidR="00EE0C8C" w:rsidRPr="00EE0C8C" w:rsidRDefault="00EE0C8C" w:rsidP="00EE0C8C">
            <w:pPr>
              <w:spacing w:after="0" w:line="240" w:lineRule="auto"/>
              <w:jc w:val="both"/>
              <w:rPr>
                <w:rFonts w:ascii="Times New Roman" w:eastAsia="Calibri" w:hAnsi="Times New Roman" w:cs="Times New Roman"/>
                <w:sz w:val="24"/>
                <w:lang w:eastAsia="pl-PL"/>
              </w:rPr>
            </w:pPr>
            <w:r w:rsidRPr="00EE0C8C">
              <w:rPr>
                <w:rFonts w:ascii="Times New Roman" w:eastAsia="Calibri" w:hAnsi="Times New Roman" w:cs="Times New Roman"/>
                <w:sz w:val="24"/>
                <w:lang w:eastAsia="pl-PL"/>
              </w:rPr>
              <w:t>0</w:t>
            </w:r>
          </w:p>
        </w:tc>
        <w:tc>
          <w:tcPr>
            <w:tcW w:w="1708" w:type="dxa"/>
            <w:gridSpan w:val="2"/>
            <w:shd w:val="clear" w:color="auto" w:fill="auto"/>
          </w:tcPr>
          <w:p w:rsidR="00EE0C8C" w:rsidRPr="00B41986" w:rsidRDefault="00B41986" w:rsidP="00EE0C8C">
            <w:pPr>
              <w:spacing w:after="0" w:line="240" w:lineRule="auto"/>
              <w:jc w:val="both"/>
              <w:rPr>
                <w:rFonts w:ascii="Times New Roman" w:eastAsia="Calibri" w:hAnsi="Times New Roman" w:cs="Times New Roman"/>
                <w:sz w:val="24"/>
                <w:lang w:eastAsia="pl-PL"/>
              </w:rPr>
            </w:pPr>
            <w:r w:rsidRPr="00B41986">
              <w:rPr>
                <w:rFonts w:ascii="Times New Roman" w:eastAsia="Calibri" w:hAnsi="Times New Roman" w:cs="Times New Roman"/>
                <w:sz w:val="24"/>
                <w:lang w:eastAsia="pl-PL"/>
              </w:rPr>
              <w:t>1 278 600 ZŁ</w:t>
            </w:r>
          </w:p>
        </w:tc>
      </w:tr>
      <w:tr w:rsidR="00EE0C8C" w:rsidRPr="00EE0C8C" w:rsidTr="00A76BDB">
        <w:tc>
          <w:tcPr>
            <w:tcW w:w="9286" w:type="dxa"/>
            <w:gridSpan w:val="9"/>
            <w:tcBorders>
              <w:left w:val="nil"/>
              <w:right w:val="nil"/>
            </w:tcBorders>
            <w:shd w:val="clear" w:color="auto" w:fill="auto"/>
          </w:tcPr>
          <w:p w:rsidR="00EE0C8C" w:rsidRPr="00EE0C8C" w:rsidRDefault="00EE0C8C" w:rsidP="00EE0C8C">
            <w:pPr>
              <w:spacing w:after="0" w:line="240" w:lineRule="auto"/>
              <w:jc w:val="both"/>
              <w:rPr>
                <w:rFonts w:ascii="Times New Roman" w:eastAsia="Calibri" w:hAnsi="Times New Roman" w:cs="Times New Roman"/>
                <w:b/>
                <w:sz w:val="24"/>
                <w:lang w:eastAsia="pl-PL"/>
              </w:rPr>
            </w:pPr>
          </w:p>
        </w:tc>
      </w:tr>
      <w:tr w:rsidR="00EE0C8C" w:rsidRPr="00EE0C8C" w:rsidTr="00A76BDB">
        <w:tc>
          <w:tcPr>
            <w:tcW w:w="9286" w:type="dxa"/>
            <w:gridSpan w:val="9"/>
            <w:shd w:val="clear" w:color="auto" w:fill="FFFF66"/>
          </w:tcPr>
          <w:p w:rsidR="00EE0C8C" w:rsidRPr="00EE0C8C" w:rsidRDefault="00EE0C8C" w:rsidP="00EE0C8C">
            <w:pPr>
              <w:spacing w:after="0" w:line="240" w:lineRule="auto"/>
              <w:jc w:val="center"/>
              <w:rPr>
                <w:rFonts w:ascii="Times New Roman" w:eastAsia="Calibri" w:hAnsi="Times New Roman" w:cs="Times New Roman"/>
                <w:b/>
                <w:sz w:val="24"/>
                <w:lang w:eastAsia="pl-PL"/>
              </w:rPr>
            </w:pPr>
            <w:r w:rsidRPr="00EE0C8C">
              <w:rPr>
                <w:rFonts w:ascii="Times New Roman" w:eastAsia="Calibri" w:hAnsi="Times New Roman" w:cs="Times New Roman"/>
                <w:b/>
                <w:sz w:val="24"/>
                <w:lang w:eastAsia="pl-PL"/>
              </w:rPr>
              <w:t>WSKAŹNIKI OSIĄGNIĘCIA CELÓW PROJEKTU</w:t>
            </w:r>
          </w:p>
        </w:tc>
      </w:tr>
      <w:tr w:rsidR="00EE0C8C" w:rsidRPr="00EE0C8C" w:rsidTr="00A76BDB">
        <w:tc>
          <w:tcPr>
            <w:tcW w:w="3707" w:type="dxa"/>
            <w:gridSpan w:val="2"/>
            <w:shd w:val="clear" w:color="auto" w:fill="E29FF7"/>
          </w:tcPr>
          <w:p w:rsidR="00EE0C8C" w:rsidRPr="00EE0C8C" w:rsidRDefault="00EE0C8C" w:rsidP="00EE0C8C">
            <w:pPr>
              <w:spacing w:after="0" w:line="240" w:lineRule="auto"/>
              <w:jc w:val="center"/>
              <w:rPr>
                <w:rFonts w:ascii="Times New Roman" w:eastAsia="Calibri" w:hAnsi="Times New Roman" w:cs="Times New Roman"/>
                <w:b/>
                <w:sz w:val="24"/>
                <w:lang w:eastAsia="pl-PL"/>
              </w:rPr>
            </w:pPr>
            <w:r w:rsidRPr="00EE0C8C">
              <w:rPr>
                <w:rFonts w:ascii="Times New Roman" w:eastAsia="Calibri" w:hAnsi="Times New Roman" w:cs="Times New Roman"/>
                <w:b/>
                <w:sz w:val="24"/>
                <w:lang w:eastAsia="pl-PL"/>
              </w:rPr>
              <w:t>WSKAŹNIK PRODUKTU</w:t>
            </w:r>
          </w:p>
        </w:tc>
        <w:tc>
          <w:tcPr>
            <w:tcW w:w="1411" w:type="dxa"/>
            <w:gridSpan w:val="2"/>
            <w:shd w:val="clear" w:color="auto" w:fill="E29FF7"/>
          </w:tcPr>
          <w:p w:rsidR="00EE0C8C" w:rsidRPr="00EE0C8C" w:rsidRDefault="00EE0C8C" w:rsidP="00EE0C8C">
            <w:pPr>
              <w:spacing w:after="0" w:line="240" w:lineRule="auto"/>
              <w:jc w:val="center"/>
              <w:rPr>
                <w:rFonts w:ascii="Times New Roman" w:eastAsia="Calibri" w:hAnsi="Times New Roman" w:cs="Times New Roman"/>
                <w:b/>
                <w:sz w:val="24"/>
                <w:lang w:eastAsia="pl-PL"/>
              </w:rPr>
            </w:pPr>
            <w:r w:rsidRPr="00EE0C8C">
              <w:rPr>
                <w:rFonts w:ascii="Times New Roman" w:eastAsia="Calibri" w:hAnsi="Times New Roman" w:cs="Times New Roman"/>
                <w:b/>
                <w:sz w:val="24"/>
                <w:lang w:eastAsia="pl-PL"/>
              </w:rPr>
              <w:t>ŹRÓDŁO DANYCH</w:t>
            </w:r>
          </w:p>
        </w:tc>
        <w:tc>
          <w:tcPr>
            <w:tcW w:w="1253" w:type="dxa"/>
            <w:shd w:val="clear" w:color="auto" w:fill="E29FF7"/>
          </w:tcPr>
          <w:p w:rsidR="00EE0C8C" w:rsidRPr="00EE0C8C" w:rsidRDefault="00EE0C8C" w:rsidP="00EE0C8C">
            <w:pPr>
              <w:spacing w:after="0" w:line="240" w:lineRule="auto"/>
              <w:jc w:val="center"/>
              <w:rPr>
                <w:rFonts w:ascii="Times New Roman" w:eastAsia="Calibri" w:hAnsi="Times New Roman" w:cs="Times New Roman"/>
                <w:b/>
                <w:sz w:val="24"/>
                <w:lang w:eastAsia="pl-PL"/>
              </w:rPr>
            </w:pPr>
            <w:r w:rsidRPr="00EE0C8C">
              <w:rPr>
                <w:rFonts w:ascii="Times New Roman" w:eastAsia="Calibri" w:hAnsi="Times New Roman" w:cs="Times New Roman"/>
                <w:b/>
                <w:sz w:val="24"/>
                <w:lang w:eastAsia="pl-PL"/>
              </w:rPr>
              <w:t>JEDN. MIARY</w:t>
            </w:r>
          </w:p>
        </w:tc>
        <w:tc>
          <w:tcPr>
            <w:tcW w:w="1207" w:type="dxa"/>
            <w:gridSpan w:val="2"/>
            <w:shd w:val="clear" w:color="auto" w:fill="E29FF7"/>
          </w:tcPr>
          <w:p w:rsidR="00EE0C8C" w:rsidRPr="00EE0C8C" w:rsidRDefault="00EE0C8C" w:rsidP="00EE0C8C">
            <w:pPr>
              <w:spacing w:after="0" w:line="240" w:lineRule="auto"/>
              <w:jc w:val="center"/>
              <w:rPr>
                <w:rFonts w:ascii="Times New Roman" w:eastAsia="Calibri" w:hAnsi="Times New Roman" w:cs="Times New Roman"/>
                <w:b/>
                <w:sz w:val="24"/>
                <w:lang w:eastAsia="pl-PL"/>
              </w:rPr>
            </w:pPr>
            <w:r w:rsidRPr="00EE0C8C">
              <w:rPr>
                <w:rFonts w:ascii="Times New Roman" w:eastAsia="Calibri" w:hAnsi="Times New Roman" w:cs="Times New Roman"/>
                <w:b/>
                <w:sz w:val="24"/>
                <w:lang w:eastAsia="pl-PL"/>
              </w:rPr>
              <w:t>ROK 2015</w:t>
            </w:r>
          </w:p>
        </w:tc>
        <w:tc>
          <w:tcPr>
            <w:tcW w:w="1708" w:type="dxa"/>
            <w:gridSpan w:val="2"/>
            <w:shd w:val="clear" w:color="auto" w:fill="E29FF7"/>
          </w:tcPr>
          <w:p w:rsidR="00EE0C8C" w:rsidRPr="00EE0C8C" w:rsidRDefault="00EE0C8C" w:rsidP="00B41986">
            <w:pPr>
              <w:spacing w:after="0" w:line="240" w:lineRule="auto"/>
              <w:jc w:val="center"/>
              <w:rPr>
                <w:rFonts w:ascii="Times New Roman" w:eastAsia="Calibri" w:hAnsi="Times New Roman" w:cs="Times New Roman"/>
                <w:b/>
                <w:sz w:val="24"/>
                <w:lang w:eastAsia="pl-PL"/>
              </w:rPr>
            </w:pPr>
            <w:r w:rsidRPr="00EE0C8C">
              <w:rPr>
                <w:rFonts w:ascii="Times New Roman" w:eastAsia="Calibri" w:hAnsi="Times New Roman" w:cs="Times New Roman"/>
                <w:b/>
                <w:sz w:val="24"/>
                <w:lang w:eastAsia="pl-PL"/>
              </w:rPr>
              <w:t>STAN NA ROK 202</w:t>
            </w:r>
            <w:r w:rsidR="00B41986">
              <w:rPr>
                <w:rFonts w:ascii="Times New Roman" w:eastAsia="Calibri" w:hAnsi="Times New Roman" w:cs="Times New Roman"/>
                <w:b/>
                <w:sz w:val="24"/>
                <w:lang w:eastAsia="pl-PL"/>
              </w:rPr>
              <w:t>2</w:t>
            </w:r>
            <w:r w:rsidRPr="00EE0C8C">
              <w:rPr>
                <w:rFonts w:ascii="Times New Roman" w:eastAsia="Calibri" w:hAnsi="Times New Roman" w:cs="Times New Roman"/>
                <w:b/>
                <w:sz w:val="24"/>
                <w:lang w:eastAsia="pl-PL"/>
              </w:rPr>
              <w:br/>
              <w:t>WSKAŹNIK DOCELOWY</w:t>
            </w:r>
          </w:p>
        </w:tc>
      </w:tr>
      <w:tr w:rsidR="00EE0C8C" w:rsidRPr="00EE0C8C" w:rsidTr="00A76BDB">
        <w:tc>
          <w:tcPr>
            <w:tcW w:w="3707" w:type="dxa"/>
            <w:gridSpan w:val="2"/>
            <w:shd w:val="clear" w:color="auto" w:fill="auto"/>
          </w:tcPr>
          <w:p w:rsidR="00EE0C8C" w:rsidRPr="00EE0C8C" w:rsidRDefault="00EE0C8C" w:rsidP="00EE0C8C">
            <w:pPr>
              <w:spacing w:after="0" w:line="240" w:lineRule="auto"/>
              <w:jc w:val="both"/>
              <w:rPr>
                <w:rFonts w:ascii="Times New Roman" w:eastAsia="Calibri" w:hAnsi="Times New Roman" w:cs="Times New Roman"/>
                <w:sz w:val="24"/>
                <w:lang w:eastAsia="pl-PL"/>
              </w:rPr>
            </w:pPr>
            <w:r w:rsidRPr="00EE0C8C">
              <w:rPr>
                <w:rFonts w:ascii="Times New Roman" w:eastAsia="Calibri" w:hAnsi="Times New Roman" w:cs="Times New Roman"/>
                <w:sz w:val="24"/>
                <w:lang w:eastAsia="pl-PL"/>
              </w:rPr>
              <w:t xml:space="preserve">Liczba zrewitalizowanych obszarów </w:t>
            </w:r>
          </w:p>
        </w:tc>
        <w:tc>
          <w:tcPr>
            <w:tcW w:w="1411" w:type="dxa"/>
            <w:gridSpan w:val="2"/>
            <w:shd w:val="clear" w:color="auto" w:fill="auto"/>
          </w:tcPr>
          <w:p w:rsidR="00EE0C8C" w:rsidRPr="00EE0C8C" w:rsidRDefault="00EE0C8C" w:rsidP="00EE0C8C">
            <w:pPr>
              <w:spacing w:after="0" w:line="240" w:lineRule="auto"/>
              <w:jc w:val="both"/>
              <w:rPr>
                <w:rFonts w:ascii="Times New Roman" w:eastAsia="Calibri" w:hAnsi="Times New Roman" w:cs="Times New Roman"/>
                <w:sz w:val="24"/>
                <w:lang w:eastAsia="pl-PL"/>
              </w:rPr>
            </w:pPr>
            <w:r w:rsidRPr="00EE0C8C">
              <w:rPr>
                <w:rFonts w:ascii="Times New Roman" w:eastAsia="Calibri" w:hAnsi="Times New Roman" w:cs="Times New Roman"/>
                <w:sz w:val="24"/>
                <w:lang w:eastAsia="pl-PL"/>
              </w:rPr>
              <w:t>Monitoring własny</w:t>
            </w:r>
          </w:p>
        </w:tc>
        <w:tc>
          <w:tcPr>
            <w:tcW w:w="1253" w:type="dxa"/>
            <w:shd w:val="clear" w:color="auto" w:fill="auto"/>
          </w:tcPr>
          <w:p w:rsidR="00EE0C8C" w:rsidRPr="00EE0C8C" w:rsidRDefault="00EE0C8C" w:rsidP="00EE0C8C">
            <w:pPr>
              <w:spacing w:after="0" w:line="240" w:lineRule="auto"/>
              <w:jc w:val="both"/>
              <w:rPr>
                <w:rFonts w:ascii="Times New Roman" w:eastAsia="Calibri" w:hAnsi="Times New Roman" w:cs="Times New Roman"/>
                <w:sz w:val="24"/>
                <w:lang w:eastAsia="pl-PL"/>
              </w:rPr>
            </w:pPr>
            <w:r w:rsidRPr="00EE0C8C">
              <w:rPr>
                <w:rFonts w:ascii="Times New Roman" w:eastAsia="Calibri" w:hAnsi="Times New Roman" w:cs="Times New Roman"/>
                <w:sz w:val="24"/>
                <w:lang w:eastAsia="pl-PL"/>
              </w:rPr>
              <w:t>szt.</w:t>
            </w:r>
          </w:p>
        </w:tc>
        <w:tc>
          <w:tcPr>
            <w:tcW w:w="1207" w:type="dxa"/>
            <w:gridSpan w:val="2"/>
            <w:shd w:val="clear" w:color="auto" w:fill="auto"/>
          </w:tcPr>
          <w:p w:rsidR="00EE0C8C" w:rsidRPr="00EE0C8C" w:rsidRDefault="00EE0C8C" w:rsidP="00EE0C8C">
            <w:pPr>
              <w:spacing w:after="0" w:line="240" w:lineRule="auto"/>
              <w:jc w:val="both"/>
              <w:rPr>
                <w:rFonts w:ascii="Times New Roman" w:eastAsia="Calibri" w:hAnsi="Times New Roman" w:cs="Times New Roman"/>
                <w:sz w:val="24"/>
                <w:lang w:eastAsia="pl-PL"/>
              </w:rPr>
            </w:pPr>
            <w:r w:rsidRPr="00EE0C8C">
              <w:rPr>
                <w:rFonts w:ascii="Times New Roman" w:eastAsia="Calibri" w:hAnsi="Times New Roman" w:cs="Times New Roman"/>
                <w:sz w:val="24"/>
                <w:lang w:eastAsia="pl-PL"/>
              </w:rPr>
              <w:t>0</w:t>
            </w:r>
          </w:p>
        </w:tc>
        <w:tc>
          <w:tcPr>
            <w:tcW w:w="1708" w:type="dxa"/>
            <w:gridSpan w:val="2"/>
            <w:shd w:val="clear" w:color="auto" w:fill="auto"/>
          </w:tcPr>
          <w:p w:rsidR="00EE0C8C" w:rsidRPr="00EE0C8C" w:rsidRDefault="00B41986" w:rsidP="00EE0C8C">
            <w:pPr>
              <w:spacing w:after="0" w:line="240" w:lineRule="auto"/>
              <w:jc w:val="both"/>
              <w:rPr>
                <w:rFonts w:ascii="Times New Roman" w:eastAsia="Calibri" w:hAnsi="Times New Roman" w:cs="Times New Roman"/>
                <w:sz w:val="24"/>
                <w:lang w:eastAsia="pl-PL"/>
              </w:rPr>
            </w:pPr>
            <w:r>
              <w:rPr>
                <w:rFonts w:ascii="Times New Roman" w:eastAsia="Calibri" w:hAnsi="Times New Roman" w:cs="Times New Roman"/>
                <w:sz w:val="24"/>
                <w:lang w:eastAsia="pl-PL"/>
              </w:rPr>
              <w:t>2 sołectwa</w:t>
            </w:r>
          </w:p>
        </w:tc>
      </w:tr>
      <w:tr w:rsidR="00EE0C8C" w:rsidRPr="00EE0C8C" w:rsidTr="00A76BDB">
        <w:tc>
          <w:tcPr>
            <w:tcW w:w="3707" w:type="dxa"/>
            <w:gridSpan w:val="2"/>
            <w:shd w:val="clear" w:color="auto" w:fill="auto"/>
          </w:tcPr>
          <w:p w:rsidR="00EE0C8C" w:rsidRPr="00EE0C8C" w:rsidRDefault="00EE0C8C" w:rsidP="00EE0C8C">
            <w:pPr>
              <w:spacing w:after="0" w:line="240" w:lineRule="auto"/>
              <w:jc w:val="both"/>
              <w:rPr>
                <w:rFonts w:ascii="Times New Roman" w:eastAsia="Calibri" w:hAnsi="Times New Roman" w:cs="Times New Roman"/>
                <w:sz w:val="24"/>
                <w:lang w:eastAsia="pl-PL"/>
              </w:rPr>
            </w:pPr>
            <w:r w:rsidRPr="00EE0C8C">
              <w:rPr>
                <w:rFonts w:ascii="Times New Roman" w:eastAsia="Calibri" w:hAnsi="Times New Roman" w:cs="Times New Roman"/>
                <w:sz w:val="24"/>
                <w:lang w:eastAsia="pl-PL"/>
              </w:rPr>
              <w:t xml:space="preserve">Powierzchnia zrewitalizowanych obszarów </w:t>
            </w:r>
          </w:p>
        </w:tc>
        <w:tc>
          <w:tcPr>
            <w:tcW w:w="1411" w:type="dxa"/>
            <w:gridSpan w:val="2"/>
            <w:shd w:val="clear" w:color="auto" w:fill="auto"/>
          </w:tcPr>
          <w:p w:rsidR="00EE0C8C" w:rsidRPr="00EE0C8C" w:rsidRDefault="00EE0C8C" w:rsidP="00EE0C8C">
            <w:pPr>
              <w:spacing w:after="0" w:line="240" w:lineRule="auto"/>
              <w:jc w:val="both"/>
              <w:rPr>
                <w:rFonts w:ascii="Times New Roman" w:eastAsia="Calibri" w:hAnsi="Times New Roman" w:cs="Times New Roman"/>
                <w:sz w:val="24"/>
                <w:lang w:eastAsia="pl-PL"/>
              </w:rPr>
            </w:pPr>
            <w:r w:rsidRPr="00EE0C8C">
              <w:rPr>
                <w:rFonts w:ascii="Times New Roman" w:eastAsia="Calibri" w:hAnsi="Times New Roman" w:cs="Times New Roman"/>
                <w:sz w:val="24"/>
                <w:lang w:eastAsia="pl-PL"/>
              </w:rPr>
              <w:t>Monitoring własny</w:t>
            </w:r>
          </w:p>
        </w:tc>
        <w:tc>
          <w:tcPr>
            <w:tcW w:w="1253" w:type="dxa"/>
            <w:shd w:val="clear" w:color="auto" w:fill="auto"/>
          </w:tcPr>
          <w:p w:rsidR="00EE0C8C" w:rsidRPr="00EE0C8C" w:rsidRDefault="00EE0C8C" w:rsidP="00EE0C8C">
            <w:pPr>
              <w:spacing w:after="0" w:line="240" w:lineRule="auto"/>
              <w:jc w:val="both"/>
              <w:rPr>
                <w:rFonts w:ascii="Times New Roman" w:eastAsia="Calibri" w:hAnsi="Times New Roman" w:cs="Times New Roman"/>
                <w:sz w:val="24"/>
                <w:lang w:eastAsia="pl-PL"/>
              </w:rPr>
            </w:pPr>
            <w:r w:rsidRPr="00EE0C8C">
              <w:rPr>
                <w:rFonts w:ascii="Times New Roman" w:eastAsia="Calibri" w:hAnsi="Times New Roman" w:cs="Times New Roman"/>
                <w:sz w:val="24"/>
                <w:lang w:eastAsia="pl-PL"/>
              </w:rPr>
              <w:t>ha</w:t>
            </w:r>
          </w:p>
        </w:tc>
        <w:tc>
          <w:tcPr>
            <w:tcW w:w="1207" w:type="dxa"/>
            <w:gridSpan w:val="2"/>
            <w:shd w:val="clear" w:color="auto" w:fill="auto"/>
          </w:tcPr>
          <w:p w:rsidR="00EE0C8C" w:rsidRPr="00EE0C8C" w:rsidRDefault="00EE0C8C" w:rsidP="00EE0C8C">
            <w:pPr>
              <w:spacing w:after="0" w:line="240" w:lineRule="auto"/>
              <w:jc w:val="both"/>
              <w:rPr>
                <w:rFonts w:ascii="Times New Roman" w:eastAsia="Calibri" w:hAnsi="Times New Roman" w:cs="Times New Roman"/>
                <w:sz w:val="24"/>
                <w:lang w:eastAsia="pl-PL"/>
              </w:rPr>
            </w:pPr>
            <w:r w:rsidRPr="00EE0C8C">
              <w:rPr>
                <w:rFonts w:ascii="Times New Roman" w:eastAsia="Calibri" w:hAnsi="Times New Roman" w:cs="Times New Roman"/>
                <w:sz w:val="24"/>
                <w:lang w:eastAsia="pl-PL"/>
              </w:rPr>
              <w:t>0</w:t>
            </w:r>
          </w:p>
        </w:tc>
        <w:tc>
          <w:tcPr>
            <w:tcW w:w="1708" w:type="dxa"/>
            <w:gridSpan w:val="2"/>
            <w:shd w:val="clear" w:color="auto" w:fill="auto"/>
          </w:tcPr>
          <w:p w:rsidR="00EE0C8C" w:rsidRPr="00EE0C8C" w:rsidRDefault="00B41986" w:rsidP="00EE0C8C">
            <w:pPr>
              <w:spacing w:after="0" w:line="240" w:lineRule="auto"/>
              <w:jc w:val="both"/>
              <w:rPr>
                <w:rFonts w:ascii="Times New Roman" w:eastAsia="Calibri" w:hAnsi="Times New Roman" w:cs="Times New Roman"/>
                <w:sz w:val="24"/>
                <w:lang w:eastAsia="pl-PL"/>
              </w:rPr>
            </w:pPr>
            <w:r>
              <w:rPr>
                <w:rFonts w:ascii="Times New Roman" w:eastAsia="Calibri" w:hAnsi="Times New Roman" w:cs="Times New Roman"/>
                <w:sz w:val="24"/>
                <w:lang w:eastAsia="pl-PL"/>
              </w:rPr>
              <w:t>1478,1</w:t>
            </w:r>
          </w:p>
        </w:tc>
      </w:tr>
    </w:tbl>
    <w:p w:rsidR="00EE0C8C" w:rsidRPr="00EE0C8C" w:rsidRDefault="00EE0C8C" w:rsidP="00EE0C8C">
      <w:pPr>
        <w:spacing w:before="120" w:after="120"/>
        <w:jc w:val="both"/>
        <w:rPr>
          <w:rFonts w:ascii="Times New Roman" w:eastAsia="Calibri" w:hAnsi="Times New Roman" w:cs="Times New Roman"/>
          <w:sz w:val="24"/>
          <w:lang w:eastAsia="pl-PL"/>
        </w:rPr>
      </w:pPr>
      <w:r w:rsidRPr="00EE0C8C">
        <w:rPr>
          <w:rFonts w:ascii="Times New Roman" w:eastAsia="Calibri" w:hAnsi="Times New Roman" w:cs="Times New Roman"/>
          <w:sz w:val="24"/>
          <w:lang w:eastAsia="pl-PL"/>
        </w:rPr>
        <w:t xml:space="preserve">Wskaźniki monitoringowe wdrażania Gminnego </w:t>
      </w:r>
      <w:r w:rsidR="003E259E">
        <w:rPr>
          <w:rFonts w:ascii="Times New Roman" w:eastAsia="Calibri" w:hAnsi="Times New Roman" w:cs="Times New Roman"/>
          <w:sz w:val="24"/>
          <w:lang w:eastAsia="pl-PL"/>
        </w:rPr>
        <w:t>p</w:t>
      </w:r>
      <w:r w:rsidRPr="00EE0C8C">
        <w:rPr>
          <w:rFonts w:ascii="Times New Roman" w:eastAsia="Calibri" w:hAnsi="Times New Roman" w:cs="Times New Roman"/>
          <w:sz w:val="24"/>
          <w:lang w:eastAsia="pl-PL"/>
        </w:rPr>
        <w:t xml:space="preserve">rogramu </w:t>
      </w:r>
      <w:r w:rsidR="003E259E">
        <w:rPr>
          <w:rFonts w:ascii="Times New Roman" w:eastAsia="Calibri" w:hAnsi="Times New Roman" w:cs="Times New Roman"/>
          <w:sz w:val="24"/>
          <w:lang w:eastAsia="pl-PL"/>
        </w:rPr>
        <w:t>r</w:t>
      </w:r>
      <w:r w:rsidRPr="00EE0C8C">
        <w:rPr>
          <w:rFonts w:ascii="Times New Roman" w:eastAsia="Calibri" w:hAnsi="Times New Roman" w:cs="Times New Roman"/>
          <w:sz w:val="24"/>
          <w:lang w:eastAsia="pl-PL"/>
        </w:rPr>
        <w:t xml:space="preserve">ewitalizacji </w:t>
      </w:r>
      <w:r w:rsidR="003E259E">
        <w:rPr>
          <w:rFonts w:ascii="Times New Roman" w:eastAsia="Calibri" w:hAnsi="Times New Roman" w:cs="Times New Roman"/>
          <w:sz w:val="24"/>
          <w:lang w:eastAsia="pl-PL"/>
        </w:rPr>
        <w:t>dla g</w:t>
      </w:r>
      <w:r w:rsidRPr="00EE0C8C">
        <w:rPr>
          <w:rFonts w:ascii="Times New Roman" w:eastAsia="Calibri" w:hAnsi="Times New Roman" w:cs="Times New Roman"/>
          <w:sz w:val="24"/>
          <w:lang w:eastAsia="pl-PL"/>
        </w:rPr>
        <w:t>miny Mirzec</w:t>
      </w:r>
      <w:r w:rsidR="003E259E">
        <w:rPr>
          <w:rFonts w:ascii="Times New Roman" w:eastAsia="Calibri" w:hAnsi="Times New Roman" w:cs="Times New Roman"/>
          <w:sz w:val="24"/>
          <w:lang w:eastAsia="pl-PL"/>
        </w:rPr>
        <w:t xml:space="preserve"> na lata 2016-2022.</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560"/>
        <w:gridCol w:w="1338"/>
        <w:gridCol w:w="646"/>
        <w:gridCol w:w="936"/>
        <w:gridCol w:w="198"/>
        <w:gridCol w:w="284"/>
        <w:gridCol w:w="1061"/>
        <w:gridCol w:w="861"/>
        <w:gridCol w:w="522"/>
        <w:gridCol w:w="674"/>
        <w:gridCol w:w="1418"/>
      </w:tblGrid>
      <w:tr w:rsidR="00EE0C8C" w:rsidRPr="00EE0C8C" w:rsidTr="00A76BDB">
        <w:trPr>
          <w:trHeight w:val="434"/>
        </w:trPr>
        <w:tc>
          <w:tcPr>
            <w:tcW w:w="567" w:type="dxa"/>
            <w:shd w:val="clear" w:color="auto" w:fill="FAC760"/>
          </w:tcPr>
          <w:p w:rsidR="00EE0C8C" w:rsidRPr="00EE0C8C" w:rsidRDefault="00EE0C8C" w:rsidP="00EE0C8C">
            <w:pPr>
              <w:spacing w:after="0"/>
              <w:jc w:val="center"/>
              <w:rPr>
                <w:rFonts w:ascii="Times New Roman" w:eastAsia="Calibri" w:hAnsi="Times New Roman" w:cs="Times New Roman"/>
                <w:sz w:val="24"/>
                <w:lang w:eastAsia="pl-PL"/>
              </w:rPr>
            </w:pPr>
            <w:r w:rsidRPr="00EE0C8C">
              <w:rPr>
                <w:rFonts w:ascii="Times New Roman" w:eastAsia="Calibri" w:hAnsi="Times New Roman" w:cs="Times New Roman"/>
                <w:b/>
                <w:bCs/>
                <w:lang w:eastAsia="pl-PL"/>
              </w:rPr>
              <w:t>LP</w:t>
            </w:r>
          </w:p>
        </w:tc>
        <w:tc>
          <w:tcPr>
            <w:tcW w:w="3544" w:type="dxa"/>
            <w:gridSpan w:val="3"/>
            <w:shd w:val="clear" w:color="auto" w:fill="FAC760"/>
          </w:tcPr>
          <w:p w:rsidR="00EE0C8C" w:rsidRPr="00EE0C8C" w:rsidRDefault="00EE0C8C" w:rsidP="00EE0C8C">
            <w:pPr>
              <w:spacing w:after="0"/>
              <w:jc w:val="center"/>
              <w:rPr>
                <w:rFonts w:ascii="Times New Roman" w:eastAsia="Calibri" w:hAnsi="Times New Roman" w:cs="Times New Roman"/>
                <w:sz w:val="24"/>
                <w:lang w:eastAsia="pl-PL"/>
              </w:rPr>
            </w:pPr>
            <w:r w:rsidRPr="00EE0C8C">
              <w:rPr>
                <w:rFonts w:ascii="Times New Roman" w:eastAsia="Calibri" w:hAnsi="Times New Roman" w:cs="Times New Roman"/>
                <w:b/>
                <w:bCs/>
                <w:lang w:eastAsia="pl-PL"/>
              </w:rPr>
              <w:t>Nazwa wskaźnika</w:t>
            </w:r>
          </w:p>
        </w:tc>
        <w:tc>
          <w:tcPr>
            <w:tcW w:w="1418" w:type="dxa"/>
            <w:gridSpan w:val="3"/>
            <w:shd w:val="clear" w:color="auto" w:fill="FAC760"/>
          </w:tcPr>
          <w:p w:rsidR="00EE0C8C" w:rsidRPr="00EE0C8C" w:rsidRDefault="00EE0C8C" w:rsidP="00EE0C8C">
            <w:pPr>
              <w:spacing w:after="0"/>
              <w:jc w:val="center"/>
              <w:rPr>
                <w:rFonts w:ascii="Times New Roman" w:eastAsia="Calibri" w:hAnsi="Times New Roman" w:cs="Times New Roman"/>
                <w:sz w:val="24"/>
                <w:lang w:eastAsia="pl-PL"/>
              </w:rPr>
            </w:pPr>
            <w:r w:rsidRPr="00EE0C8C">
              <w:rPr>
                <w:rFonts w:ascii="Times New Roman" w:eastAsia="Calibri" w:hAnsi="Times New Roman" w:cs="Times New Roman"/>
                <w:b/>
                <w:bCs/>
                <w:lang w:eastAsia="pl-PL"/>
              </w:rPr>
              <w:t>Wartość wyjściowa dla Gminy Mirzec</w:t>
            </w:r>
            <w:r w:rsidRPr="00EE0C8C">
              <w:rPr>
                <w:rFonts w:ascii="Times New Roman" w:eastAsia="Calibri" w:hAnsi="Times New Roman" w:cs="Times New Roman"/>
                <w:b/>
                <w:bCs/>
                <w:lang w:eastAsia="pl-PL"/>
              </w:rPr>
              <w:br/>
              <w:t>w 2014 r.</w:t>
            </w:r>
          </w:p>
        </w:tc>
        <w:tc>
          <w:tcPr>
            <w:tcW w:w="1922" w:type="dxa"/>
            <w:gridSpan w:val="2"/>
            <w:shd w:val="clear" w:color="auto" w:fill="FAC760"/>
          </w:tcPr>
          <w:p w:rsidR="00EE0C8C" w:rsidRPr="00EE0C8C" w:rsidRDefault="00EE0C8C" w:rsidP="00EE0C8C">
            <w:pPr>
              <w:spacing w:after="0"/>
              <w:jc w:val="center"/>
              <w:rPr>
                <w:rFonts w:ascii="Times New Roman" w:eastAsia="Calibri" w:hAnsi="Times New Roman" w:cs="Times New Roman"/>
                <w:sz w:val="24"/>
                <w:lang w:eastAsia="pl-PL"/>
              </w:rPr>
            </w:pPr>
            <w:r w:rsidRPr="00EE0C8C">
              <w:rPr>
                <w:rFonts w:ascii="Times New Roman" w:eastAsia="Calibri" w:hAnsi="Times New Roman" w:cs="Times New Roman"/>
                <w:b/>
                <w:bCs/>
                <w:lang w:eastAsia="pl-PL"/>
              </w:rPr>
              <w:t xml:space="preserve">Średnia powiatu starachowickiego </w:t>
            </w:r>
            <w:r w:rsidRPr="00EE0C8C">
              <w:rPr>
                <w:rFonts w:ascii="Times New Roman" w:eastAsia="Calibri" w:hAnsi="Times New Roman" w:cs="Times New Roman"/>
                <w:b/>
                <w:bCs/>
                <w:lang w:eastAsia="pl-PL"/>
              </w:rPr>
              <w:br/>
              <w:t>w 2014 r.</w:t>
            </w:r>
          </w:p>
        </w:tc>
        <w:tc>
          <w:tcPr>
            <w:tcW w:w="1196" w:type="dxa"/>
            <w:gridSpan w:val="2"/>
            <w:shd w:val="clear" w:color="auto" w:fill="FAC760"/>
          </w:tcPr>
          <w:p w:rsidR="00EE0C8C" w:rsidRPr="00EE0C8C" w:rsidRDefault="00EE0C8C" w:rsidP="00EE0C8C">
            <w:pPr>
              <w:spacing w:after="0"/>
              <w:jc w:val="center"/>
              <w:rPr>
                <w:rFonts w:ascii="Times New Roman" w:eastAsia="Calibri" w:hAnsi="Times New Roman" w:cs="Times New Roman"/>
                <w:sz w:val="24"/>
                <w:lang w:eastAsia="pl-PL"/>
              </w:rPr>
            </w:pPr>
            <w:r w:rsidRPr="00EE0C8C">
              <w:rPr>
                <w:rFonts w:ascii="Times New Roman" w:eastAsia="Calibri" w:hAnsi="Times New Roman" w:cs="Times New Roman"/>
                <w:b/>
                <w:bCs/>
                <w:lang w:eastAsia="pl-PL"/>
              </w:rPr>
              <w:t xml:space="preserve">Średnia krajowa </w:t>
            </w:r>
            <w:r w:rsidRPr="00EE0C8C">
              <w:rPr>
                <w:rFonts w:ascii="Times New Roman" w:eastAsia="Calibri" w:hAnsi="Times New Roman" w:cs="Times New Roman"/>
                <w:b/>
                <w:bCs/>
                <w:lang w:eastAsia="pl-PL"/>
              </w:rPr>
              <w:br/>
              <w:t>w 2013 r.</w:t>
            </w:r>
          </w:p>
        </w:tc>
        <w:tc>
          <w:tcPr>
            <w:tcW w:w="1418" w:type="dxa"/>
            <w:shd w:val="clear" w:color="auto" w:fill="FAC760"/>
          </w:tcPr>
          <w:p w:rsidR="00EE0C8C" w:rsidRPr="00EE0C8C" w:rsidRDefault="00EE0C8C" w:rsidP="00EE0C8C">
            <w:pPr>
              <w:spacing w:after="0"/>
              <w:jc w:val="center"/>
              <w:rPr>
                <w:rFonts w:ascii="Times New Roman" w:eastAsia="Calibri" w:hAnsi="Times New Roman" w:cs="Times New Roman"/>
                <w:sz w:val="24"/>
                <w:lang w:eastAsia="pl-PL"/>
              </w:rPr>
            </w:pPr>
            <w:r w:rsidRPr="00EE0C8C">
              <w:rPr>
                <w:rFonts w:ascii="Times New Roman" w:eastAsia="Calibri" w:hAnsi="Times New Roman" w:cs="Times New Roman"/>
                <w:b/>
                <w:bCs/>
                <w:lang w:eastAsia="pl-PL"/>
              </w:rPr>
              <w:t>Wartość docelowa dla Gminy Mirzec</w:t>
            </w:r>
            <w:r w:rsidRPr="00EE0C8C">
              <w:rPr>
                <w:rFonts w:ascii="Times New Roman" w:eastAsia="Calibri" w:hAnsi="Times New Roman" w:cs="Times New Roman"/>
                <w:b/>
                <w:bCs/>
                <w:lang w:eastAsia="pl-PL"/>
              </w:rPr>
              <w:br/>
              <w:t>w 2022 r.</w:t>
            </w:r>
          </w:p>
        </w:tc>
      </w:tr>
      <w:tr w:rsidR="00EE0C8C" w:rsidRPr="00EE0C8C" w:rsidTr="00A76BDB">
        <w:trPr>
          <w:trHeight w:val="98"/>
        </w:trPr>
        <w:tc>
          <w:tcPr>
            <w:tcW w:w="10065" w:type="dxa"/>
            <w:gridSpan w:val="12"/>
            <w:shd w:val="clear" w:color="auto" w:fill="CCCCFF"/>
          </w:tcPr>
          <w:p w:rsidR="00EE0C8C" w:rsidRPr="00EE0C8C" w:rsidRDefault="00EE0C8C" w:rsidP="00EE0C8C">
            <w:pPr>
              <w:spacing w:after="0"/>
              <w:jc w:val="center"/>
              <w:rPr>
                <w:rFonts w:ascii="Times New Roman" w:eastAsia="Calibri" w:hAnsi="Times New Roman" w:cs="Times New Roman"/>
                <w:b/>
                <w:bCs/>
                <w:sz w:val="20"/>
                <w:szCs w:val="20"/>
                <w:lang w:eastAsia="pl-PL"/>
              </w:rPr>
            </w:pPr>
            <w:r w:rsidRPr="00EE0C8C">
              <w:rPr>
                <w:rFonts w:ascii="Times New Roman" w:eastAsia="Calibri" w:hAnsi="Times New Roman" w:cs="Times New Roman"/>
                <w:b/>
                <w:bCs/>
                <w:sz w:val="20"/>
                <w:szCs w:val="20"/>
                <w:lang w:eastAsia="pl-PL"/>
              </w:rPr>
              <w:t>WSKAŹNIK SPOŁECZNY</w:t>
            </w:r>
          </w:p>
        </w:tc>
      </w:tr>
      <w:tr w:rsidR="00EE0C8C" w:rsidRPr="00EE0C8C" w:rsidTr="00A76BDB">
        <w:trPr>
          <w:trHeight w:val="356"/>
        </w:trPr>
        <w:tc>
          <w:tcPr>
            <w:tcW w:w="567" w:type="dxa"/>
            <w:vMerge w:val="restart"/>
          </w:tcPr>
          <w:p w:rsidR="00EE0C8C" w:rsidRPr="00EE0C8C" w:rsidRDefault="00EE0C8C" w:rsidP="00EE0C8C">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1.</w:t>
            </w:r>
          </w:p>
        </w:tc>
        <w:tc>
          <w:tcPr>
            <w:tcW w:w="1560" w:type="dxa"/>
            <w:vMerge w:val="restart"/>
          </w:tcPr>
          <w:p w:rsidR="00EE0C8C" w:rsidRPr="00EE0C8C" w:rsidRDefault="00EE0C8C" w:rsidP="00EE0C8C">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 xml:space="preserve">Udział ludności wg </w:t>
            </w:r>
            <w:r w:rsidRPr="00EE0C8C">
              <w:rPr>
                <w:rFonts w:ascii="Times New Roman" w:eastAsia="Calibri" w:hAnsi="Times New Roman" w:cs="Times New Roman"/>
                <w:sz w:val="20"/>
                <w:szCs w:val="20"/>
                <w:lang w:eastAsia="pl-PL"/>
              </w:rPr>
              <w:lastRenderedPageBreak/>
              <w:t xml:space="preserve">ekonomicznych grup wieku </w:t>
            </w:r>
            <w:r w:rsidRPr="00EE0C8C">
              <w:rPr>
                <w:rFonts w:ascii="Times New Roman" w:eastAsia="Calibri" w:hAnsi="Times New Roman" w:cs="Times New Roman"/>
                <w:sz w:val="20"/>
                <w:szCs w:val="20"/>
                <w:lang w:eastAsia="pl-PL"/>
              </w:rPr>
              <w:br/>
              <w:t xml:space="preserve">w % ludności ogółem </w:t>
            </w:r>
          </w:p>
        </w:tc>
        <w:tc>
          <w:tcPr>
            <w:tcW w:w="1984" w:type="dxa"/>
            <w:gridSpan w:val="2"/>
          </w:tcPr>
          <w:p w:rsidR="00EE0C8C" w:rsidRPr="00EE0C8C" w:rsidRDefault="00EE0C8C" w:rsidP="00EE0C8C">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lastRenderedPageBreak/>
              <w:t xml:space="preserve">wiek przedprodukcyjny </w:t>
            </w:r>
          </w:p>
        </w:tc>
        <w:tc>
          <w:tcPr>
            <w:tcW w:w="1418" w:type="dxa"/>
            <w:gridSpan w:val="3"/>
          </w:tcPr>
          <w:p w:rsidR="00EE0C8C" w:rsidRPr="00EE0C8C" w:rsidRDefault="00EE0C8C" w:rsidP="00EE0C8C">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18,38%</w:t>
            </w:r>
          </w:p>
        </w:tc>
        <w:tc>
          <w:tcPr>
            <w:tcW w:w="1922" w:type="dxa"/>
            <w:gridSpan w:val="2"/>
          </w:tcPr>
          <w:p w:rsidR="00EE0C8C" w:rsidRPr="00EE0C8C" w:rsidRDefault="00EE0C8C" w:rsidP="00EE0C8C">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16,49%</w:t>
            </w:r>
          </w:p>
        </w:tc>
        <w:tc>
          <w:tcPr>
            <w:tcW w:w="1196" w:type="dxa"/>
            <w:gridSpan w:val="2"/>
          </w:tcPr>
          <w:p w:rsidR="00EE0C8C" w:rsidRPr="00EE0C8C" w:rsidRDefault="00EE0C8C" w:rsidP="00EE0C8C">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18,20%</w:t>
            </w:r>
          </w:p>
        </w:tc>
        <w:tc>
          <w:tcPr>
            <w:tcW w:w="1418" w:type="dxa"/>
          </w:tcPr>
          <w:p w:rsidR="00EE0C8C" w:rsidRPr="00EE0C8C" w:rsidRDefault="00EE0C8C" w:rsidP="00EE0C8C">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 xml:space="preserve">powyżej średniej </w:t>
            </w:r>
            <w:r w:rsidRPr="00EE0C8C">
              <w:rPr>
                <w:rFonts w:ascii="Times New Roman" w:eastAsia="Calibri" w:hAnsi="Times New Roman" w:cs="Times New Roman"/>
                <w:sz w:val="20"/>
                <w:szCs w:val="20"/>
                <w:lang w:eastAsia="pl-PL"/>
              </w:rPr>
              <w:lastRenderedPageBreak/>
              <w:t xml:space="preserve">krajowej </w:t>
            </w:r>
          </w:p>
        </w:tc>
      </w:tr>
      <w:tr w:rsidR="00EE0C8C" w:rsidRPr="00EE0C8C" w:rsidTr="00A76BDB">
        <w:trPr>
          <w:trHeight w:val="1071"/>
        </w:trPr>
        <w:tc>
          <w:tcPr>
            <w:tcW w:w="567" w:type="dxa"/>
            <w:vMerge/>
          </w:tcPr>
          <w:p w:rsidR="00EE0C8C" w:rsidRPr="00EE0C8C" w:rsidRDefault="00EE0C8C" w:rsidP="00EE0C8C">
            <w:pPr>
              <w:spacing w:after="0"/>
              <w:jc w:val="both"/>
              <w:rPr>
                <w:rFonts w:ascii="Times New Roman" w:eastAsia="Calibri" w:hAnsi="Times New Roman" w:cs="Times New Roman"/>
                <w:sz w:val="20"/>
                <w:szCs w:val="20"/>
                <w:lang w:eastAsia="pl-PL"/>
              </w:rPr>
            </w:pPr>
          </w:p>
        </w:tc>
        <w:tc>
          <w:tcPr>
            <w:tcW w:w="1560" w:type="dxa"/>
            <w:vMerge/>
          </w:tcPr>
          <w:p w:rsidR="00EE0C8C" w:rsidRPr="00EE0C8C" w:rsidRDefault="00EE0C8C" w:rsidP="00EE0C8C">
            <w:pPr>
              <w:spacing w:after="0"/>
              <w:jc w:val="both"/>
              <w:rPr>
                <w:rFonts w:ascii="Times New Roman" w:eastAsia="Calibri" w:hAnsi="Times New Roman" w:cs="Times New Roman"/>
                <w:sz w:val="20"/>
                <w:szCs w:val="20"/>
                <w:lang w:eastAsia="pl-PL"/>
              </w:rPr>
            </w:pPr>
          </w:p>
        </w:tc>
        <w:tc>
          <w:tcPr>
            <w:tcW w:w="1984" w:type="dxa"/>
            <w:gridSpan w:val="2"/>
          </w:tcPr>
          <w:p w:rsidR="00EE0C8C" w:rsidRPr="00EE0C8C" w:rsidRDefault="00EE0C8C" w:rsidP="00EE0C8C">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wiek produkcyjny</w:t>
            </w:r>
          </w:p>
        </w:tc>
        <w:tc>
          <w:tcPr>
            <w:tcW w:w="1418" w:type="dxa"/>
            <w:gridSpan w:val="3"/>
          </w:tcPr>
          <w:p w:rsidR="00EE0C8C" w:rsidRPr="00EE0C8C" w:rsidRDefault="00EE0C8C" w:rsidP="00EE0C8C">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61,62%</w:t>
            </w:r>
          </w:p>
        </w:tc>
        <w:tc>
          <w:tcPr>
            <w:tcW w:w="1922" w:type="dxa"/>
            <w:gridSpan w:val="2"/>
          </w:tcPr>
          <w:p w:rsidR="00EE0C8C" w:rsidRPr="00EE0C8C" w:rsidRDefault="00EE0C8C" w:rsidP="00EE0C8C">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61,71%</w:t>
            </w:r>
          </w:p>
        </w:tc>
        <w:tc>
          <w:tcPr>
            <w:tcW w:w="1196" w:type="dxa"/>
            <w:gridSpan w:val="2"/>
          </w:tcPr>
          <w:p w:rsidR="00EE0C8C" w:rsidRPr="00EE0C8C" w:rsidRDefault="00EE0C8C" w:rsidP="00EE0C8C">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63,40%</w:t>
            </w:r>
          </w:p>
        </w:tc>
        <w:tc>
          <w:tcPr>
            <w:tcW w:w="1418" w:type="dxa"/>
          </w:tcPr>
          <w:p w:rsidR="00EE0C8C" w:rsidRPr="00EE0C8C" w:rsidRDefault="00EE0C8C" w:rsidP="00EE0C8C">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poniżej średniej krajowej</w:t>
            </w:r>
          </w:p>
        </w:tc>
      </w:tr>
      <w:tr w:rsidR="00EE0C8C" w:rsidRPr="00EE0C8C" w:rsidTr="00A76BDB">
        <w:trPr>
          <w:trHeight w:val="936"/>
        </w:trPr>
        <w:tc>
          <w:tcPr>
            <w:tcW w:w="567" w:type="dxa"/>
            <w:vMerge/>
          </w:tcPr>
          <w:p w:rsidR="00EE0C8C" w:rsidRPr="00EE0C8C" w:rsidRDefault="00EE0C8C" w:rsidP="00EE0C8C">
            <w:pPr>
              <w:spacing w:after="0"/>
              <w:jc w:val="both"/>
              <w:rPr>
                <w:rFonts w:ascii="Times New Roman" w:eastAsia="Calibri" w:hAnsi="Times New Roman" w:cs="Times New Roman"/>
                <w:sz w:val="20"/>
                <w:szCs w:val="20"/>
                <w:lang w:eastAsia="pl-PL"/>
              </w:rPr>
            </w:pPr>
          </w:p>
        </w:tc>
        <w:tc>
          <w:tcPr>
            <w:tcW w:w="1560" w:type="dxa"/>
            <w:vMerge/>
          </w:tcPr>
          <w:p w:rsidR="00EE0C8C" w:rsidRPr="00EE0C8C" w:rsidRDefault="00EE0C8C" w:rsidP="00EE0C8C">
            <w:pPr>
              <w:spacing w:after="0"/>
              <w:jc w:val="both"/>
              <w:rPr>
                <w:rFonts w:ascii="Times New Roman" w:eastAsia="Calibri" w:hAnsi="Times New Roman" w:cs="Times New Roman"/>
                <w:sz w:val="20"/>
                <w:szCs w:val="20"/>
                <w:lang w:eastAsia="pl-PL"/>
              </w:rPr>
            </w:pPr>
          </w:p>
        </w:tc>
        <w:tc>
          <w:tcPr>
            <w:tcW w:w="1984" w:type="dxa"/>
            <w:gridSpan w:val="2"/>
          </w:tcPr>
          <w:p w:rsidR="00EE0C8C" w:rsidRPr="00EE0C8C" w:rsidRDefault="00EE0C8C" w:rsidP="00EE0C8C">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wiek poprodukcyjny</w:t>
            </w:r>
          </w:p>
        </w:tc>
        <w:tc>
          <w:tcPr>
            <w:tcW w:w="1418" w:type="dxa"/>
            <w:gridSpan w:val="3"/>
          </w:tcPr>
          <w:p w:rsidR="00EE0C8C" w:rsidRPr="00EE0C8C" w:rsidRDefault="00EE0C8C" w:rsidP="00EE0C8C">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19,93%</w:t>
            </w:r>
          </w:p>
        </w:tc>
        <w:tc>
          <w:tcPr>
            <w:tcW w:w="1922" w:type="dxa"/>
            <w:gridSpan w:val="2"/>
          </w:tcPr>
          <w:p w:rsidR="00EE0C8C" w:rsidRPr="00EE0C8C" w:rsidRDefault="00EE0C8C" w:rsidP="00EE0C8C">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21,80%</w:t>
            </w:r>
          </w:p>
        </w:tc>
        <w:tc>
          <w:tcPr>
            <w:tcW w:w="1196" w:type="dxa"/>
            <w:gridSpan w:val="2"/>
          </w:tcPr>
          <w:p w:rsidR="00EE0C8C" w:rsidRPr="00EE0C8C" w:rsidRDefault="00EE0C8C" w:rsidP="00EE0C8C">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18,40%</w:t>
            </w:r>
          </w:p>
        </w:tc>
        <w:tc>
          <w:tcPr>
            <w:tcW w:w="1418" w:type="dxa"/>
          </w:tcPr>
          <w:p w:rsidR="00EE0C8C" w:rsidRPr="00EE0C8C" w:rsidRDefault="00574D46" w:rsidP="00EE0C8C">
            <w:pPr>
              <w:spacing w:after="0"/>
              <w:jc w:val="both"/>
              <w:rPr>
                <w:rFonts w:ascii="Times New Roman" w:eastAsia="Calibri" w:hAnsi="Times New Roman" w:cs="Times New Roman"/>
                <w:sz w:val="20"/>
                <w:szCs w:val="20"/>
                <w:lang w:eastAsia="pl-PL"/>
              </w:rPr>
            </w:pPr>
            <w:r>
              <w:rPr>
                <w:rFonts w:ascii="Times New Roman" w:eastAsia="Calibri" w:hAnsi="Times New Roman" w:cs="Times New Roman"/>
                <w:sz w:val="20"/>
                <w:szCs w:val="20"/>
                <w:lang w:eastAsia="pl-PL"/>
              </w:rPr>
              <w:t xml:space="preserve">powyżej </w:t>
            </w:r>
            <w:r w:rsidR="00EE0C8C" w:rsidRPr="00EE0C8C">
              <w:rPr>
                <w:rFonts w:ascii="Times New Roman" w:eastAsia="Calibri" w:hAnsi="Times New Roman" w:cs="Times New Roman"/>
                <w:sz w:val="20"/>
                <w:szCs w:val="20"/>
                <w:lang w:eastAsia="pl-PL"/>
              </w:rPr>
              <w:t>średniej krajowej</w:t>
            </w:r>
          </w:p>
        </w:tc>
      </w:tr>
      <w:tr w:rsidR="00EE0C8C" w:rsidRPr="00EE0C8C" w:rsidTr="00A76BDB">
        <w:trPr>
          <w:trHeight w:val="356"/>
        </w:trPr>
        <w:tc>
          <w:tcPr>
            <w:tcW w:w="567" w:type="dxa"/>
          </w:tcPr>
          <w:p w:rsidR="00EE0C8C" w:rsidRPr="00EE0C8C" w:rsidRDefault="00EE0C8C" w:rsidP="00EE0C8C">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2.</w:t>
            </w:r>
          </w:p>
        </w:tc>
        <w:tc>
          <w:tcPr>
            <w:tcW w:w="3544" w:type="dxa"/>
            <w:gridSpan w:val="3"/>
          </w:tcPr>
          <w:p w:rsidR="00EE0C8C" w:rsidRPr="00EE0C8C" w:rsidRDefault="00EE0C8C" w:rsidP="00EE0C8C">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Przyrost naturalny na 1000 osób</w:t>
            </w:r>
          </w:p>
        </w:tc>
        <w:tc>
          <w:tcPr>
            <w:tcW w:w="1418" w:type="dxa"/>
            <w:gridSpan w:val="3"/>
          </w:tcPr>
          <w:p w:rsidR="00EE0C8C" w:rsidRPr="00EE0C8C" w:rsidRDefault="00EE0C8C" w:rsidP="00EE0C8C">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-3,3</w:t>
            </w:r>
          </w:p>
        </w:tc>
        <w:tc>
          <w:tcPr>
            <w:tcW w:w="1922" w:type="dxa"/>
            <w:gridSpan w:val="2"/>
          </w:tcPr>
          <w:p w:rsidR="00EE0C8C" w:rsidRPr="00EE0C8C" w:rsidRDefault="00EE0C8C" w:rsidP="00EE0C8C">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-3,1</w:t>
            </w:r>
          </w:p>
        </w:tc>
        <w:tc>
          <w:tcPr>
            <w:tcW w:w="1196" w:type="dxa"/>
            <w:gridSpan w:val="2"/>
          </w:tcPr>
          <w:p w:rsidR="00EE0C8C" w:rsidRPr="00EE0C8C" w:rsidRDefault="00EE0C8C" w:rsidP="00EE0C8C">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0,5</w:t>
            </w:r>
          </w:p>
        </w:tc>
        <w:tc>
          <w:tcPr>
            <w:tcW w:w="1418" w:type="dxa"/>
          </w:tcPr>
          <w:p w:rsidR="00EE0C8C" w:rsidRPr="00EE0C8C" w:rsidRDefault="00574D46" w:rsidP="00574D46">
            <w:pPr>
              <w:spacing w:after="0"/>
              <w:jc w:val="both"/>
              <w:rPr>
                <w:rFonts w:ascii="Times New Roman" w:eastAsia="Calibri" w:hAnsi="Times New Roman" w:cs="Times New Roman"/>
                <w:sz w:val="20"/>
                <w:szCs w:val="20"/>
                <w:lang w:eastAsia="pl-PL"/>
              </w:rPr>
            </w:pPr>
            <w:r>
              <w:rPr>
                <w:rFonts w:ascii="Times New Roman" w:eastAsia="Calibri" w:hAnsi="Times New Roman" w:cs="Times New Roman"/>
                <w:sz w:val="20"/>
                <w:szCs w:val="20"/>
                <w:lang w:eastAsia="pl-PL"/>
              </w:rPr>
              <w:t xml:space="preserve">poniżej </w:t>
            </w:r>
            <w:r w:rsidR="00EE0C8C" w:rsidRPr="00EE0C8C">
              <w:rPr>
                <w:rFonts w:ascii="Times New Roman" w:eastAsia="Calibri" w:hAnsi="Times New Roman" w:cs="Times New Roman"/>
                <w:sz w:val="20"/>
                <w:szCs w:val="20"/>
                <w:lang w:eastAsia="pl-PL"/>
              </w:rPr>
              <w:t>średniej krajowej</w:t>
            </w:r>
          </w:p>
        </w:tc>
      </w:tr>
      <w:tr w:rsidR="00EE0C8C" w:rsidRPr="00EE0C8C" w:rsidTr="00A76BDB">
        <w:trPr>
          <w:trHeight w:val="356"/>
        </w:trPr>
        <w:tc>
          <w:tcPr>
            <w:tcW w:w="567" w:type="dxa"/>
          </w:tcPr>
          <w:p w:rsidR="00EE0C8C" w:rsidRPr="00EE0C8C" w:rsidRDefault="00EE0C8C" w:rsidP="00EE0C8C">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3.</w:t>
            </w:r>
          </w:p>
        </w:tc>
        <w:tc>
          <w:tcPr>
            <w:tcW w:w="3544" w:type="dxa"/>
            <w:gridSpan w:val="3"/>
          </w:tcPr>
          <w:p w:rsidR="00EE0C8C" w:rsidRPr="00EE0C8C" w:rsidRDefault="00EE0C8C" w:rsidP="00EE0C8C">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Saldo migracji na 1000 osób</w:t>
            </w:r>
          </w:p>
        </w:tc>
        <w:tc>
          <w:tcPr>
            <w:tcW w:w="1418" w:type="dxa"/>
            <w:gridSpan w:val="3"/>
          </w:tcPr>
          <w:p w:rsidR="00EE0C8C" w:rsidRPr="00EE0C8C" w:rsidRDefault="00EE0C8C" w:rsidP="00EE0C8C">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-0,6</w:t>
            </w:r>
          </w:p>
        </w:tc>
        <w:tc>
          <w:tcPr>
            <w:tcW w:w="1922" w:type="dxa"/>
            <w:gridSpan w:val="2"/>
          </w:tcPr>
          <w:p w:rsidR="00EE0C8C" w:rsidRPr="00EE0C8C" w:rsidRDefault="00EE0C8C" w:rsidP="00EE0C8C">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-3,5</w:t>
            </w:r>
          </w:p>
        </w:tc>
        <w:tc>
          <w:tcPr>
            <w:tcW w:w="1196" w:type="dxa"/>
            <w:gridSpan w:val="2"/>
          </w:tcPr>
          <w:p w:rsidR="00EE0C8C" w:rsidRPr="00EE0C8C" w:rsidRDefault="00EE0C8C" w:rsidP="00EE0C8C">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-0,52</w:t>
            </w:r>
          </w:p>
        </w:tc>
        <w:tc>
          <w:tcPr>
            <w:tcW w:w="1418" w:type="dxa"/>
          </w:tcPr>
          <w:p w:rsidR="00EE0C8C" w:rsidRPr="00EE0C8C" w:rsidRDefault="00EE0C8C" w:rsidP="00574D46">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po</w:t>
            </w:r>
            <w:r w:rsidR="00574D46">
              <w:rPr>
                <w:rFonts w:ascii="Times New Roman" w:eastAsia="Calibri" w:hAnsi="Times New Roman" w:cs="Times New Roman"/>
                <w:sz w:val="20"/>
                <w:szCs w:val="20"/>
                <w:lang w:eastAsia="pl-PL"/>
              </w:rPr>
              <w:t>wyże</w:t>
            </w:r>
            <w:r w:rsidRPr="00EE0C8C">
              <w:rPr>
                <w:rFonts w:ascii="Times New Roman" w:eastAsia="Calibri" w:hAnsi="Times New Roman" w:cs="Times New Roman"/>
                <w:sz w:val="20"/>
                <w:szCs w:val="20"/>
                <w:lang w:eastAsia="pl-PL"/>
              </w:rPr>
              <w:t>j średniej krajowej</w:t>
            </w:r>
          </w:p>
        </w:tc>
      </w:tr>
      <w:tr w:rsidR="00EE0C8C" w:rsidRPr="00EE0C8C" w:rsidTr="00A76BDB">
        <w:trPr>
          <w:trHeight w:val="637"/>
        </w:trPr>
        <w:tc>
          <w:tcPr>
            <w:tcW w:w="567" w:type="dxa"/>
          </w:tcPr>
          <w:p w:rsidR="00EE0C8C" w:rsidRPr="00EE0C8C" w:rsidRDefault="00EE0C8C" w:rsidP="00EE0C8C">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4.</w:t>
            </w:r>
          </w:p>
        </w:tc>
        <w:tc>
          <w:tcPr>
            <w:tcW w:w="3544" w:type="dxa"/>
            <w:gridSpan w:val="3"/>
          </w:tcPr>
          <w:p w:rsidR="00EE0C8C" w:rsidRPr="00EE0C8C" w:rsidRDefault="00EE0C8C" w:rsidP="00EE0C8C">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 xml:space="preserve">Udział % osób w gospodarstwach domowych korzystających ze środowiskowej pomocy społecznej </w:t>
            </w:r>
            <w:r w:rsidRPr="00EE0C8C">
              <w:rPr>
                <w:rFonts w:ascii="Times New Roman" w:eastAsia="Calibri" w:hAnsi="Times New Roman" w:cs="Times New Roman"/>
                <w:sz w:val="20"/>
                <w:szCs w:val="20"/>
                <w:lang w:eastAsia="pl-PL"/>
              </w:rPr>
              <w:br/>
              <w:t xml:space="preserve">w ludności ogółem </w:t>
            </w:r>
          </w:p>
        </w:tc>
        <w:tc>
          <w:tcPr>
            <w:tcW w:w="1418" w:type="dxa"/>
            <w:gridSpan w:val="3"/>
          </w:tcPr>
          <w:p w:rsidR="00EE0C8C" w:rsidRPr="00EE0C8C" w:rsidRDefault="00EE0C8C" w:rsidP="00EE0C8C">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9,7%</w:t>
            </w:r>
          </w:p>
        </w:tc>
        <w:tc>
          <w:tcPr>
            <w:tcW w:w="1922" w:type="dxa"/>
            <w:gridSpan w:val="2"/>
          </w:tcPr>
          <w:p w:rsidR="00EE0C8C" w:rsidRPr="00EE0C8C" w:rsidRDefault="00EE0C8C" w:rsidP="00EE0C8C">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10,2%</w:t>
            </w:r>
          </w:p>
        </w:tc>
        <w:tc>
          <w:tcPr>
            <w:tcW w:w="1196" w:type="dxa"/>
            <w:gridSpan w:val="2"/>
          </w:tcPr>
          <w:p w:rsidR="00EE0C8C" w:rsidRPr="00EE0C8C" w:rsidRDefault="00EE0C8C" w:rsidP="00EE0C8C">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8,3%</w:t>
            </w:r>
          </w:p>
        </w:tc>
        <w:tc>
          <w:tcPr>
            <w:tcW w:w="1418" w:type="dxa"/>
          </w:tcPr>
          <w:p w:rsidR="00EE0C8C" w:rsidRPr="00EE0C8C" w:rsidRDefault="00574D46" w:rsidP="00EE0C8C">
            <w:pPr>
              <w:spacing w:after="0"/>
              <w:jc w:val="both"/>
              <w:rPr>
                <w:rFonts w:ascii="Times New Roman" w:eastAsia="Calibri" w:hAnsi="Times New Roman" w:cs="Times New Roman"/>
                <w:sz w:val="20"/>
                <w:szCs w:val="20"/>
                <w:lang w:eastAsia="pl-PL"/>
              </w:rPr>
            </w:pPr>
            <w:r>
              <w:rPr>
                <w:rFonts w:ascii="Times New Roman" w:eastAsia="Calibri" w:hAnsi="Times New Roman" w:cs="Times New Roman"/>
                <w:sz w:val="20"/>
                <w:szCs w:val="20"/>
                <w:lang w:eastAsia="pl-PL"/>
              </w:rPr>
              <w:t xml:space="preserve">powyżej </w:t>
            </w:r>
            <w:r w:rsidR="00EE0C8C" w:rsidRPr="00EE0C8C">
              <w:rPr>
                <w:rFonts w:ascii="Times New Roman" w:eastAsia="Calibri" w:hAnsi="Times New Roman" w:cs="Times New Roman"/>
                <w:sz w:val="20"/>
                <w:szCs w:val="20"/>
                <w:lang w:eastAsia="pl-PL"/>
              </w:rPr>
              <w:t xml:space="preserve">średniej krajowej </w:t>
            </w:r>
          </w:p>
        </w:tc>
      </w:tr>
      <w:tr w:rsidR="00EE0C8C" w:rsidRPr="00EE0C8C" w:rsidTr="00A76BDB">
        <w:trPr>
          <w:trHeight w:val="637"/>
        </w:trPr>
        <w:tc>
          <w:tcPr>
            <w:tcW w:w="567" w:type="dxa"/>
          </w:tcPr>
          <w:p w:rsidR="00EE0C8C" w:rsidRPr="00EE0C8C" w:rsidRDefault="00EE0C8C" w:rsidP="00EE0C8C">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5.</w:t>
            </w:r>
          </w:p>
        </w:tc>
        <w:tc>
          <w:tcPr>
            <w:tcW w:w="3544" w:type="dxa"/>
            <w:gridSpan w:val="3"/>
          </w:tcPr>
          <w:p w:rsidR="00EE0C8C" w:rsidRPr="00EE0C8C" w:rsidRDefault="00EE0C8C" w:rsidP="00EE0C8C">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Udział bezrobotnych zarejestrowanych w liczbie ludności w wieku produkcyjnym w %</w:t>
            </w:r>
          </w:p>
        </w:tc>
        <w:tc>
          <w:tcPr>
            <w:tcW w:w="1418" w:type="dxa"/>
            <w:gridSpan w:val="3"/>
          </w:tcPr>
          <w:p w:rsidR="00EE0C8C" w:rsidRPr="00EE0C8C" w:rsidRDefault="00EE0C8C" w:rsidP="00EE0C8C">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9,1%</w:t>
            </w:r>
          </w:p>
        </w:tc>
        <w:tc>
          <w:tcPr>
            <w:tcW w:w="1922" w:type="dxa"/>
            <w:gridSpan w:val="2"/>
          </w:tcPr>
          <w:p w:rsidR="00EE0C8C" w:rsidRPr="00EE0C8C" w:rsidRDefault="00EE0C8C" w:rsidP="00EE0C8C">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9,7%</w:t>
            </w:r>
          </w:p>
        </w:tc>
        <w:tc>
          <w:tcPr>
            <w:tcW w:w="1196" w:type="dxa"/>
            <w:gridSpan w:val="2"/>
          </w:tcPr>
          <w:p w:rsidR="00EE0C8C" w:rsidRPr="00EE0C8C" w:rsidRDefault="00EE0C8C" w:rsidP="00EE0C8C">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8,8%</w:t>
            </w:r>
          </w:p>
        </w:tc>
        <w:tc>
          <w:tcPr>
            <w:tcW w:w="1418" w:type="dxa"/>
          </w:tcPr>
          <w:p w:rsidR="00EE0C8C" w:rsidRPr="00EE0C8C" w:rsidRDefault="00574D46" w:rsidP="00EE0C8C">
            <w:pPr>
              <w:spacing w:after="0"/>
              <w:jc w:val="both"/>
              <w:rPr>
                <w:rFonts w:ascii="Times New Roman" w:eastAsia="Calibri" w:hAnsi="Times New Roman" w:cs="Times New Roman"/>
                <w:sz w:val="20"/>
                <w:szCs w:val="20"/>
                <w:lang w:eastAsia="pl-PL"/>
              </w:rPr>
            </w:pPr>
            <w:r>
              <w:rPr>
                <w:rFonts w:ascii="Times New Roman" w:eastAsia="Calibri" w:hAnsi="Times New Roman" w:cs="Times New Roman"/>
                <w:sz w:val="20"/>
                <w:szCs w:val="20"/>
                <w:lang w:eastAsia="pl-PL"/>
              </w:rPr>
              <w:t xml:space="preserve">powyżej </w:t>
            </w:r>
            <w:r w:rsidR="00EE0C8C" w:rsidRPr="00EE0C8C">
              <w:rPr>
                <w:rFonts w:ascii="Times New Roman" w:eastAsia="Calibri" w:hAnsi="Times New Roman" w:cs="Times New Roman"/>
                <w:sz w:val="20"/>
                <w:szCs w:val="20"/>
                <w:lang w:eastAsia="pl-PL"/>
              </w:rPr>
              <w:t xml:space="preserve">średniej krajowej </w:t>
            </w:r>
          </w:p>
        </w:tc>
      </w:tr>
      <w:tr w:rsidR="00EE0C8C" w:rsidRPr="00EE0C8C" w:rsidTr="00A76BDB">
        <w:trPr>
          <w:trHeight w:val="637"/>
        </w:trPr>
        <w:tc>
          <w:tcPr>
            <w:tcW w:w="567" w:type="dxa"/>
          </w:tcPr>
          <w:p w:rsidR="00EE0C8C" w:rsidRPr="00EE0C8C" w:rsidRDefault="00EE0C8C" w:rsidP="00EE0C8C">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6.</w:t>
            </w:r>
          </w:p>
        </w:tc>
        <w:tc>
          <w:tcPr>
            <w:tcW w:w="3544" w:type="dxa"/>
            <w:gridSpan w:val="3"/>
          </w:tcPr>
          <w:p w:rsidR="00EE0C8C" w:rsidRPr="00EE0C8C" w:rsidRDefault="00EE0C8C" w:rsidP="00EE0C8C">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Dochód ogółem budżetu gminy na 1 mieszkańca w zł</w:t>
            </w:r>
          </w:p>
        </w:tc>
        <w:tc>
          <w:tcPr>
            <w:tcW w:w="1418" w:type="dxa"/>
            <w:gridSpan w:val="3"/>
          </w:tcPr>
          <w:p w:rsidR="00EE0C8C" w:rsidRPr="00EE0C8C" w:rsidRDefault="00EE0C8C" w:rsidP="00EE0C8C">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3095</w:t>
            </w:r>
          </w:p>
        </w:tc>
        <w:tc>
          <w:tcPr>
            <w:tcW w:w="1922" w:type="dxa"/>
            <w:gridSpan w:val="2"/>
          </w:tcPr>
          <w:p w:rsidR="00EE0C8C" w:rsidRPr="00EE0C8C" w:rsidRDefault="00EE0C8C" w:rsidP="00EE0C8C">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2923</w:t>
            </w:r>
          </w:p>
        </w:tc>
        <w:tc>
          <w:tcPr>
            <w:tcW w:w="1196" w:type="dxa"/>
            <w:gridSpan w:val="2"/>
          </w:tcPr>
          <w:p w:rsidR="00EE0C8C" w:rsidRPr="00EE0C8C" w:rsidRDefault="00EE0C8C" w:rsidP="00EE0C8C">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3098,94</w:t>
            </w:r>
          </w:p>
        </w:tc>
        <w:tc>
          <w:tcPr>
            <w:tcW w:w="1418" w:type="dxa"/>
          </w:tcPr>
          <w:p w:rsidR="00EE0C8C" w:rsidRPr="00EE0C8C" w:rsidRDefault="00EE0C8C" w:rsidP="00574D46">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po</w:t>
            </w:r>
            <w:r w:rsidR="00574D46">
              <w:rPr>
                <w:rFonts w:ascii="Times New Roman" w:eastAsia="Calibri" w:hAnsi="Times New Roman" w:cs="Times New Roman"/>
                <w:sz w:val="20"/>
                <w:szCs w:val="20"/>
                <w:lang w:eastAsia="pl-PL"/>
              </w:rPr>
              <w:t>niżej</w:t>
            </w:r>
            <w:r w:rsidRPr="00EE0C8C">
              <w:rPr>
                <w:rFonts w:ascii="Times New Roman" w:eastAsia="Calibri" w:hAnsi="Times New Roman" w:cs="Times New Roman"/>
                <w:sz w:val="20"/>
                <w:szCs w:val="20"/>
                <w:lang w:eastAsia="pl-PL"/>
              </w:rPr>
              <w:t xml:space="preserve"> średniej krajowej </w:t>
            </w:r>
          </w:p>
        </w:tc>
      </w:tr>
      <w:tr w:rsidR="00EE0C8C" w:rsidRPr="00EE0C8C" w:rsidTr="00A76BDB">
        <w:trPr>
          <w:trHeight w:val="637"/>
        </w:trPr>
        <w:tc>
          <w:tcPr>
            <w:tcW w:w="567" w:type="dxa"/>
          </w:tcPr>
          <w:p w:rsidR="00EE0C8C" w:rsidRPr="00EE0C8C" w:rsidRDefault="00EE0C8C" w:rsidP="00EE0C8C">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7.</w:t>
            </w:r>
          </w:p>
        </w:tc>
        <w:tc>
          <w:tcPr>
            <w:tcW w:w="3544" w:type="dxa"/>
            <w:gridSpan w:val="3"/>
          </w:tcPr>
          <w:p w:rsidR="00EE0C8C" w:rsidRPr="00EE0C8C" w:rsidRDefault="00EE0C8C" w:rsidP="00EE0C8C">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Udział osób korzystających ze środowiskowej pomocy społecznej w ludności ogółem w %</w:t>
            </w:r>
          </w:p>
        </w:tc>
        <w:tc>
          <w:tcPr>
            <w:tcW w:w="1418" w:type="dxa"/>
            <w:gridSpan w:val="3"/>
          </w:tcPr>
          <w:p w:rsidR="00EE0C8C" w:rsidRPr="00EE0C8C" w:rsidRDefault="00EE0C8C" w:rsidP="00EE0C8C">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9,4%</w:t>
            </w:r>
          </w:p>
        </w:tc>
        <w:tc>
          <w:tcPr>
            <w:tcW w:w="1922" w:type="dxa"/>
            <w:gridSpan w:val="2"/>
          </w:tcPr>
          <w:p w:rsidR="00EE0C8C" w:rsidRPr="00EE0C8C" w:rsidRDefault="00EE0C8C" w:rsidP="00EE0C8C">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9,7%</w:t>
            </w:r>
          </w:p>
        </w:tc>
        <w:tc>
          <w:tcPr>
            <w:tcW w:w="1196" w:type="dxa"/>
            <w:gridSpan w:val="2"/>
          </w:tcPr>
          <w:p w:rsidR="00EE0C8C" w:rsidRPr="00EE0C8C" w:rsidRDefault="00EE0C8C" w:rsidP="00EE0C8C">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8,3%</w:t>
            </w:r>
          </w:p>
        </w:tc>
        <w:tc>
          <w:tcPr>
            <w:tcW w:w="1418" w:type="dxa"/>
          </w:tcPr>
          <w:p w:rsidR="00EE0C8C" w:rsidRPr="00EE0C8C" w:rsidRDefault="00574D46" w:rsidP="00574D46">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P</w:t>
            </w:r>
            <w:r w:rsidR="00EE0C8C" w:rsidRPr="00EE0C8C">
              <w:rPr>
                <w:rFonts w:ascii="Times New Roman" w:eastAsia="Calibri" w:hAnsi="Times New Roman" w:cs="Times New Roman"/>
                <w:sz w:val="20"/>
                <w:szCs w:val="20"/>
                <w:lang w:eastAsia="pl-PL"/>
              </w:rPr>
              <w:t>o</w:t>
            </w:r>
            <w:r>
              <w:rPr>
                <w:rFonts w:ascii="Times New Roman" w:eastAsia="Calibri" w:hAnsi="Times New Roman" w:cs="Times New Roman"/>
                <w:sz w:val="20"/>
                <w:szCs w:val="20"/>
                <w:lang w:eastAsia="pl-PL"/>
              </w:rPr>
              <w:t xml:space="preserve">wyżej </w:t>
            </w:r>
            <w:r w:rsidR="00EE0C8C" w:rsidRPr="00EE0C8C">
              <w:rPr>
                <w:rFonts w:ascii="Times New Roman" w:eastAsia="Calibri" w:hAnsi="Times New Roman" w:cs="Times New Roman"/>
                <w:sz w:val="20"/>
                <w:szCs w:val="20"/>
                <w:lang w:eastAsia="pl-PL"/>
              </w:rPr>
              <w:t xml:space="preserve">średniej krajowej </w:t>
            </w:r>
          </w:p>
        </w:tc>
      </w:tr>
      <w:tr w:rsidR="00EE0C8C" w:rsidRPr="00EE0C8C" w:rsidTr="00A76BDB">
        <w:trPr>
          <w:trHeight w:val="637"/>
        </w:trPr>
        <w:tc>
          <w:tcPr>
            <w:tcW w:w="567" w:type="dxa"/>
          </w:tcPr>
          <w:p w:rsidR="00EE0C8C" w:rsidRPr="00EE0C8C" w:rsidRDefault="00EE0C8C" w:rsidP="00EE0C8C">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8.</w:t>
            </w:r>
          </w:p>
        </w:tc>
        <w:tc>
          <w:tcPr>
            <w:tcW w:w="3544" w:type="dxa"/>
            <w:gridSpan w:val="3"/>
          </w:tcPr>
          <w:p w:rsidR="00EE0C8C" w:rsidRPr="00EE0C8C" w:rsidRDefault="00EE0C8C" w:rsidP="00EE0C8C">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Liczba uczniów przypadająca na 1 oddział w szkołach podstawowych</w:t>
            </w:r>
          </w:p>
        </w:tc>
        <w:tc>
          <w:tcPr>
            <w:tcW w:w="1418" w:type="dxa"/>
            <w:gridSpan w:val="3"/>
          </w:tcPr>
          <w:p w:rsidR="00EE0C8C" w:rsidRPr="00EE0C8C" w:rsidRDefault="00EE0C8C" w:rsidP="00EE0C8C">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11</w:t>
            </w:r>
          </w:p>
        </w:tc>
        <w:tc>
          <w:tcPr>
            <w:tcW w:w="1922" w:type="dxa"/>
            <w:gridSpan w:val="2"/>
          </w:tcPr>
          <w:p w:rsidR="00EE0C8C" w:rsidRPr="00EE0C8C" w:rsidRDefault="00EE0C8C" w:rsidP="00EE0C8C">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16</w:t>
            </w:r>
          </w:p>
        </w:tc>
        <w:tc>
          <w:tcPr>
            <w:tcW w:w="1196" w:type="dxa"/>
            <w:gridSpan w:val="2"/>
          </w:tcPr>
          <w:p w:rsidR="00EE0C8C" w:rsidRPr="00EE0C8C" w:rsidRDefault="00EE0C8C" w:rsidP="00EE0C8C">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18</w:t>
            </w:r>
          </w:p>
        </w:tc>
        <w:tc>
          <w:tcPr>
            <w:tcW w:w="1418" w:type="dxa"/>
          </w:tcPr>
          <w:p w:rsidR="00EE0C8C" w:rsidRPr="00EE0C8C" w:rsidRDefault="00EE0C8C" w:rsidP="00EE0C8C">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poniżej średniej krajowej</w:t>
            </w:r>
          </w:p>
        </w:tc>
      </w:tr>
      <w:tr w:rsidR="00EE0C8C" w:rsidRPr="00EE0C8C" w:rsidTr="00A76BDB">
        <w:trPr>
          <w:trHeight w:val="637"/>
        </w:trPr>
        <w:tc>
          <w:tcPr>
            <w:tcW w:w="567" w:type="dxa"/>
          </w:tcPr>
          <w:p w:rsidR="00EE0C8C" w:rsidRPr="00EE0C8C" w:rsidRDefault="00EE0C8C" w:rsidP="00EE0C8C">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9.</w:t>
            </w:r>
          </w:p>
        </w:tc>
        <w:tc>
          <w:tcPr>
            <w:tcW w:w="3544" w:type="dxa"/>
            <w:gridSpan w:val="3"/>
          </w:tcPr>
          <w:p w:rsidR="00EE0C8C" w:rsidRPr="00EE0C8C" w:rsidRDefault="00EE0C8C" w:rsidP="00EE0C8C">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Liczba uczniów przypadająca na 1 oddział w gimnazjum</w:t>
            </w:r>
          </w:p>
        </w:tc>
        <w:tc>
          <w:tcPr>
            <w:tcW w:w="1418" w:type="dxa"/>
            <w:gridSpan w:val="3"/>
          </w:tcPr>
          <w:p w:rsidR="00EE0C8C" w:rsidRPr="00EE0C8C" w:rsidRDefault="00EE0C8C" w:rsidP="00EE0C8C">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22</w:t>
            </w:r>
          </w:p>
        </w:tc>
        <w:tc>
          <w:tcPr>
            <w:tcW w:w="1922" w:type="dxa"/>
            <w:gridSpan w:val="2"/>
          </w:tcPr>
          <w:p w:rsidR="00EE0C8C" w:rsidRPr="00EE0C8C" w:rsidRDefault="00EE0C8C" w:rsidP="00EE0C8C">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22</w:t>
            </w:r>
          </w:p>
        </w:tc>
        <w:tc>
          <w:tcPr>
            <w:tcW w:w="1196" w:type="dxa"/>
            <w:gridSpan w:val="2"/>
          </w:tcPr>
          <w:p w:rsidR="00EE0C8C" w:rsidRPr="00EE0C8C" w:rsidRDefault="00EE0C8C" w:rsidP="00EE0C8C">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21</w:t>
            </w:r>
          </w:p>
        </w:tc>
        <w:tc>
          <w:tcPr>
            <w:tcW w:w="1418" w:type="dxa"/>
          </w:tcPr>
          <w:p w:rsidR="00EE0C8C" w:rsidRPr="00EE0C8C" w:rsidRDefault="00574D46" w:rsidP="00EE0C8C">
            <w:pPr>
              <w:spacing w:after="0"/>
              <w:jc w:val="both"/>
              <w:rPr>
                <w:rFonts w:ascii="Times New Roman" w:eastAsia="Calibri" w:hAnsi="Times New Roman" w:cs="Times New Roman"/>
                <w:sz w:val="20"/>
                <w:szCs w:val="20"/>
                <w:lang w:eastAsia="pl-PL"/>
              </w:rPr>
            </w:pPr>
            <w:r>
              <w:rPr>
                <w:rFonts w:ascii="Times New Roman" w:eastAsia="Calibri" w:hAnsi="Times New Roman" w:cs="Times New Roman"/>
                <w:sz w:val="20"/>
                <w:szCs w:val="20"/>
                <w:lang w:eastAsia="pl-PL"/>
              </w:rPr>
              <w:t xml:space="preserve">powyżej </w:t>
            </w:r>
            <w:r w:rsidR="00EE0C8C" w:rsidRPr="00EE0C8C">
              <w:rPr>
                <w:rFonts w:ascii="Times New Roman" w:eastAsia="Calibri" w:hAnsi="Times New Roman" w:cs="Times New Roman"/>
                <w:sz w:val="20"/>
                <w:szCs w:val="20"/>
                <w:lang w:eastAsia="pl-PL"/>
              </w:rPr>
              <w:t>średniej krajowej</w:t>
            </w:r>
          </w:p>
        </w:tc>
      </w:tr>
      <w:tr w:rsidR="00EE0C8C" w:rsidRPr="00EE0C8C" w:rsidTr="00A76BDB">
        <w:trPr>
          <w:trHeight w:val="637"/>
        </w:trPr>
        <w:tc>
          <w:tcPr>
            <w:tcW w:w="10065" w:type="dxa"/>
            <w:gridSpan w:val="12"/>
            <w:tcBorders>
              <w:left w:val="nil"/>
              <w:right w:val="nil"/>
            </w:tcBorders>
          </w:tcPr>
          <w:p w:rsidR="00EE0C8C" w:rsidRPr="00EE0C8C" w:rsidRDefault="00EE0C8C" w:rsidP="00EE0C8C">
            <w:pPr>
              <w:spacing w:after="0"/>
              <w:jc w:val="both"/>
              <w:rPr>
                <w:rFonts w:ascii="Times New Roman" w:eastAsia="Calibri" w:hAnsi="Times New Roman" w:cs="Times New Roman"/>
                <w:sz w:val="20"/>
                <w:szCs w:val="20"/>
                <w:lang w:eastAsia="pl-PL"/>
              </w:rPr>
            </w:pPr>
          </w:p>
        </w:tc>
      </w:tr>
      <w:tr w:rsidR="00EE0C8C" w:rsidRPr="00EE0C8C" w:rsidTr="00A76BDB">
        <w:trPr>
          <w:trHeight w:val="290"/>
        </w:trPr>
        <w:tc>
          <w:tcPr>
            <w:tcW w:w="10065" w:type="dxa"/>
            <w:gridSpan w:val="12"/>
            <w:shd w:val="clear" w:color="auto" w:fill="2FA3C7"/>
          </w:tcPr>
          <w:p w:rsidR="00EE0C8C" w:rsidRPr="00EE0C8C" w:rsidRDefault="00EE0C8C" w:rsidP="00EE0C8C">
            <w:pPr>
              <w:spacing w:after="0"/>
              <w:jc w:val="center"/>
              <w:rPr>
                <w:rFonts w:ascii="Times New Roman" w:eastAsia="Calibri" w:hAnsi="Times New Roman" w:cs="Times New Roman"/>
                <w:b/>
                <w:sz w:val="20"/>
                <w:szCs w:val="20"/>
                <w:lang w:eastAsia="pl-PL"/>
              </w:rPr>
            </w:pPr>
            <w:r w:rsidRPr="00EE0C8C">
              <w:rPr>
                <w:rFonts w:ascii="Times New Roman" w:eastAsia="Calibri" w:hAnsi="Times New Roman" w:cs="Times New Roman"/>
                <w:b/>
                <w:sz w:val="20"/>
                <w:szCs w:val="20"/>
                <w:lang w:eastAsia="pl-PL"/>
              </w:rPr>
              <w:t>WSKAŹNIKI GOSPODARCZE</w:t>
            </w:r>
          </w:p>
        </w:tc>
      </w:tr>
      <w:tr w:rsidR="00EE0C8C" w:rsidRPr="00EE0C8C" w:rsidTr="00A76BDB">
        <w:trPr>
          <w:trHeight w:val="434"/>
        </w:trPr>
        <w:tc>
          <w:tcPr>
            <w:tcW w:w="567" w:type="dxa"/>
            <w:shd w:val="clear" w:color="auto" w:fill="B4E0EE"/>
          </w:tcPr>
          <w:p w:rsidR="00EE0C8C" w:rsidRPr="00EE0C8C" w:rsidRDefault="00EE0C8C" w:rsidP="00EE0C8C">
            <w:pPr>
              <w:spacing w:after="0"/>
              <w:jc w:val="center"/>
              <w:rPr>
                <w:rFonts w:ascii="Times New Roman" w:eastAsia="Calibri" w:hAnsi="Times New Roman" w:cs="Times New Roman"/>
                <w:sz w:val="20"/>
                <w:szCs w:val="20"/>
                <w:lang w:eastAsia="pl-PL"/>
              </w:rPr>
            </w:pPr>
            <w:r w:rsidRPr="00EE0C8C">
              <w:rPr>
                <w:rFonts w:ascii="Times New Roman" w:eastAsia="Calibri" w:hAnsi="Times New Roman" w:cs="Times New Roman"/>
                <w:b/>
                <w:bCs/>
                <w:sz w:val="20"/>
                <w:szCs w:val="20"/>
                <w:lang w:eastAsia="pl-PL"/>
              </w:rPr>
              <w:t>Lp.</w:t>
            </w:r>
          </w:p>
        </w:tc>
        <w:tc>
          <w:tcPr>
            <w:tcW w:w="2898" w:type="dxa"/>
            <w:gridSpan w:val="2"/>
            <w:shd w:val="clear" w:color="auto" w:fill="B4E0EE"/>
          </w:tcPr>
          <w:p w:rsidR="00EE0C8C" w:rsidRPr="00EE0C8C" w:rsidRDefault="00EE0C8C" w:rsidP="00EE0C8C">
            <w:pPr>
              <w:spacing w:after="0"/>
              <w:jc w:val="center"/>
              <w:rPr>
                <w:rFonts w:ascii="Times New Roman" w:eastAsia="Calibri" w:hAnsi="Times New Roman" w:cs="Times New Roman"/>
                <w:sz w:val="20"/>
                <w:szCs w:val="20"/>
                <w:lang w:eastAsia="pl-PL"/>
              </w:rPr>
            </w:pPr>
            <w:r w:rsidRPr="00EE0C8C">
              <w:rPr>
                <w:rFonts w:ascii="Times New Roman" w:eastAsia="Calibri" w:hAnsi="Times New Roman" w:cs="Times New Roman"/>
                <w:b/>
                <w:bCs/>
                <w:sz w:val="20"/>
                <w:szCs w:val="20"/>
                <w:lang w:eastAsia="pl-PL"/>
              </w:rPr>
              <w:t>Nazwa wskaźnika</w:t>
            </w:r>
          </w:p>
        </w:tc>
        <w:tc>
          <w:tcPr>
            <w:tcW w:w="1780" w:type="dxa"/>
            <w:gridSpan w:val="3"/>
            <w:shd w:val="clear" w:color="auto" w:fill="B4E0EE"/>
          </w:tcPr>
          <w:p w:rsidR="00EE0C8C" w:rsidRPr="00EE0C8C" w:rsidRDefault="00EE0C8C" w:rsidP="00EE0C8C">
            <w:pPr>
              <w:spacing w:after="0"/>
              <w:jc w:val="center"/>
              <w:rPr>
                <w:rFonts w:ascii="Times New Roman" w:eastAsia="Calibri" w:hAnsi="Times New Roman" w:cs="Times New Roman"/>
                <w:sz w:val="20"/>
                <w:szCs w:val="20"/>
                <w:lang w:eastAsia="pl-PL"/>
              </w:rPr>
            </w:pPr>
            <w:r w:rsidRPr="00EE0C8C">
              <w:rPr>
                <w:rFonts w:ascii="Times New Roman" w:eastAsia="Calibri" w:hAnsi="Times New Roman" w:cs="Times New Roman"/>
                <w:b/>
                <w:bCs/>
                <w:sz w:val="20"/>
                <w:szCs w:val="20"/>
                <w:lang w:eastAsia="pl-PL"/>
              </w:rPr>
              <w:t>Wartość wyjściowa dla Gminy Mirzec w 2014 r.</w:t>
            </w:r>
          </w:p>
        </w:tc>
        <w:tc>
          <w:tcPr>
            <w:tcW w:w="2206" w:type="dxa"/>
            <w:gridSpan w:val="3"/>
            <w:shd w:val="clear" w:color="auto" w:fill="B4E0EE"/>
          </w:tcPr>
          <w:p w:rsidR="00EE0C8C" w:rsidRPr="00EE0C8C" w:rsidRDefault="00EE0C8C" w:rsidP="00EE0C8C">
            <w:pPr>
              <w:spacing w:after="0"/>
              <w:jc w:val="center"/>
              <w:rPr>
                <w:rFonts w:ascii="Times New Roman" w:eastAsia="Calibri" w:hAnsi="Times New Roman" w:cs="Times New Roman"/>
                <w:sz w:val="20"/>
                <w:szCs w:val="20"/>
                <w:lang w:eastAsia="pl-PL"/>
              </w:rPr>
            </w:pPr>
            <w:r w:rsidRPr="00EE0C8C">
              <w:rPr>
                <w:rFonts w:ascii="Times New Roman" w:eastAsia="Calibri" w:hAnsi="Times New Roman" w:cs="Times New Roman"/>
                <w:b/>
                <w:bCs/>
                <w:sz w:val="20"/>
                <w:szCs w:val="20"/>
                <w:lang w:eastAsia="pl-PL"/>
              </w:rPr>
              <w:t>Średnia powiatu starachowickiego</w:t>
            </w:r>
            <w:r w:rsidRPr="00EE0C8C">
              <w:rPr>
                <w:rFonts w:ascii="Times New Roman" w:eastAsia="Calibri" w:hAnsi="Times New Roman" w:cs="Times New Roman"/>
                <w:b/>
                <w:bCs/>
                <w:sz w:val="20"/>
                <w:szCs w:val="20"/>
                <w:lang w:eastAsia="pl-PL"/>
              </w:rPr>
              <w:br/>
              <w:t>w 2014 r.</w:t>
            </w:r>
          </w:p>
        </w:tc>
        <w:tc>
          <w:tcPr>
            <w:tcW w:w="1196" w:type="dxa"/>
            <w:gridSpan w:val="2"/>
            <w:shd w:val="clear" w:color="auto" w:fill="B4E0EE"/>
          </w:tcPr>
          <w:p w:rsidR="00EE0C8C" w:rsidRPr="00EE0C8C" w:rsidRDefault="00EE0C8C" w:rsidP="00EE0C8C">
            <w:pPr>
              <w:spacing w:after="0"/>
              <w:jc w:val="center"/>
              <w:rPr>
                <w:rFonts w:ascii="Times New Roman" w:eastAsia="Calibri" w:hAnsi="Times New Roman" w:cs="Times New Roman"/>
                <w:sz w:val="20"/>
                <w:szCs w:val="20"/>
                <w:lang w:eastAsia="pl-PL"/>
              </w:rPr>
            </w:pPr>
            <w:r w:rsidRPr="00EE0C8C">
              <w:rPr>
                <w:rFonts w:ascii="Times New Roman" w:eastAsia="Calibri" w:hAnsi="Times New Roman" w:cs="Times New Roman"/>
                <w:b/>
                <w:bCs/>
                <w:sz w:val="20"/>
                <w:szCs w:val="20"/>
                <w:lang w:eastAsia="pl-PL"/>
              </w:rPr>
              <w:t xml:space="preserve">Średnia krajowa </w:t>
            </w:r>
            <w:r w:rsidRPr="00EE0C8C">
              <w:rPr>
                <w:rFonts w:ascii="Times New Roman" w:eastAsia="Calibri" w:hAnsi="Times New Roman" w:cs="Times New Roman"/>
                <w:b/>
                <w:bCs/>
                <w:sz w:val="20"/>
                <w:szCs w:val="20"/>
                <w:lang w:eastAsia="pl-PL"/>
              </w:rPr>
              <w:br/>
              <w:t>w 2014 r.</w:t>
            </w:r>
          </w:p>
        </w:tc>
        <w:tc>
          <w:tcPr>
            <w:tcW w:w="1418" w:type="dxa"/>
            <w:shd w:val="clear" w:color="auto" w:fill="B4E0EE"/>
          </w:tcPr>
          <w:p w:rsidR="00EE0C8C" w:rsidRPr="00EE0C8C" w:rsidRDefault="00EE0C8C" w:rsidP="00EE0C8C">
            <w:pPr>
              <w:spacing w:after="0"/>
              <w:jc w:val="center"/>
              <w:rPr>
                <w:rFonts w:ascii="Times New Roman" w:eastAsia="Calibri" w:hAnsi="Times New Roman" w:cs="Times New Roman"/>
                <w:sz w:val="20"/>
                <w:szCs w:val="20"/>
                <w:lang w:eastAsia="pl-PL"/>
              </w:rPr>
            </w:pPr>
            <w:r w:rsidRPr="00EE0C8C">
              <w:rPr>
                <w:rFonts w:ascii="Times New Roman" w:eastAsia="Calibri" w:hAnsi="Times New Roman" w:cs="Times New Roman"/>
                <w:b/>
                <w:bCs/>
                <w:sz w:val="20"/>
                <w:szCs w:val="20"/>
                <w:lang w:eastAsia="pl-PL"/>
              </w:rPr>
              <w:t>Wartość docelowa dla Gminy Mirzec</w:t>
            </w:r>
            <w:r w:rsidRPr="00EE0C8C">
              <w:rPr>
                <w:rFonts w:ascii="Times New Roman" w:eastAsia="Calibri" w:hAnsi="Times New Roman" w:cs="Times New Roman"/>
                <w:b/>
                <w:bCs/>
                <w:sz w:val="20"/>
                <w:szCs w:val="20"/>
                <w:lang w:eastAsia="pl-PL"/>
              </w:rPr>
              <w:br/>
              <w:t>w 2022 r.</w:t>
            </w:r>
          </w:p>
        </w:tc>
      </w:tr>
      <w:tr w:rsidR="00EE0C8C" w:rsidRPr="00EE0C8C" w:rsidTr="00A76BDB">
        <w:trPr>
          <w:trHeight w:val="637"/>
        </w:trPr>
        <w:tc>
          <w:tcPr>
            <w:tcW w:w="567" w:type="dxa"/>
          </w:tcPr>
          <w:p w:rsidR="00EE0C8C" w:rsidRPr="00EE0C8C" w:rsidRDefault="00EE0C8C" w:rsidP="00EE0C8C">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10.</w:t>
            </w:r>
          </w:p>
        </w:tc>
        <w:tc>
          <w:tcPr>
            <w:tcW w:w="2898" w:type="dxa"/>
            <w:gridSpan w:val="2"/>
          </w:tcPr>
          <w:p w:rsidR="00EE0C8C" w:rsidRPr="00EE0C8C" w:rsidRDefault="00EE0C8C" w:rsidP="00EE0C8C">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Podmioty w rejestrze REGON na 10 tys. ludności w wieku produkcyjnym</w:t>
            </w:r>
          </w:p>
        </w:tc>
        <w:tc>
          <w:tcPr>
            <w:tcW w:w="1780" w:type="dxa"/>
            <w:gridSpan w:val="3"/>
          </w:tcPr>
          <w:p w:rsidR="00EE0C8C" w:rsidRPr="00EE0C8C" w:rsidRDefault="00EE0C8C" w:rsidP="00EE0C8C">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907</w:t>
            </w:r>
          </w:p>
        </w:tc>
        <w:tc>
          <w:tcPr>
            <w:tcW w:w="2206" w:type="dxa"/>
            <w:gridSpan w:val="3"/>
          </w:tcPr>
          <w:p w:rsidR="00EE0C8C" w:rsidRPr="00EE0C8C" w:rsidRDefault="00EE0C8C" w:rsidP="00EE0C8C">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1265</w:t>
            </w:r>
          </w:p>
        </w:tc>
        <w:tc>
          <w:tcPr>
            <w:tcW w:w="1196" w:type="dxa"/>
            <w:gridSpan w:val="2"/>
          </w:tcPr>
          <w:p w:rsidR="00EE0C8C" w:rsidRPr="00EE0C8C" w:rsidRDefault="00EE0C8C" w:rsidP="00EE0C8C">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95</w:t>
            </w:r>
          </w:p>
        </w:tc>
        <w:tc>
          <w:tcPr>
            <w:tcW w:w="1418" w:type="dxa"/>
          </w:tcPr>
          <w:p w:rsidR="00EE0C8C" w:rsidRPr="00EE0C8C" w:rsidRDefault="00574D46" w:rsidP="00574D46">
            <w:pPr>
              <w:spacing w:after="0"/>
              <w:jc w:val="both"/>
              <w:rPr>
                <w:rFonts w:ascii="Times New Roman" w:eastAsia="Calibri" w:hAnsi="Times New Roman" w:cs="Times New Roman"/>
                <w:sz w:val="20"/>
                <w:szCs w:val="20"/>
                <w:lang w:eastAsia="pl-PL"/>
              </w:rPr>
            </w:pPr>
            <w:r>
              <w:rPr>
                <w:rFonts w:ascii="Times New Roman" w:eastAsia="Calibri" w:hAnsi="Times New Roman" w:cs="Times New Roman"/>
                <w:sz w:val="20"/>
                <w:szCs w:val="20"/>
                <w:lang w:eastAsia="pl-PL"/>
              </w:rPr>
              <w:t xml:space="preserve">powyżej </w:t>
            </w:r>
            <w:r w:rsidR="00EE0C8C" w:rsidRPr="00EE0C8C">
              <w:rPr>
                <w:rFonts w:ascii="Times New Roman" w:eastAsia="Calibri" w:hAnsi="Times New Roman" w:cs="Times New Roman"/>
                <w:sz w:val="20"/>
                <w:szCs w:val="20"/>
                <w:lang w:eastAsia="pl-PL"/>
              </w:rPr>
              <w:t xml:space="preserve">średniej krajowej </w:t>
            </w:r>
          </w:p>
        </w:tc>
      </w:tr>
      <w:tr w:rsidR="00EE0C8C" w:rsidRPr="00EE0C8C" w:rsidTr="00A76BDB">
        <w:trPr>
          <w:trHeight w:val="637"/>
        </w:trPr>
        <w:tc>
          <w:tcPr>
            <w:tcW w:w="567" w:type="dxa"/>
          </w:tcPr>
          <w:p w:rsidR="00EE0C8C" w:rsidRPr="00EE0C8C" w:rsidRDefault="00EE0C8C" w:rsidP="00EE0C8C">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11.</w:t>
            </w:r>
          </w:p>
        </w:tc>
        <w:tc>
          <w:tcPr>
            <w:tcW w:w="2898" w:type="dxa"/>
            <w:gridSpan w:val="2"/>
          </w:tcPr>
          <w:p w:rsidR="00EE0C8C" w:rsidRPr="00EE0C8C" w:rsidRDefault="00EE0C8C" w:rsidP="00EE0C8C">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Liczba podmiotów wpisanych do rejestru REGON na 10 tys. ludności</w:t>
            </w:r>
          </w:p>
        </w:tc>
        <w:tc>
          <w:tcPr>
            <w:tcW w:w="1780" w:type="dxa"/>
            <w:gridSpan w:val="3"/>
          </w:tcPr>
          <w:p w:rsidR="00EE0C8C" w:rsidRPr="00EE0C8C" w:rsidRDefault="00EE0C8C" w:rsidP="00EE0C8C">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560</w:t>
            </w:r>
          </w:p>
        </w:tc>
        <w:tc>
          <w:tcPr>
            <w:tcW w:w="2206" w:type="dxa"/>
            <w:gridSpan w:val="3"/>
          </w:tcPr>
          <w:p w:rsidR="00EE0C8C" w:rsidRPr="00EE0C8C" w:rsidRDefault="00EE0C8C" w:rsidP="00EE0C8C">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781</w:t>
            </w:r>
          </w:p>
        </w:tc>
        <w:tc>
          <w:tcPr>
            <w:tcW w:w="1196" w:type="dxa"/>
            <w:gridSpan w:val="2"/>
          </w:tcPr>
          <w:p w:rsidR="00EE0C8C" w:rsidRPr="00EE0C8C" w:rsidRDefault="00EE0C8C" w:rsidP="00EE0C8C">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1057</w:t>
            </w:r>
          </w:p>
        </w:tc>
        <w:tc>
          <w:tcPr>
            <w:tcW w:w="1418" w:type="dxa"/>
          </w:tcPr>
          <w:p w:rsidR="00EE0C8C" w:rsidRPr="00EE0C8C" w:rsidRDefault="00EE0C8C" w:rsidP="00EE0C8C">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poniżej średniej krajowej</w:t>
            </w:r>
          </w:p>
        </w:tc>
      </w:tr>
      <w:tr w:rsidR="00EE0C8C" w:rsidRPr="00EE0C8C" w:rsidTr="00A76BDB">
        <w:trPr>
          <w:trHeight w:val="637"/>
        </w:trPr>
        <w:tc>
          <w:tcPr>
            <w:tcW w:w="567" w:type="dxa"/>
          </w:tcPr>
          <w:p w:rsidR="00EE0C8C" w:rsidRPr="00EE0C8C" w:rsidRDefault="00EE0C8C" w:rsidP="00EE0C8C">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12.</w:t>
            </w:r>
          </w:p>
        </w:tc>
        <w:tc>
          <w:tcPr>
            <w:tcW w:w="2898" w:type="dxa"/>
            <w:gridSpan w:val="2"/>
          </w:tcPr>
          <w:p w:rsidR="00EE0C8C" w:rsidRPr="00EE0C8C" w:rsidRDefault="00EE0C8C" w:rsidP="00EE0C8C">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 xml:space="preserve">Osoby fizyczne prowadzące działalność gospodarczą </w:t>
            </w:r>
            <w:r w:rsidRPr="00EE0C8C">
              <w:rPr>
                <w:rFonts w:ascii="Times New Roman" w:eastAsia="Calibri" w:hAnsi="Times New Roman" w:cs="Times New Roman"/>
                <w:sz w:val="20"/>
                <w:szCs w:val="20"/>
                <w:lang w:eastAsia="pl-PL"/>
              </w:rPr>
              <w:br/>
            </w:r>
            <w:r w:rsidRPr="00EE0C8C">
              <w:rPr>
                <w:rFonts w:ascii="Times New Roman" w:eastAsia="Calibri" w:hAnsi="Times New Roman" w:cs="Times New Roman"/>
                <w:sz w:val="20"/>
                <w:szCs w:val="20"/>
                <w:lang w:eastAsia="pl-PL"/>
              </w:rPr>
              <w:lastRenderedPageBreak/>
              <w:t xml:space="preserve">na 10 tys. ludności </w:t>
            </w:r>
          </w:p>
        </w:tc>
        <w:tc>
          <w:tcPr>
            <w:tcW w:w="1780" w:type="dxa"/>
            <w:gridSpan w:val="3"/>
          </w:tcPr>
          <w:p w:rsidR="00EE0C8C" w:rsidRPr="00EE0C8C" w:rsidRDefault="00EE0C8C" w:rsidP="00EE0C8C">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lastRenderedPageBreak/>
              <w:t>491</w:t>
            </w:r>
          </w:p>
        </w:tc>
        <w:tc>
          <w:tcPr>
            <w:tcW w:w="2206" w:type="dxa"/>
            <w:gridSpan w:val="3"/>
          </w:tcPr>
          <w:p w:rsidR="00EE0C8C" w:rsidRPr="00EE0C8C" w:rsidRDefault="00EE0C8C" w:rsidP="00EE0C8C">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607</w:t>
            </w:r>
          </w:p>
        </w:tc>
        <w:tc>
          <w:tcPr>
            <w:tcW w:w="1196" w:type="dxa"/>
            <w:gridSpan w:val="2"/>
          </w:tcPr>
          <w:p w:rsidR="00EE0C8C" w:rsidRPr="00EE0C8C" w:rsidRDefault="00EE0C8C" w:rsidP="00EE0C8C">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77</w:t>
            </w:r>
          </w:p>
        </w:tc>
        <w:tc>
          <w:tcPr>
            <w:tcW w:w="1418" w:type="dxa"/>
          </w:tcPr>
          <w:p w:rsidR="00EE0C8C" w:rsidRPr="00EE0C8C" w:rsidRDefault="00EE0C8C" w:rsidP="00574D46">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po</w:t>
            </w:r>
            <w:r w:rsidR="00574D46">
              <w:rPr>
                <w:rFonts w:ascii="Times New Roman" w:eastAsia="Calibri" w:hAnsi="Times New Roman" w:cs="Times New Roman"/>
                <w:sz w:val="20"/>
                <w:szCs w:val="20"/>
                <w:lang w:eastAsia="pl-PL"/>
              </w:rPr>
              <w:t>wyżej</w:t>
            </w:r>
            <w:r w:rsidRPr="00EE0C8C">
              <w:rPr>
                <w:rFonts w:ascii="Times New Roman" w:eastAsia="Calibri" w:hAnsi="Times New Roman" w:cs="Times New Roman"/>
                <w:sz w:val="20"/>
                <w:szCs w:val="20"/>
                <w:lang w:eastAsia="pl-PL"/>
              </w:rPr>
              <w:t xml:space="preserve"> średniej </w:t>
            </w:r>
            <w:r w:rsidRPr="00EE0C8C">
              <w:rPr>
                <w:rFonts w:ascii="Times New Roman" w:eastAsia="Calibri" w:hAnsi="Times New Roman" w:cs="Times New Roman"/>
                <w:sz w:val="20"/>
                <w:szCs w:val="20"/>
                <w:lang w:eastAsia="pl-PL"/>
              </w:rPr>
              <w:lastRenderedPageBreak/>
              <w:t>krajowej</w:t>
            </w:r>
          </w:p>
        </w:tc>
      </w:tr>
      <w:tr w:rsidR="00EE0C8C" w:rsidRPr="00EE0C8C" w:rsidTr="00A76BDB">
        <w:trPr>
          <w:trHeight w:val="637"/>
        </w:trPr>
        <w:tc>
          <w:tcPr>
            <w:tcW w:w="10065" w:type="dxa"/>
            <w:gridSpan w:val="12"/>
            <w:tcBorders>
              <w:left w:val="nil"/>
              <w:right w:val="nil"/>
            </w:tcBorders>
          </w:tcPr>
          <w:p w:rsidR="00EE0C8C" w:rsidRPr="00EE0C8C" w:rsidRDefault="00EE0C8C" w:rsidP="00EE0C8C">
            <w:pPr>
              <w:spacing w:after="0"/>
              <w:jc w:val="both"/>
              <w:rPr>
                <w:rFonts w:ascii="Times New Roman" w:eastAsia="Calibri" w:hAnsi="Times New Roman" w:cs="Times New Roman"/>
                <w:sz w:val="20"/>
                <w:szCs w:val="20"/>
                <w:lang w:eastAsia="pl-PL"/>
              </w:rPr>
            </w:pPr>
          </w:p>
        </w:tc>
      </w:tr>
      <w:tr w:rsidR="00EE0C8C" w:rsidRPr="00EE0C8C" w:rsidTr="00A76BDB">
        <w:trPr>
          <w:trHeight w:val="284"/>
        </w:trPr>
        <w:tc>
          <w:tcPr>
            <w:tcW w:w="10065" w:type="dxa"/>
            <w:gridSpan w:val="12"/>
            <w:shd w:val="clear" w:color="auto" w:fill="67D93F"/>
          </w:tcPr>
          <w:p w:rsidR="00EE0C8C" w:rsidRPr="00EE0C8C" w:rsidRDefault="00EE0C8C" w:rsidP="00EE0C8C">
            <w:pPr>
              <w:spacing w:after="0"/>
              <w:jc w:val="center"/>
              <w:rPr>
                <w:rFonts w:ascii="Times New Roman" w:eastAsia="Calibri" w:hAnsi="Times New Roman" w:cs="Times New Roman"/>
                <w:b/>
                <w:sz w:val="20"/>
                <w:szCs w:val="20"/>
                <w:lang w:eastAsia="pl-PL"/>
              </w:rPr>
            </w:pPr>
            <w:r w:rsidRPr="00EE0C8C">
              <w:rPr>
                <w:rFonts w:ascii="Times New Roman" w:eastAsia="Calibri" w:hAnsi="Times New Roman" w:cs="Times New Roman"/>
                <w:b/>
                <w:sz w:val="20"/>
                <w:szCs w:val="20"/>
                <w:lang w:eastAsia="pl-PL"/>
              </w:rPr>
              <w:t>WSKAŹNIKI INFRASTRUKTURA TECHNICZNA</w:t>
            </w:r>
          </w:p>
        </w:tc>
      </w:tr>
      <w:tr w:rsidR="00EE0C8C" w:rsidRPr="00EE0C8C" w:rsidTr="00A76BDB">
        <w:trPr>
          <w:trHeight w:val="434"/>
        </w:trPr>
        <w:tc>
          <w:tcPr>
            <w:tcW w:w="567" w:type="dxa"/>
            <w:shd w:val="clear" w:color="auto" w:fill="EBF28A"/>
          </w:tcPr>
          <w:p w:rsidR="00EE0C8C" w:rsidRPr="00EE0C8C" w:rsidRDefault="00EE0C8C" w:rsidP="00EE0C8C">
            <w:pPr>
              <w:spacing w:after="0"/>
              <w:jc w:val="center"/>
              <w:rPr>
                <w:rFonts w:ascii="Times New Roman" w:eastAsia="Calibri" w:hAnsi="Times New Roman" w:cs="Times New Roman"/>
                <w:sz w:val="20"/>
                <w:szCs w:val="20"/>
                <w:lang w:eastAsia="pl-PL"/>
              </w:rPr>
            </w:pPr>
            <w:r w:rsidRPr="00EE0C8C">
              <w:rPr>
                <w:rFonts w:ascii="Times New Roman" w:eastAsia="Calibri" w:hAnsi="Times New Roman" w:cs="Times New Roman"/>
                <w:b/>
                <w:bCs/>
                <w:sz w:val="20"/>
                <w:szCs w:val="20"/>
                <w:lang w:eastAsia="pl-PL"/>
              </w:rPr>
              <w:t>Lp.</w:t>
            </w:r>
          </w:p>
        </w:tc>
        <w:tc>
          <w:tcPr>
            <w:tcW w:w="2898" w:type="dxa"/>
            <w:gridSpan w:val="2"/>
            <w:shd w:val="clear" w:color="auto" w:fill="EBF28A"/>
          </w:tcPr>
          <w:p w:rsidR="00EE0C8C" w:rsidRPr="00EE0C8C" w:rsidRDefault="00EE0C8C" w:rsidP="00EE0C8C">
            <w:pPr>
              <w:spacing w:after="0"/>
              <w:jc w:val="center"/>
              <w:rPr>
                <w:rFonts w:ascii="Times New Roman" w:eastAsia="Calibri" w:hAnsi="Times New Roman" w:cs="Times New Roman"/>
                <w:sz w:val="20"/>
                <w:szCs w:val="20"/>
                <w:lang w:eastAsia="pl-PL"/>
              </w:rPr>
            </w:pPr>
            <w:r w:rsidRPr="00EE0C8C">
              <w:rPr>
                <w:rFonts w:ascii="Times New Roman" w:eastAsia="Calibri" w:hAnsi="Times New Roman" w:cs="Times New Roman"/>
                <w:b/>
                <w:bCs/>
                <w:sz w:val="20"/>
                <w:szCs w:val="20"/>
                <w:lang w:eastAsia="pl-PL"/>
              </w:rPr>
              <w:t>Nazwa wskaźnika</w:t>
            </w:r>
          </w:p>
        </w:tc>
        <w:tc>
          <w:tcPr>
            <w:tcW w:w="1582" w:type="dxa"/>
            <w:gridSpan w:val="2"/>
            <w:shd w:val="clear" w:color="auto" w:fill="EBF28A"/>
          </w:tcPr>
          <w:p w:rsidR="00EE0C8C" w:rsidRPr="00EE0C8C" w:rsidRDefault="00EE0C8C" w:rsidP="00EE0C8C">
            <w:pPr>
              <w:spacing w:after="0"/>
              <w:jc w:val="center"/>
              <w:rPr>
                <w:rFonts w:ascii="Times New Roman" w:eastAsia="Calibri" w:hAnsi="Times New Roman" w:cs="Times New Roman"/>
                <w:sz w:val="20"/>
                <w:szCs w:val="20"/>
                <w:lang w:eastAsia="pl-PL"/>
              </w:rPr>
            </w:pPr>
            <w:r w:rsidRPr="00EE0C8C">
              <w:rPr>
                <w:rFonts w:ascii="Times New Roman" w:eastAsia="Calibri" w:hAnsi="Times New Roman" w:cs="Times New Roman"/>
                <w:b/>
                <w:bCs/>
                <w:sz w:val="20"/>
                <w:szCs w:val="20"/>
                <w:lang w:eastAsia="pl-PL"/>
              </w:rPr>
              <w:t>Wartość wyjściowa dla Gminy Mirzec</w:t>
            </w:r>
            <w:r w:rsidRPr="00EE0C8C">
              <w:rPr>
                <w:rFonts w:ascii="Times New Roman" w:eastAsia="Calibri" w:hAnsi="Times New Roman" w:cs="Times New Roman"/>
                <w:b/>
                <w:bCs/>
                <w:sz w:val="20"/>
                <w:szCs w:val="20"/>
                <w:lang w:eastAsia="pl-PL"/>
              </w:rPr>
              <w:br/>
              <w:t>w 2014 r.</w:t>
            </w:r>
          </w:p>
        </w:tc>
        <w:tc>
          <w:tcPr>
            <w:tcW w:w="1543" w:type="dxa"/>
            <w:gridSpan w:val="3"/>
            <w:shd w:val="clear" w:color="auto" w:fill="EBF28A"/>
          </w:tcPr>
          <w:p w:rsidR="00EE0C8C" w:rsidRPr="00EE0C8C" w:rsidRDefault="00EE0C8C" w:rsidP="00EE0C8C">
            <w:pPr>
              <w:spacing w:after="0"/>
              <w:jc w:val="center"/>
              <w:rPr>
                <w:rFonts w:ascii="Times New Roman" w:eastAsia="Calibri" w:hAnsi="Times New Roman" w:cs="Times New Roman"/>
                <w:sz w:val="20"/>
                <w:szCs w:val="20"/>
                <w:lang w:eastAsia="pl-PL"/>
              </w:rPr>
            </w:pPr>
            <w:r w:rsidRPr="00EE0C8C">
              <w:rPr>
                <w:rFonts w:ascii="Times New Roman" w:eastAsia="Calibri" w:hAnsi="Times New Roman" w:cs="Times New Roman"/>
                <w:b/>
                <w:bCs/>
                <w:sz w:val="20"/>
                <w:szCs w:val="20"/>
                <w:lang w:eastAsia="pl-PL"/>
              </w:rPr>
              <w:t xml:space="preserve">Średnia powiatu starachowickiego </w:t>
            </w:r>
            <w:r w:rsidRPr="00EE0C8C">
              <w:rPr>
                <w:rFonts w:ascii="Times New Roman" w:eastAsia="Calibri" w:hAnsi="Times New Roman" w:cs="Times New Roman"/>
                <w:b/>
                <w:bCs/>
                <w:sz w:val="20"/>
                <w:szCs w:val="20"/>
                <w:lang w:eastAsia="pl-PL"/>
              </w:rPr>
              <w:br/>
              <w:t>w 2014 r.</w:t>
            </w:r>
          </w:p>
        </w:tc>
        <w:tc>
          <w:tcPr>
            <w:tcW w:w="1383" w:type="dxa"/>
            <w:gridSpan w:val="2"/>
            <w:shd w:val="clear" w:color="auto" w:fill="EBF28A"/>
          </w:tcPr>
          <w:p w:rsidR="00EE0C8C" w:rsidRPr="00EE0C8C" w:rsidRDefault="00EE0C8C" w:rsidP="00EE0C8C">
            <w:pPr>
              <w:spacing w:after="0"/>
              <w:jc w:val="center"/>
              <w:rPr>
                <w:rFonts w:ascii="Times New Roman" w:eastAsia="Calibri" w:hAnsi="Times New Roman" w:cs="Times New Roman"/>
                <w:sz w:val="20"/>
                <w:szCs w:val="20"/>
                <w:lang w:eastAsia="pl-PL"/>
              </w:rPr>
            </w:pPr>
            <w:r w:rsidRPr="00EE0C8C">
              <w:rPr>
                <w:rFonts w:ascii="Times New Roman" w:eastAsia="Calibri" w:hAnsi="Times New Roman" w:cs="Times New Roman"/>
                <w:b/>
                <w:bCs/>
                <w:sz w:val="20"/>
                <w:szCs w:val="20"/>
                <w:lang w:eastAsia="pl-PL"/>
              </w:rPr>
              <w:t xml:space="preserve">Średnia krajowa </w:t>
            </w:r>
            <w:r w:rsidRPr="00EE0C8C">
              <w:rPr>
                <w:rFonts w:ascii="Times New Roman" w:eastAsia="Calibri" w:hAnsi="Times New Roman" w:cs="Times New Roman"/>
                <w:b/>
                <w:bCs/>
                <w:sz w:val="20"/>
                <w:szCs w:val="20"/>
                <w:lang w:eastAsia="pl-PL"/>
              </w:rPr>
              <w:br/>
              <w:t>w 2013 r.</w:t>
            </w:r>
          </w:p>
        </w:tc>
        <w:tc>
          <w:tcPr>
            <w:tcW w:w="2092" w:type="dxa"/>
            <w:gridSpan w:val="2"/>
            <w:shd w:val="clear" w:color="auto" w:fill="EBF28A"/>
          </w:tcPr>
          <w:p w:rsidR="00EE0C8C" w:rsidRPr="00EE0C8C" w:rsidRDefault="00EE0C8C" w:rsidP="00EE0C8C">
            <w:pPr>
              <w:spacing w:after="0"/>
              <w:jc w:val="center"/>
              <w:rPr>
                <w:rFonts w:ascii="Times New Roman" w:eastAsia="Calibri" w:hAnsi="Times New Roman" w:cs="Times New Roman"/>
                <w:sz w:val="20"/>
                <w:szCs w:val="20"/>
                <w:lang w:eastAsia="pl-PL"/>
              </w:rPr>
            </w:pPr>
            <w:r w:rsidRPr="00EE0C8C">
              <w:rPr>
                <w:rFonts w:ascii="Times New Roman" w:eastAsia="Calibri" w:hAnsi="Times New Roman" w:cs="Times New Roman"/>
                <w:b/>
                <w:bCs/>
                <w:sz w:val="20"/>
                <w:szCs w:val="20"/>
                <w:lang w:eastAsia="pl-PL"/>
              </w:rPr>
              <w:t>Wartość docelowa dla Gminy Mirzec</w:t>
            </w:r>
            <w:r w:rsidRPr="00EE0C8C">
              <w:rPr>
                <w:rFonts w:ascii="Times New Roman" w:eastAsia="Calibri" w:hAnsi="Times New Roman" w:cs="Times New Roman"/>
                <w:b/>
                <w:bCs/>
                <w:sz w:val="20"/>
                <w:szCs w:val="20"/>
                <w:lang w:eastAsia="pl-PL"/>
              </w:rPr>
              <w:br/>
              <w:t>w 2022r.</w:t>
            </w:r>
          </w:p>
        </w:tc>
      </w:tr>
      <w:tr w:rsidR="00EE0C8C" w:rsidRPr="00EE0C8C" w:rsidTr="00A76BDB">
        <w:trPr>
          <w:trHeight w:val="260"/>
        </w:trPr>
        <w:tc>
          <w:tcPr>
            <w:tcW w:w="567" w:type="dxa"/>
          </w:tcPr>
          <w:p w:rsidR="00EE0C8C" w:rsidRPr="00EE0C8C" w:rsidRDefault="00EE0C8C" w:rsidP="00EE0C8C">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13.</w:t>
            </w:r>
          </w:p>
        </w:tc>
        <w:tc>
          <w:tcPr>
            <w:tcW w:w="2898" w:type="dxa"/>
            <w:gridSpan w:val="2"/>
          </w:tcPr>
          <w:p w:rsidR="00EE0C8C" w:rsidRPr="00EE0C8C" w:rsidRDefault="00EE0C8C" w:rsidP="00EE0C8C">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Korzystający z instalacji wodociągowej w % ogółu ludności</w:t>
            </w:r>
          </w:p>
        </w:tc>
        <w:tc>
          <w:tcPr>
            <w:tcW w:w="1582" w:type="dxa"/>
            <w:gridSpan w:val="2"/>
          </w:tcPr>
          <w:p w:rsidR="00EE0C8C" w:rsidRPr="00EE0C8C" w:rsidRDefault="00EE0C8C" w:rsidP="00EE0C8C">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95,2%</w:t>
            </w:r>
          </w:p>
        </w:tc>
        <w:tc>
          <w:tcPr>
            <w:tcW w:w="1543" w:type="dxa"/>
            <w:gridSpan w:val="3"/>
          </w:tcPr>
          <w:p w:rsidR="00EE0C8C" w:rsidRPr="00EE0C8C" w:rsidRDefault="00EE0C8C" w:rsidP="00EE0C8C">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95,5%</w:t>
            </w:r>
          </w:p>
        </w:tc>
        <w:tc>
          <w:tcPr>
            <w:tcW w:w="1383" w:type="dxa"/>
            <w:gridSpan w:val="2"/>
          </w:tcPr>
          <w:p w:rsidR="00EE0C8C" w:rsidRPr="00EE0C8C" w:rsidRDefault="00EE0C8C" w:rsidP="00EE0C8C">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88%</w:t>
            </w:r>
          </w:p>
        </w:tc>
        <w:tc>
          <w:tcPr>
            <w:tcW w:w="2092" w:type="dxa"/>
            <w:gridSpan w:val="2"/>
          </w:tcPr>
          <w:p w:rsidR="00EE0C8C" w:rsidRPr="00EE0C8C" w:rsidRDefault="00EE0C8C" w:rsidP="00574D46">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po</w:t>
            </w:r>
            <w:r w:rsidR="00574D46">
              <w:rPr>
                <w:rFonts w:ascii="Times New Roman" w:eastAsia="Calibri" w:hAnsi="Times New Roman" w:cs="Times New Roman"/>
                <w:sz w:val="20"/>
                <w:szCs w:val="20"/>
                <w:lang w:eastAsia="pl-PL"/>
              </w:rPr>
              <w:t>wyżej</w:t>
            </w:r>
            <w:r w:rsidRPr="00EE0C8C">
              <w:rPr>
                <w:rFonts w:ascii="Times New Roman" w:eastAsia="Calibri" w:hAnsi="Times New Roman" w:cs="Times New Roman"/>
                <w:sz w:val="20"/>
                <w:szCs w:val="20"/>
                <w:lang w:eastAsia="pl-PL"/>
              </w:rPr>
              <w:t xml:space="preserve"> średniej krajowej</w:t>
            </w:r>
          </w:p>
        </w:tc>
      </w:tr>
      <w:tr w:rsidR="00EE0C8C" w:rsidRPr="00EE0C8C" w:rsidTr="00A76BDB">
        <w:trPr>
          <w:trHeight w:val="260"/>
        </w:trPr>
        <w:tc>
          <w:tcPr>
            <w:tcW w:w="567" w:type="dxa"/>
          </w:tcPr>
          <w:p w:rsidR="00EE0C8C" w:rsidRPr="00EE0C8C" w:rsidRDefault="00EE0C8C" w:rsidP="00EE0C8C">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14.</w:t>
            </w:r>
          </w:p>
        </w:tc>
        <w:tc>
          <w:tcPr>
            <w:tcW w:w="2898" w:type="dxa"/>
            <w:gridSpan w:val="2"/>
          </w:tcPr>
          <w:p w:rsidR="00EE0C8C" w:rsidRPr="00EE0C8C" w:rsidRDefault="00EE0C8C" w:rsidP="00EE0C8C">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Korzystający z instalacji kanalizacyjnej w % ogółu ludności</w:t>
            </w:r>
          </w:p>
        </w:tc>
        <w:tc>
          <w:tcPr>
            <w:tcW w:w="1582" w:type="dxa"/>
            <w:gridSpan w:val="2"/>
          </w:tcPr>
          <w:p w:rsidR="00EE0C8C" w:rsidRPr="00EE0C8C" w:rsidRDefault="00EE0C8C" w:rsidP="00EE0C8C">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37,6%</w:t>
            </w:r>
          </w:p>
        </w:tc>
        <w:tc>
          <w:tcPr>
            <w:tcW w:w="1543" w:type="dxa"/>
            <w:gridSpan w:val="3"/>
          </w:tcPr>
          <w:p w:rsidR="00EE0C8C" w:rsidRPr="00EE0C8C" w:rsidRDefault="00EE0C8C" w:rsidP="00EE0C8C">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71,8%</w:t>
            </w:r>
          </w:p>
        </w:tc>
        <w:tc>
          <w:tcPr>
            <w:tcW w:w="1383" w:type="dxa"/>
            <w:gridSpan w:val="2"/>
          </w:tcPr>
          <w:p w:rsidR="00EE0C8C" w:rsidRPr="00EE0C8C" w:rsidRDefault="00EE0C8C" w:rsidP="00EE0C8C">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95,1%</w:t>
            </w:r>
          </w:p>
        </w:tc>
        <w:tc>
          <w:tcPr>
            <w:tcW w:w="2092" w:type="dxa"/>
            <w:gridSpan w:val="2"/>
          </w:tcPr>
          <w:p w:rsidR="00EE0C8C" w:rsidRPr="00EE0C8C" w:rsidRDefault="00EE0C8C" w:rsidP="00EE0C8C">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poniżej średniej krajowej</w:t>
            </w:r>
          </w:p>
        </w:tc>
      </w:tr>
      <w:tr w:rsidR="00EE0C8C" w:rsidRPr="00EE0C8C" w:rsidTr="00A76BDB">
        <w:trPr>
          <w:trHeight w:val="260"/>
        </w:trPr>
        <w:tc>
          <w:tcPr>
            <w:tcW w:w="567" w:type="dxa"/>
          </w:tcPr>
          <w:p w:rsidR="00EE0C8C" w:rsidRPr="00EE0C8C" w:rsidRDefault="00EE0C8C" w:rsidP="00EE0C8C">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15.</w:t>
            </w:r>
          </w:p>
        </w:tc>
        <w:tc>
          <w:tcPr>
            <w:tcW w:w="2898" w:type="dxa"/>
            <w:gridSpan w:val="2"/>
          </w:tcPr>
          <w:p w:rsidR="00EE0C8C" w:rsidRPr="00EE0C8C" w:rsidRDefault="00EE0C8C" w:rsidP="00EE0C8C">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Korzystający z instalacji gazowej w % ogółu ludności</w:t>
            </w:r>
          </w:p>
        </w:tc>
        <w:tc>
          <w:tcPr>
            <w:tcW w:w="1582" w:type="dxa"/>
            <w:gridSpan w:val="2"/>
          </w:tcPr>
          <w:p w:rsidR="00EE0C8C" w:rsidRPr="00EE0C8C" w:rsidRDefault="00EE0C8C" w:rsidP="00EE0C8C">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21,6%</w:t>
            </w:r>
          </w:p>
        </w:tc>
        <w:tc>
          <w:tcPr>
            <w:tcW w:w="1543" w:type="dxa"/>
            <w:gridSpan w:val="3"/>
          </w:tcPr>
          <w:p w:rsidR="00EE0C8C" w:rsidRPr="00EE0C8C" w:rsidRDefault="00EE0C8C" w:rsidP="00EE0C8C">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55,2%</w:t>
            </w:r>
          </w:p>
        </w:tc>
        <w:tc>
          <w:tcPr>
            <w:tcW w:w="1383" w:type="dxa"/>
            <w:gridSpan w:val="2"/>
          </w:tcPr>
          <w:p w:rsidR="00EE0C8C" w:rsidRPr="00EE0C8C" w:rsidRDefault="00EE0C8C" w:rsidP="00EE0C8C">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55,4%</w:t>
            </w:r>
          </w:p>
        </w:tc>
        <w:tc>
          <w:tcPr>
            <w:tcW w:w="2092" w:type="dxa"/>
            <w:gridSpan w:val="2"/>
          </w:tcPr>
          <w:p w:rsidR="00EE0C8C" w:rsidRPr="00EE0C8C" w:rsidRDefault="00EE0C8C" w:rsidP="00574D46">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po</w:t>
            </w:r>
            <w:r w:rsidR="00574D46">
              <w:rPr>
                <w:rFonts w:ascii="Times New Roman" w:eastAsia="Calibri" w:hAnsi="Times New Roman" w:cs="Times New Roman"/>
                <w:sz w:val="20"/>
                <w:szCs w:val="20"/>
                <w:lang w:eastAsia="pl-PL"/>
              </w:rPr>
              <w:t>niżej</w:t>
            </w:r>
            <w:r w:rsidRPr="00EE0C8C">
              <w:rPr>
                <w:rFonts w:ascii="Times New Roman" w:eastAsia="Calibri" w:hAnsi="Times New Roman" w:cs="Times New Roman"/>
                <w:sz w:val="20"/>
                <w:szCs w:val="20"/>
                <w:lang w:eastAsia="pl-PL"/>
              </w:rPr>
              <w:t xml:space="preserve"> średniej krajowej</w:t>
            </w:r>
          </w:p>
        </w:tc>
      </w:tr>
      <w:tr w:rsidR="00EE0C8C" w:rsidRPr="00EE0C8C" w:rsidTr="00A76BDB">
        <w:trPr>
          <w:trHeight w:val="260"/>
        </w:trPr>
        <w:tc>
          <w:tcPr>
            <w:tcW w:w="10065" w:type="dxa"/>
            <w:gridSpan w:val="12"/>
            <w:tcBorders>
              <w:left w:val="nil"/>
              <w:right w:val="nil"/>
            </w:tcBorders>
          </w:tcPr>
          <w:p w:rsidR="00EE0C8C" w:rsidRPr="00EE0C8C" w:rsidRDefault="00EE0C8C" w:rsidP="00EE0C8C">
            <w:pPr>
              <w:spacing w:after="0"/>
              <w:jc w:val="both"/>
              <w:rPr>
                <w:rFonts w:ascii="Times New Roman" w:eastAsia="Calibri" w:hAnsi="Times New Roman" w:cs="Times New Roman"/>
                <w:sz w:val="20"/>
                <w:szCs w:val="20"/>
                <w:lang w:eastAsia="pl-PL"/>
              </w:rPr>
            </w:pPr>
          </w:p>
          <w:p w:rsidR="00EE0C8C" w:rsidRPr="00EE0C8C" w:rsidRDefault="00EE0C8C" w:rsidP="00EE0C8C">
            <w:pPr>
              <w:spacing w:after="0"/>
              <w:jc w:val="both"/>
              <w:rPr>
                <w:rFonts w:ascii="Times New Roman" w:eastAsia="Calibri" w:hAnsi="Times New Roman" w:cs="Times New Roman"/>
                <w:sz w:val="20"/>
                <w:szCs w:val="20"/>
                <w:lang w:eastAsia="pl-PL"/>
              </w:rPr>
            </w:pPr>
          </w:p>
        </w:tc>
      </w:tr>
      <w:tr w:rsidR="00EE0C8C" w:rsidRPr="00EE0C8C" w:rsidTr="00A76BDB">
        <w:trPr>
          <w:trHeight w:val="342"/>
        </w:trPr>
        <w:tc>
          <w:tcPr>
            <w:tcW w:w="10065" w:type="dxa"/>
            <w:gridSpan w:val="12"/>
            <w:shd w:val="clear" w:color="auto" w:fill="E6CBA8"/>
          </w:tcPr>
          <w:p w:rsidR="00EE0C8C" w:rsidRPr="00EE0C8C" w:rsidRDefault="00EE0C8C" w:rsidP="00EE0C8C">
            <w:pPr>
              <w:spacing w:after="0"/>
              <w:jc w:val="center"/>
              <w:rPr>
                <w:rFonts w:ascii="Times New Roman" w:eastAsia="Calibri" w:hAnsi="Times New Roman" w:cs="Times New Roman"/>
                <w:b/>
                <w:sz w:val="20"/>
                <w:szCs w:val="20"/>
                <w:lang w:eastAsia="pl-PL"/>
              </w:rPr>
            </w:pPr>
            <w:r w:rsidRPr="00EE0C8C">
              <w:rPr>
                <w:rFonts w:ascii="Times New Roman" w:eastAsia="Calibri" w:hAnsi="Times New Roman" w:cs="Times New Roman"/>
                <w:b/>
                <w:sz w:val="20"/>
                <w:szCs w:val="20"/>
                <w:lang w:eastAsia="pl-PL"/>
              </w:rPr>
              <w:t>WSKAŹNIKI PRZESTRZENNE</w:t>
            </w:r>
          </w:p>
        </w:tc>
      </w:tr>
      <w:tr w:rsidR="00EE0C8C" w:rsidRPr="00EE0C8C" w:rsidTr="00A76BDB">
        <w:trPr>
          <w:trHeight w:val="434"/>
        </w:trPr>
        <w:tc>
          <w:tcPr>
            <w:tcW w:w="567" w:type="dxa"/>
            <w:shd w:val="clear" w:color="auto" w:fill="D19E5B"/>
          </w:tcPr>
          <w:p w:rsidR="00EE0C8C" w:rsidRPr="00EE0C8C" w:rsidRDefault="00EE0C8C" w:rsidP="00EE0C8C">
            <w:pPr>
              <w:spacing w:after="0"/>
              <w:jc w:val="center"/>
              <w:rPr>
                <w:rFonts w:ascii="Times New Roman" w:eastAsia="Calibri" w:hAnsi="Times New Roman" w:cs="Times New Roman"/>
                <w:sz w:val="20"/>
                <w:szCs w:val="20"/>
                <w:lang w:eastAsia="pl-PL"/>
              </w:rPr>
            </w:pPr>
            <w:r w:rsidRPr="00EE0C8C">
              <w:rPr>
                <w:rFonts w:ascii="Times New Roman" w:eastAsia="Calibri" w:hAnsi="Times New Roman" w:cs="Times New Roman"/>
                <w:b/>
                <w:bCs/>
                <w:sz w:val="20"/>
                <w:szCs w:val="20"/>
                <w:lang w:eastAsia="pl-PL"/>
              </w:rPr>
              <w:t>Lp.</w:t>
            </w:r>
          </w:p>
        </w:tc>
        <w:tc>
          <w:tcPr>
            <w:tcW w:w="2898" w:type="dxa"/>
            <w:gridSpan w:val="2"/>
            <w:shd w:val="clear" w:color="auto" w:fill="D19E5B"/>
          </w:tcPr>
          <w:p w:rsidR="00EE0C8C" w:rsidRPr="00EE0C8C" w:rsidRDefault="00EE0C8C" w:rsidP="00EE0C8C">
            <w:pPr>
              <w:spacing w:after="0"/>
              <w:jc w:val="center"/>
              <w:rPr>
                <w:rFonts w:ascii="Times New Roman" w:eastAsia="Calibri" w:hAnsi="Times New Roman" w:cs="Times New Roman"/>
                <w:sz w:val="20"/>
                <w:szCs w:val="20"/>
                <w:lang w:eastAsia="pl-PL"/>
              </w:rPr>
            </w:pPr>
            <w:r w:rsidRPr="00EE0C8C">
              <w:rPr>
                <w:rFonts w:ascii="Times New Roman" w:eastAsia="Calibri" w:hAnsi="Times New Roman" w:cs="Times New Roman"/>
                <w:b/>
                <w:bCs/>
                <w:sz w:val="20"/>
                <w:szCs w:val="20"/>
                <w:lang w:eastAsia="pl-PL"/>
              </w:rPr>
              <w:t>Nazwa wskaźnika</w:t>
            </w:r>
          </w:p>
        </w:tc>
        <w:tc>
          <w:tcPr>
            <w:tcW w:w="1582" w:type="dxa"/>
            <w:gridSpan w:val="2"/>
            <w:shd w:val="clear" w:color="auto" w:fill="D19E5B"/>
          </w:tcPr>
          <w:p w:rsidR="00EE0C8C" w:rsidRPr="00EE0C8C" w:rsidRDefault="00EE0C8C" w:rsidP="00EE0C8C">
            <w:pPr>
              <w:spacing w:after="0"/>
              <w:jc w:val="center"/>
              <w:rPr>
                <w:rFonts w:ascii="Times New Roman" w:eastAsia="Calibri" w:hAnsi="Times New Roman" w:cs="Times New Roman"/>
                <w:sz w:val="20"/>
                <w:szCs w:val="20"/>
                <w:lang w:eastAsia="pl-PL"/>
              </w:rPr>
            </w:pPr>
            <w:r w:rsidRPr="00EE0C8C">
              <w:rPr>
                <w:rFonts w:ascii="Times New Roman" w:eastAsia="Calibri" w:hAnsi="Times New Roman" w:cs="Times New Roman"/>
                <w:b/>
                <w:bCs/>
                <w:sz w:val="20"/>
                <w:szCs w:val="20"/>
                <w:lang w:eastAsia="pl-PL"/>
              </w:rPr>
              <w:t>Wartość wyjściowa dla Gminy Mirzec</w:t>
            </w:r>
            <w:r w:rsidRPr="00EE0C8C">
              <w:rPr>
                <w:rFonts w:ascii="Times New Roman" w:eastAsia="Calibri" w:hAnsi="Times New Roman" w:cs="Times New Roman"/>
                <w:b/>
                <w:bCs/>
                <w:sz w:val="20"/>
                <w:szCs w:val="20"/>
                <w:lang w:eastAsia="pl-PL"/>
              </w:rPr>
              <w:br/>
              <w:t xml:space="preserve"> w 2014 r.</w:t>
            </w:r>
          </w:p>
        </w:tc>
        <w:tc>
          <w:tcPr>
            <w:tcW w:w="1543" w:type="dxa"/>
            <w:gridSpan w:val="3"/>
            <w:shd w:val="clear" w:color="auto" w:fill="D19E5B"/>
          </w:tcPr>
          <w:p w:rsidR="00EE0C8C" w:rsidRPr="00EE0C8C" w:rsidRDefault="00EE0C8C" w:rsidP="00EE0C8C">
            <w:pPr>
              <w:spacing w:after="0"/>
              <w:jc w:val="center"/>
              <w:rPr>
                <w:rFonts w:ascii="Times New Roman" w:eastAsia="Calibri" w:hAnsi="Times New Roman" w:cs="Times New Roman"/>
                <w:sz w:val="20"/>
                <w:szCs w:val="20"/>
                <w:lang w:eastAsia="pl-PL"/>
              </w:rPr>
            </w:pPr>
            <w:r w:rsidRPr="00EE0C8C">
              <w:rPr>
                <w:rFonts w:ascii="Times New Roman" w:eastAsia="Calibri" w:hAnsi="Times New Roman" w:cs="Times New Roman"/>
                <w:b/>
                <w:bCs/>
                <w:sz w:val="20"/>
                <w:szCs w:val="20"/>
                <w:lang w:eastAsia="pl-PL"/>
              </w:rPr>
              <w:t>Średnia powiatu starachowickiego</w:t>
            </w:r>
            <w:r w:rsidRPr="00EE0C8C">
              <w:rPr>
                <w:rFonts w:ascii="Times New Roman" w:eastAsia="Calibri" w:hAnsi="Times New Roman" w:cs="Times New Roman"/>
                <w:b/>
                <w:bCs/>
                <w:sz w:val="20"/>
                <w:szCs w:val="20"/>
                <w:lang w:eastAsia="pl-PL"/>
              </w:rPr>
              <w:br/>
              <w:t>w 2014 r.</w:t>
            </w:r>
          </w:p>
        </w:tc>
        <w:tc>
          <w:tcPr>
            <w:tcW w:w="1383" w:type="dxa"/>
            <w:gridSpan w:val="2"/>
            <w:shd w:val="clear" w:color="auto" w:fill="D19E5B"/>
          </w:tcPr>
          <w:p w:rsidR="00EE0C8C" w:rsidRPr="00EE0C8C" w:rsidRDefault="00EE0C8C" w:rsidP="00EE0C8C">
            <w:pPr>
              <w:spacing w:after="0"/>
              <w:jc w:val="center"/>
              <w:rPr>
                <w:rFonts w:ascii="Times New Roman" w:eastAsia="Calibri" w:hAnsi="Times New Roman" w:cs="Times New Roman"/>
                <w:sz w:val="20"/>
                <w:szCs w:val="20"/>
                <w:lang w:eastAsia="pl-PL"/>
              </w:rPr>
            </w:pPr>
            <w:r w:rsidRPr="00EE0C8C">
              <w:rPr>
                <w:rFonts w:ascii="Times New Roman" w:eastAsia="Calibri" w:hAnsi="Times New Roman" w:cs="Times New Roman"/>
                <w:b/>
                <w:bCs/>
                <w:sz w:val="20"/>
                <w:szCs w:val="20"/>
                <w:lang w:eastAsia="pl-PL"/>
              </w:rPr>
              <w:t xml:space="preserve">Średnia krajowa </w:t>
            </w:r>
            <w:r w:rsidRPr="00EE0C8C">
              <w:rPr>
                <w:rFonts w:ascii="Times New Roman" w:eastAsia="Calibri" w:hAnsi="Times New Roman" w:cs="Times New Roman"/>
                <w:b/>
                <w:bCs/>
                <w:sz w:val="20"/>
                <w:szCs w:val="20"/>
                <w:lang w:eastAsia="pl-PL"/>
              </w:rPr>
              <w:br/>
              <w:t>w 2014 r.</w:t>
            </w:r>
          </w:p>
        </w:tc>
        <w:tc>
          <w:tcPr>
            <w:tcW w:w="2092" w:type="dxa"/>
            <w:gridSpan w:val="2"/>
            <w:shd w:val="clear" w:color="auto" w:fill="D19E5B"/>
          </w:tcPr>
          <w:p w:rsidR="00EE0C8C" w:rsidRPr="00EE0C8C" w:rsidRDefault="00EE0C8C" w:rsidP="00EE0C8C">
            <w:pPr>
              <w:spacing w:after="0"/>
              <w:jc w:val="center"/>
              <w:rPr>
                <w:rFonts w:ascii="Times New Roman" w:eastAsia="Calibri" w:hAnsi="Times New Roman" w:cs="Times New Roman"/>
                <w:sz w:val="20"/>
                <w:szCs w:val="20"/>
                <w:lang w:eastAsia="pl-PL"/>
              </w:rPr>
            </w:pPr>
            <w:r w:rsidRPr="00EE0C8C">
              <w:rPr>
                <w:rFonts w:ascii="Times New Roman" w:eastAsia="Calibri" w:hAnsi="Times New Roman" w:cs="Times New Roman"/>
                <w:b/>
                <w:bCs/>
                <w:sz w:val="20"/>
                <w:szCs w:val="20"/>
                <w:lang w:eastAsia="pl-PL"/>
              </w:rPr>
              <w:t>Wartość docelowa dla Gminy Mirzec</w:t>
            </w:r>
            <w:r w:rsidRPr="00EE0C8C">
              <w:rPr>
                <w:rFonts w:ascii="Times New Roman" w:eastAsia="Calibri" w:hAnsi="Times New Roman" w:cs="Times New Roman"/>
                <w:b/>
                <w:bCs/>
                <w:sz w:val="20"/>
                <w:szCs w:val="20"/>
                <w:lang w:eastAsia="pl-PL"/>
              </w:rPr>
              <w:br/>
              <w:t>w 2022r.</w:t>
            </w:r>
          </w:p>
        </w:tc>
      </w:tr>
      <w:tr w:rsidR="00EE0C8C" w:rsidRPr="00EE0C8C" w:rsidTr="00A76BDB">
        <w:trPr>
          <w:trHeight w:val="326"/>
        </w:trPr>
        <w:tc>
          <w:tcPr>
            <w:tcW w:w="567" w:type="dxa"/>
          </w:tcPr>
          <w:p w:rsidR="00EE0C8C" w:rsidRPr="00EE0C8C" w:rsidRDefault="00EE0C8C" w:rsidP="00EE0C8C">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16.</w:t>
            </w:r>
          </w:p>
        </w:tc>
        <w:tc>
          <w:tcPr>
            <w:tcW w:w="2898" w:type="dxa"/>
            <w:gridSpan w:val="2"/>
          </w:tcPr>
          <w:p w:rsidR="00EE0C8C" w:rsidRPr="00EE0C8C" w:rsidRDefault="00EE0C8C" w:rsidP="00EE0C8C">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 xml:space="preserve">Przeciętna powierzchnia użytkowa 1 mieszkania </w:t>
            </w:r>
          </w:p>
        </w:tc>
        <w:tc>
          <w:tcPr>
            <w:tcW w:w="1582" w:type="dxa"/>
            <w:gridSpan w:val="2"/>
          </w:tcPr>
          <w:p w:rsidR="00EE0C8C" w:rsidRPr="00EE0C8C" w:rsidRDefault="00EE0C8C" w:rsidP="00EE0C8C">
            <w:pPr>
              <w:spacing w:after="0"/>
              <w:jc w:val="both"/>
              <w:rPr>
                <w:rFonts w:ascii="Times New Roman" w:eastAsia="Calibri" w:hAnsi="Times New Roman" w:cs="Times New Roman"/>
                <w:sz w:val="20"/>
                <w:szCs w:val="20"/>
                <w:vertAlign w:val="superscript"/>
                <w:lang w:eastAsia="pl-PL"/>
              </w:rPr>
            </w:pPr>
            <w:r w:rsidRPr="00EE0C8C">
              <w:rPr>
                <w:rFonts w:ascii="Times New Roman" w:eastAsia="Calibri" w:hAnsi="Times New Roman" w:cs="Times New Roman"/>
                <w:sz w:val="20"/>
                <w:szCs w:val="20"/>
                <w:lang w:eastAsia="pl-PL"/>
              </w:rPr>
              <w:t>89m</w:t>
            </w:r>
            <w:r w:rsidRPr="00EE0C8C">
              <w:rPr>
                <w:rFonts w:ascii="Times New Roman" w:eastAsia="Calibri" w:hAnsi="Times New Roman" w:cs="Times New Roman"/>
                <w:sz w:val="20"/>
                <w:szCs w:val="20"/>
                <w:vertAlign w:val="superscript"/>
                <w:lang w:eastAsia="pl-PL"/>
              </w:rPr>
              <w:t>2</w:t>
            </w:r>
          </w:p>
        </w:tc>
        <w:tc>
          <w:tcPr>
            <w:tcW w:w="1543" w:type="dxa"/>
            <w:gridSpan w:val="3"/>
          </w:tcPr>
          <w:p w:rsidR="00EE0C8C" w:rsidRPr="00EE0C8C" w:rsidRDefault="00EE0C8C" w:rsidP="00EE0C8C">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68,4 m</w:t>
            </w:r>
            <w:r w:rsidRPr="00EE0C8C">
              <w:rPr>
                <w:rFonts w:ascii="Times New Roman" w:eastAsia="Calibri" w:hAnsi="Times New Roman" w:cs="Times New Roman"/>
                <w:sz w:val="20"/>
                <w:szCs w:val="20"/>
                <w:vertAlign w:val="superscript"/>
                <w:lang w:eastAsia="pl-PL"/>
              </w:rPr>
              <w:t>2</w:t>
            </w:r>
          </w:p>
        </w:tc>
        <w:tc>
          <w:tcPr>
            <w:tcW w:w="1383" w:type="dxa"/>
            <w:gridSpan w:val="2"/>
          </w:tcPr>
          <w:p w:rsidR="00EE0C8C" w:rsidRPr="00EE0C8C" w:rsidRDefault="00EE0C8C" w:rsidP="00EE0C8C">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73,1 m</w:t>
            </w:r>
            <w:r w:rsidRPr="00EE0C8C">
              <w:rPr>
                <w:rFonts w:ascii="Times New Roman" w:eastAsia="Calibri" w:hAnsi="Times New Roman" w:cs="Times New Roman"/>
                <w:sz w:val="20"/>
                <w:szCs w:val="20"/>
                <w:vertAlign w:val="superscript"/>
                <w:lang w:eastAsia="pl-PL"/>
              </w:rPr>
              <w:t>2</w:t>
            </w:r>
          </w:p>
        </w:tc>
        <w:tc>
          <w:tcPr>
            <w:tcW w:w="2092" w:type="dxa"/>
            <w:gridSpan w:val="2"/>
          </w:tcPr>
          <w:p w:rsidR="00EE0C8C" w:rsidRPr="00EE0C8C" w:rsidRDefault="00EE0C8C" w:rsidP="00EE0C8C">
            <w:pPr>
              <w:spacing w:after="0"/>
              <w:jc w:val="both"/>
              <w:rPr>
                <w:rFonts w:ascii="Times New Roman" w:eastAsia="Calibri" w:hAnsi="Times New Roman" w:cs="Times New Roman"/>
                <w:sz w:val="20"/>
                <w:szCs w:val="20"/>
                <w:lang w:eastAsia="pl-PL"/>
              </w:rPr>
            </w:pPr>
            <w:r w:rsidRPr="00EE0C8C">
              <w:rPr>
                <w:rFonts w:ascii="Times New Roman" w:eastAsia="Calibri" w:hAnsi="Times New Roman" w:cs="Times New Roman"/>
                <w:sz w:val="20"/>
                <w:szCs w:val="20"/>
                <w:lang w:eastAsia="pl-PL"/>
              </w:rPr>
              <w:t>powyżej średniej krajowej</w:t>
            </w:r>
          </w:p>
        </w:tc>
      </w:tr>
    </w:tbl>
    <w:p w:rsidR="00EE0C8C" w:rsidRPr="00EE0C8C" w:rsidRDefault="00EE0C8C" w:rsidP="00EE0C8C">
      <w:pPr>
        <w:spacing w:before="120" w:after="120"/>
        <w:jc w:val="both"/>
        <w:rPr>
          <w:rFonts w:ascii="Times New Roman" w:eastAsia="Calibri" w:hAnsi="Times New Roman" w:cs="Times New Roman"/>
          <w:sz w:val="24"/>
          <w:lang w:eastAsia="pl-PL"/>
        </w:rPr>
      </w:pPr>
    </w:p>
    <w:p w:rsidR="00EE0C8C" w:rsidRPr="00EE0C8C" w:rsidRDefault="00EE0C8C" w:rsidP="00EE0C8C">
      <w:pPr>
        <w:jc w:val="both"/>
      </w:pPr>
    </w:p>
    <w:p w:rsidR="00EE0C8C" w:rsidRPr="00EE0C8C" w:rsidRDefault="00EE0C8C" w:rsidP="00EE0C8C">
      <w:pPr>
        <w:ind w:left="720"/>
        <w:contextualSpacing/>
        <w:rPr>
          <w:rFonts w:eastAsia="Calibri" w:cs="Times New Roman"/>
          <w:b/>
          <w:sz w:val="24"/>
          <w:szCs w:val="24"/>
        </w:rPr>
      </w:pPr>
    </w:p>
    <w:p w:rsidR="00EE0C8C" w:rsidRPr="00EE0C8C" w:rsidRDefault="00EE0C8C" w:rsidP="00EE0C8C">
      <w:pPr>
        <w:ind w:left="720"/>
        <w:contextualSpacing/>
        <w:rPr>
          <w:rFonts w:eastAsia="Calibri" w:cs="Times New Roman"/>
          <w:sz w:val="24"/>
          <w:szCs w:val="24"/>
        </w:rPr>
      </w:pPr>
    </w:p>
    <w:p w:rsidR="00EE0C8C" w:rsidRPr="00EE0C8C" w:rsidRDefault="00EE0C8C" w:rsidP="00EE0C8C">
      <w:pPr>
        <w:jc w:val="center"/>
        <w:rPr>
          <w:rFonts w:ascii="Calibri" w:eastAsia="Times New Roman" w:hAnsi="Calibri" w:cs="Times New Roman"/>
          <w:b/>
          <w:lang w:eastAsia="pl-PL"/>
        </w:rPr>
      </w:pPr>
    </w:p>
    <w:p w:rsidR="00EE0C8C" w:rsidRPr="00EE0C8C" w:rsidRDefault="00EE0C8C" w:rsidP="00EE0C8C">
      <w:pPr>
        <w:rPr>
          <w:b/>
          <w:bCs/>
          <w:iCs/>
          <w:color w:val="4F81BD" w:themeColor="accent1"/>
          <w:sz w:val="28"/>
          <w:szCs w:val="28"/>
        </w:rPr>
      </w:pPr>
    </w:p>
    <w:p w:rsidR="00EE0C8C" w:rsidRPr="00EE0C8C" w:rsidRDefault="00EE0C8C" w:rsidP="00EE0C8C">
      <w:pPr>
        <w:rPr>
          <w:rFonts w:ascii="Calibri" w:eastAsia="Times New Roman" w:hAnsi="Calibri" w:cs="Times New Roman"/>
          <w:lang w:eastAsia="pl-PL"/>
        </w:rPr>
      </w:pPr>
    </w:p>
    <w:p w:rsidR="00EE0C8C" w:rsidRPr="00EE0C8C" w:rsidRDefault="00EE0C8C" w:rsidP="00EE0C8C">
      <w:pPr>
        <w:rPr>
          <w:rFonts w:ascii="Calibri" w:eastAsia="Times New Roman" w:hAnsi="Calibri" w:cs="Times New Roman"/>
          <w:lang w:eastAsia="pl-PL"/>
        </w:rPr>
      </w:pPr>
    </w:p>
    <w:p w:rsidR="00EE0C8C" w:rsidRPr="00EE0C8C" w:rsidRDefault="00EE0C8C" w:rsidP="00EE0C8C">
      <w:pPr>
        <w:rPr>
          <w:rFonts w:ascii="Calibri" w:eastAsia="Times New Roman" w:hAnsi="Calibri" w:cs="Times New Roman"/>
          <w:lang w:eastAsia="pl-PL"/>
        </w:rPr>
      </w:pPr>
    </w:p>
    <w:p w:rsidR="00EE0C8C" w:rsidRPr="00EE0C8C" w:rsidRDefault="00EE0C8C" w:rsidP="00EE0C8C">
      <w:pPr>
        <w:rPr>
          <w:rFonts w:ascii="Calibri" w:eastAsia="Times New Roman" w:hAnsi="Calibri" w:cs="Times New Roman"/>
          <w:lang w:eastAsia="pl-PL"/>
        </w:rPr>
      </w:pPr>
    </w:p>
    <w:p w:rsidR="005226AA" w:rsidRDefault="005226AA" w:rsidP="008903A4">
      <w:pPr>
        <w:pStyle w:val="Nagwek2"/>
        <w:rPr>
          <w:rFonts w:eastAsiaTheme="majorEastAsia"/>
          <w:sz w:val="56"/>
          <w:u w:val="single"/>
        </w:rPr>
      </w:pPr>
    </w:p>
    <w:p w:rsidR="005226AA" w:rsidRDefault="005226AA" w:rsidP="005226AA">
      <w:pPr>
        <w:rPr>
          <w:rFonts w:ascii="Cambria" w:hAnsi="Cambria" w:cs="Times New Roman"/>
          <w:color w:val="4F81BD"/>
          <w:szCs w:val="26"/>
        </w:rPr>
      </w:pPr>
      <w:r>
        <w:br w:type="page"/>
      </w:r>
    </w:p>
    <w:p w:rsidR="00EE0C8C" w:rsidRPr="008903A4" w:rsidRDefault="00EE0C8C" w:rsidP="008903A4">
      <w:pPr>
        <w:pStyle w:val="Nagwek2"/>
        <w:rPr>
          <w:rFonts w:eastAsiaTheme="majorEastAsia"/>
          <w:sz w:val="56"/>
          <w:u w:val="single"/>
        </w:rPr>
      </w:pPr>
      <w:bookmarkStart w:id="122" w:name="_Toc450562524"/>
      <w:r w:rsidRPr="008903A4">
        <w:rPr>
          <w:rFonts w:eastAsiaTheme="majorEastAsia"/>
          <w:sz w:val="56"/>
          <w:u w:val="single"/>
        </w:rPr>
        <w:lastRenderedPageBreak/>
        <w:t>ROZDZIAŁ VII</w:t>
      </w:r>
      <w:bookmarkEnd w:id="122"/>
    </w:p>
    <w:p w:rsidR="00EE0C8C" w:rsidRPr="00EE0C8C" w:rsidRDefault="00EE0C8C" w:rsidP="008903A4">
      <w:pPr>
        <w:pStyle w:val="Nagwek2"/>
      </w:pPr>
      <w:bookmarkStart w:id="123" w:name="_Toc450562525"/>
      <w:r w:rsidRPr="00EE0C8C">
        <w:t xml:space="preserve">INDYKATYWNE RAMY FINANSOWE GPR </w:t>
      </w:r>
      <w:r w:rsidR="00B46559">
        <w:t>GMINY</w:t>
      </w:r>
      <w:r w:rsidRPr="00EE0C8C">
        <w:t xml:space="preserve"> MIRZEC</w:t>
      </w:r>
      <w:bookmarkEnd w:id="123"/>
    </w:p>
    <w:p w:rsidR="00EE0C8C" w:rsidRPr="00EE0C8C" w:rsidRDefault="00EE0C8C" w:rsidP="008903A4">
      <w:pPr>
        <w:pStyle w:val="Nagwek2"/>
        <w:rPr>
          <w:rFonts w:eastAsiaTheme="majorEastAsia"/>
        </w:rPr>
      </w:pPr>
      <w:bookmarkStart w:id="124" w:name="_Toc439157983"/>
      <w:bookmarkStart w:id="125" w:name="_Toc450562526"/>
      <w:r w:rsidRPr="00EE0C8C">
        <w:rPr>
          <w:rFonts w:eastAsiaTheme="majorEastAsia"/>
        </w:rPr>
        <w:t>7.1. INSTRUMENTY FINANSOWANIA PROGRAMU REWITALIZACJI</w:t>
      </w:r>
      <w:bookmarkEnd w:id="124"/>
      <w:bookmarkEnd w:id="125"/>
    </w:p>
    <w:p w:rsidR="00EE0C8C" w:rsidRPr="00EE0C8C" w:rsidRDefault="00EE0C8C" w:rsidP="00EE0C8C">
      <w:pPr>
        <w:ind w:firstLine="1134"/>
        <w:jc w:val="both"/>
      </w:pPr>
    </w:p>
    <w:p w:rsidR="00EE0C8C" w:rsidRPr="00EE0C8C" w:rsidRDefault="00EE0C8C" w:rsidP="00EE0C8C">
      <w:pPr>
        <w:jc w:val="both"/>
      </w:pPr>
      <w:r w:rsidRPr="00EE0C8C">
        <w:t xml:space="preserve">Wyprowadzenie obszarów zdegradowanych w miejscowości Mirzec z sytuacji kryzysowej jest procesem długotrwałym i wymagającym znacznych nakładów finansowych na realizację poszczególnych projektów. Gmina Mirzec planuje wykonanie wyszczególnionych w dokumencie inwestycji w oparciu m.in. o zewnętrzne środki finansowe (stawiając nacisk na bezzwrotne dotacje), jak również o środki własne. W chwili zakończenia prac nad niniejszym dokumentem Polska znajduje się w okresie przejściowym, w którym środki z perspektywy budżetowej na lata 2014 – 2020 nie zostały jeszcze uruchomione. W Regionalnym Programie Operacyjnym Województwa Świętokrzyskiego na lata 2014–2020 działania rewitalizacyjne przyporządkowane są do osi priorytetowej 6 Rozwój miast, Działanie 6.5 Rewitalizacja obszarów miejskich i wiejskich. Duży potencjał niesie ze sobą perspektywiczne zaangażowanie w rewitalizację innych partnerów, angażując tym samym dodatkowy kapitał i rozkładając ciężar finansowy rewitalizacji na różne podmioty. Do głównych źródeł finansowania projektów rewitalizacyjnych należą przede wszystkim: </w:t>
      </w:r>
    </w:p>
    <w:p w:rsidR="00EE0C8C" w:rsidRPr="00EE0C8C" w:rsidRDefault="00EE0C8C" w:rsidP="00EE0C8C">
      <w:pPr>
        <w:ind w:firstLine="1134"/>
        <w:jc w:val="both"/>
      </w:pPr>
      <w:r w:rsidRPr="00EE0C8C">
        <w:t xml:space="preserve">• środki własne podmiotów realizujących inwestycje, </w:t>
      </w:r>
    </w:p>
    <w:p w:rsidR="00EE0C8C" w:rsidRPr="00EE0C8C" w:rsidRDefault="00EE0C8C" w:rsidP="00EE0C8C">
      <w:pPr>
        <w:ind w:firstLine="1134"/>
        <w:jc w:val="both"/>
      </w:pPr>
      <w:r w:rsidRPr="00EE0C8C">
        <w:t>• bezzwrotne dotacje z funduszy europejskich,</w:t>
      </w:r>
    </w:p>
    <w:p w:rsidR="00EE0C8C" w:rsidRPr="00EE0C8C" w:rsidRDefault="00EE0C8C" w:rsidP="00EE0C8C">
      <w:pPr>
        <w:ind w:firstLine="1134"/>
        <w:jc w:val="both"/>
      </w:pPr>
      <w:r w:rsidRPr="00EE0C8C">
        <w:t xml:space="preserve">• zwrotne instrumenty finansowania, jak np. inicjatywa JESSICA, </w:t>
      </w:r>
    </w:p>
    <w:p w:rsidR="00EE0C8C" w:rsidRPr="00EE0C8C" w:rsidRDefault="00EE0C8C" w:rsidP="00EE0C8C">
      <w:pPr>
        <w:ind w:firstLine="1134"/>
        <w:jc w:val="both"/>
      </w:pPr>
      <w:r w:rsidRPr="00EE0C8C">
        <w:t xml:space="preserve">• dotacje celowe z Ministerstwa Kultury i Dziedzictwa Narodowego, </w:t>
      </w:r>
    </w:p>
    <w:p w:rsidR="00EE0C8C" w:rsidRPr="00EE0C8C" w:rsidRDefault="00EE0C8C" w:rsidP="00EE0C8C">
      <w:pPr>
        <w:ind w:firstLine="1134"/>
        <w:jc w:val="both"/>
      </w:pPr>
      <w:r w:rsidRPr="00EE0C8C">
        <w:t xml:space="preserve">• dotacje i pożyczki z Funduszu Ochrony Środowiska, </w:t>
      </w:r>
    </w:p>
    <w:p w:rsidR="00EE0C8C" w:rsidRPr="00EE0C8C" w:rsidRDefault="00EE0C8C" w:rsidP="00EE0C8C">
      <w:pPr>
        <w:ind w:firstLine="1134"/>
        <w:jc w:val="both"/>
      </w:pPr>
      <w:r w:rsidRPr="00EE0C8C">
        <w:t>• kredyty i pożyczki komercyjne.</w:t>
      </w:r>
    </w:p>
    <w:p w:rsidR="00EE0C8C" w:rsidRPr="00EE0C8C" w:rsidRDefault="00EE0C8C" w:rsidP="00EE0C8C">
      <w:pPr>
        <w:jc w:val="both"/>
      </w:pPr>
      <w:r w:rsidRPr="00EE0C8C">
        <w:t>Finansowanie działań w ramach Narodowego Planu Rewitalizacji będzie pochodzić z następujących źródeł, dedykowanych w całości lub częściowo celom rewitalizacji:</w:t>
      </w:r>
    </w:p>
    <w:p w:rsidR="00EE0C8C" w:rsidRPr="00EE0C8C" w:rsidRDefault="00EE0C8C" w:rsidP="00EE0C8C">
      <w:pPr>
        <w:jc w:val="both"/>
      </w:pPr>
      <w:r w:rsidRPr="00EE0C8C">
        <w:t>a)</w:t>
      </w:r>
      <w:r w:rsidRPr="00EE0C8C">
        <w:tab/>
        <w:t xml:space="preserve">Publicznych wspólnotowych (Europejskich Funduszy Strukturalnych i Inwestycyjnych: EFRR, EFS i Funduszu Spójności, w ramach programów regionalnych i krajowych, w tym także sukcesywne zasilanie środkami pochodzącymi ze spłaty pożyczek udzielonych w ramach instrumentu Jessica). </w:t>
      </w:r>
    </w:p>
    <w:p w:rsidR="00EE0C8C" w:rsidRPr="00EE0C8C" w:rsidRDefault="00EE0C8C" w:rsidP="00EE0C8C">
      <w:pPr>
        <w:jc w:val="both"/>
      </w:pPr>
      <w:r w:rsidRPr="00EE0C8C">
        <w:t>Przyjmując, że na wsparcie rewitalizacji zostanie przeznaczona część środków w ramach określonych priorytetów inwestycyjnych (w zależności od charakteru priorytetu), szacunkowo w poszczególnych obszarach wsparcia na NPR zostaną wydatkowane kwoty:</w:t>
      </w:r>
    </w:p>
    <w:p w:rsidR="00EE0C8C" w:rsidRPr="00EE0C8C" w:rsidRDefault="00EE0C8C" w:rsidP="00EE0C8C">
      <w:pPr>
        <w:jc w:val="both"/>
      </w:pPr>
      <w:r w:rsidRPr="00EE0C8C">
        <w:t>•</w:t>
      </w:r>
      <w:r w:rsidRPr="00EE0C8C">
        <w:tab/>
        <w:t xml:space="preserve">technologie informacyjno-komunikacyjne (wsparcie jako element szerszych przedsięwzięć na rewitalizowanych obszarach) – ok. 200 mln EUR, </w:t>
      </w:r>
    </w:p>
    <w:p w:rsidR="00EE0C8C" w:rsidRPr="00EE0C8C" w:rsidRDefault="00EE0C8C" w:rsidP="00EE0C8C">
      <w:pPr>
        <w:jc w:val="both"/>
      </w:pPr>
      <w:r w:rsidRPr="00EE0C8C">
        <w:t>•</w:t>
      </w:r>
      <w:r w:rsidRPr="00EE0C8C">
        <w:tab/>
        <w:t xml:space="preserve">gospodarka niskoemisyjna – ok. 1,7 mld EUR, </w:t>
      </w:r>
    </w:p>
    <w:p w:rsidR="00EE0C8C" w:rsidRPr="00EE0C8C" w:rsidRDefault="00EE0C8C" w:rsidP="00EE0C8C">
      <w:pPr>
        <w:jc w:val="both"/>
      </w:pPr>
      <w:r w:rsidRPr="00EE0C8C">
        <w:lastRenderedPageBreak/>
        <w:t>•</w:t>
      </w:r>
      <w:r w:rsidRPr="00EE0C8C">
        <w:tab/>
        <w:t xml:space="preserve">środowisko i kultura – ok. 600 mln EUR, </w:t>
      </w:r>
    </w:p>
    <w:p w:rsidR="00EE0C8C" w:rsidRPr="00EE0C8C" w:rsidRDefault="00EE0C8C" w:rsidP="00EE0C8C">
      <w:pPr>
        <w:jc w:val="both"/>
      </w:pPr>
      <w:r w:rsidRPr="00EE0C8C">
        <w:t>•</w:t>
      </w:r>
      <w:r w:rsidRPr="00EE0C8C">
        <w:tab/>
        <w:t xml:space="preserve">transport – ok. 300 mln EUR, </w:t>
      </w:r>
    </w:p>
    <w:p w:rsidR="00EE0C8C" w:rsidRPr="00EE0C8C" w:rsidRDefault="00EE0C8C" w:rsidP="00EE0C8C">
      <w:pPr>
        <w:jc w:val="both"/>
      </w:pPr>
      <w:r w:rsidRPr="00EE0C8C">
        <w:t>•</w:t>
      </w:r>
      <w:r w:rsidRPr="00EE0C8C">
        <w:tab/>
        <w:t xml:space="preserve">rynek pracy i przedsiębiorczość – ok. 2mld EUR, </w:t>
      </w:r>
    </w:p>
    <w:p w:rsidR="00EE0C8C" w:rsidRPr="00EE0C8C" w:rsidRDefault="00EE0C8C" w:rsidP="00EE0C8C">
      <w:pPr>
        <w:jc w:val="both"/>
      </w:pPr>
      <w:r w:rsidRPr="00EE0C8C">
        <w:t>•</w:t>
      </w:r>
      <w:r w:rsidRPr="00EE0C8C">
        <w:tab/>
        <w:t xml:space="preserve">włączenie społeczne, w tym dostęp do usług publicznych– ok. 2 mld EUR, </w:t>
      </w:r>
    </w:p>
    <w:p w:rsidR="00EE0C8C" w:rsidRPr="00EE0C8C" w:rsidRDefault="00EE0C8C" w:rsidP="00EE0C8C">
      <w:pPr>
        <w:jc w:val="both"/>
      </w:pPr>
      <w:r w:rsidRPr="00EE0C8C">
        <w:t>•</w:t>
      </w:r>
      <w:r w:rsidRPr="00EE0C8C">
        <w:tab/>
        <w:t xml:space="preserve">edukacja – ok. 200 mln EUR. </w:t>
      </w:r>
    </w:p>
    <w:p w:rsidR="00EE0C8C" w:rsidRPr="00EE0C8C" w:rsidRDefault="00EE0C8C" w:rsidP="00EE0C8C">
      <w:pPr>
        <w:jc w:val="both"/>
      </w:pPr>
      <w:r w:rsidRPr="00EE0C8C">
        <w:t>Powyższe kwoty mają charakter indykatywny, biorąc pod uwagę fakt, iż negocjacje programów krajowych i regionalnych nie zakończyły się. Niemniej jednak, zsumowanie powyższych szacunków przewyższa kwotę 25 mld zł.</w:t>
      </w:r>
    </w:p>
    <w:p w:rsidR="00EE0C8C" w:rsidRPr="00EE0C8C" w:rsidRDefault="00EE0C8C" w:rsidP="00EE0C8C">
      <w:pPr>
        <w:jc w:val="both"/>
      </w:pPr>
      <w:r w:rsidRPr="00EE0C8C">
        <w:t>b)</w:t>
      </w:r>
      <w:r w:rsidRPr="00EE0C8C">
        <w:tab/>
        <w:t xml:space="preserve">Publicznych krajowych – istniejących instrumentów i źródeł (poprzez terytorialne profilowanie - ukierunkowywanie na obszary zdegradowane istniejących instrumentów różnych polityk dotyczących m.in. wykluczenia społecznego, edukacji, infrastruktury, środowiska, kultury, zabytków, mieszkalnictwa itd.) oraz sukcesywnie tworzonych nowych (w tym obejmujących instrumenty inżynierii finansowej). Wolumen środków i identyfikacja źródeł określane będą </w:t>
      </w:r>
      <w:r w:rsidRPr="00EE0C8C">
        <w:br/>
        <w:t xml:space="preserve">w ramach prac i uzgodnień międzyresortowych indywidualnie dla poszczególnych instrumentów. </w:t>
      </w:r>
    </w:p>
    <w:p w:rsidR="00EE0C8C" w:rsidRPr="00EE0C8C" w:rsidRDefault="00EE0C8C" w:rsidP="00EE0C8C">
      <w:pPr>
        <w:jc w:val="both"/>
      </w:pPr>
      <w:r w:rsidRPr="00EE0C8C">
        <w:t>c)</w:t>
      </w:r>
      <w:r w:rsidRPr="00EE0C8C">
        <w:tab/>
        <w:t xml:space="preserve">Prywatnych, m.in. poprzez tworzenie zachęt do inwestowania na obszarach zdegradowanych oraz poprzez upowszechnianie formuły PPP. </w:t>
      </w:r>
    </w:p>
    <w:p w:rsidR="00EE0C8C" w:rsidRPr="00EE0C8C" w:rsidRDefault="00EE0C8C" w:rsidP="00EE0C8C">
      <w:pPr>
        <w:jc w:val="both"/>
      </w:pPr>
      <w:r w:rsidRPr="00EE0C8C">
        <w:t xml:space="preserve">Dla zwiększania skali działań rewitalizacyjnych rozbudowywana będzie oferta instrumentów finansowych (zwrotnych). Dlatego w projektowaniu zasad instrumentów zwrotnych </w:t>
      </w:r>
      <w:r w:rsidRPr="00EE0C8C">
        <w:br/>
        <w:t>w nowej perspektywie budżetowej będzie kładziony akcent na możliwość szerokiego zastosowania ich na rzecz działań rewitalizacyjnych.</w:t>
      </w:r>
    </w:p>
    <w:p w:rsidR="00EE0C8C" w:rsidRPr="00EE0C8C" w:rsidRDefault="00EE0C8C" w:rsidP="00EE0C8C">
      <w:pPr>
        <w:jc w:val="both"/>
      </w:pPr>
      <w:r w:rsidRPr="00EE0C8C">
        <w:t xml:space="preserve">Finansowanie ze środków UE – Wytyczne w zakresie rewitalizacji obszarów zdegradowanych. Perspektywa finansowa 2014-2020. </w:t>
      </w:r>
    </w:p>
    <w:p w:rsidR="00EE0C8C" w:rsidRPr="00EE0C8C" w:rsidRDefault="00EE0C8C" w:rsidP="00EE0C8C">
      <w:pPr>
        <w:jc w:val="both"/>
      </w:pPr>
      <w:r w:rsidRPr="00EE0C8C">
        <w:t xml:space="preserve">Umowa Partnerstwa, przyjęta przez Komisję Europejską 23 maja 2014 r. zidentyfikowała gminy oraz miasta i dzielnice miast wymagające rewitalizacji jako jedne z pięciu obszarów strategicznej interwencji wymagające kompleksowych, zintegrowanych działań społecznych, gospodarczych i przestrzennych. Tym samym, fundusze unijne (zwłaszcza EFS i EFRR) będą stanowiły jedno z podstawowych źródeł finansowania działań rewitalizacyjnych w kwocie niemniejszej niż 25 mld zł. Środki te przewidziane są głównie w ramach regionalnych programów operacyjnych, </w:t>
      </w:r>
      <w:r w:rsidRPr="00EE0C8C">
        <w:br/>
        <w:t xml:space="preserve">a dodatkowo także w ramach programów krajowych: Programu Operacyjnego Infrastruktura </w:t>
      </w:r>
      <w:r w:rsidRPr="00EE0C8C">
        <w:br/>
        <w:t>i Środowisko, Programu Operacyjnego Programu Operacyjnego Wiedza Edukacja Rozwój, Programu Operacyjnego Polska Wschodnia, Programu Operacyjnego Inteligentny Rozwój, Program Operacyjny Polska Cyfrowa.</w:t>
      </w:r>
    </w:p>
    <w:p w:rsidR="00EE0C8C" w:rsidRDefault="00EE0C8C" w:rsidP="00EE0C8C">
      <w:pPr>
        <w:jc w:val="both"/>
      </w:pPr>
      <w:r w:rsidRPr="00EE0C8C">
        <w:t>Priorytety inwestycyjne bezpośrednio związane z rewitalizacją w ramach krajowych programów operacyjnych.</w:t>
      </w:r>
    </w:p>
    <w:p w:rsidR="00EE0C8C" w:rsidRDefault="00EE0C8C" w:rsidP="00EE0C8C">
      <w:pPr>
        <w:jc w:val="both"/>
      </w:pPr>
    </w:p>
    <w:p w:rsidR="00EE0C8C" w:rsidRDefault="00EE0C8C" w:rsidP="00EE0C8C">
      <w:pPr>
        <w:jc w:val="both"/>
      </w:pPr>
    </w:p>
    <w:p w:rsidR="00EE0C8C" w:rsidRPr="00EE0C8C" w:rsidRDefault="00EE0C8C" w:rsidP="00EE0C8C">
      <w:pPr>
        <w:jc w:val="both"/>
      </w:pPr>
    </w:p>
    <w:p w:rsidR="00EE0C8C" w:rsidRPr="00EE0C8C" w:rsidRDefault="00EE0C8C" w:rsidP="00EE0C8C">
      <w:pPr>
        <w:ind w:firstLine="1134"/>
        <w:jc w:val="both"/>
        <w:rPr>
          <w:b/>
        </w:rPr>
      </w:pPr>
      <w:r w:rsidRPr="00EE0C8C">
        <w:rPr>
          <w:b/>
        </w:rPr>
        <w:t>Program Operacyjny Infrastruktura i Środowisko 2014-2020</w:t>
      </w:r>
    </w:p>
    <w:p w:rsidR="00EE0C8C" w:rsidRPr="00EE0C8C" w:rsidRDefault="00EE0C8C" w:rsidP="00EE0C8C">
      <w:pPr>
        <w:jc w:val="both"/>
      </w:pPr>
      <w:r w:rsidRPr="00EE0C8C">
        <w:t>•</w:t>
      </w:r>
      <w:r w:rsidRPr="00EE0C8C">
        <w:tab/>
        <w:t xml:space="preserve">4iii Wspieranie efektywności energetycznej, inteligentnego zarządzania energią </w:t>
      </w:r>
      <w:r w:rsidRPr="00EE0C8C">
        <w:br/>
        <w:t xml:space="preserve">i wykorzystywania odnawialnych źródeł energii w infrastrukturze, w tym w budynkach publicznych, </w:t>
      </w:r>
      <w:r w:rsidRPr="00EE0C8C">
        <w:br/>
        <w:t>i w sektorze mieszkaniowym</w:t>
      </w:r>
    </w:p>
    <w:p w:rsidR="00EE0C8C" w:rsidRPr="00EE0C8C" w:rsidRDefault="00EE0C8C" w:rsidP="00EE0C8C">
      <w:pPr>
        <w:jc w:val="both"/>
      </w:pPr>
      <w:r w:rsidRPr="00EE0C8C">
        <w:t>•</w:t>
      </w:r>
      <w:r w:rsidRPr="00EE0C8C">
        <w:tab/>
        <w:t xml:space="preserve">4v Promowanie strategii niskoemisyjnych dla wszystkich rodzajów terytoriów, </w:t>
      </w:r>
      <w:r w:rsidRPr="00EE0C8C">
        <w:br/>
        <w:t>w szczególności dla obszarów miejskich, w tym wspieranie zrównoważonej multimodalnej mobilności miejskiej i działań adaptacyjnych mających oddziaływanie łagodzące na zmiany klimatu</w:t>
      </w:r>
    </w:p>
    <w:p w:rsidR="00EE0C8C" w:rsidRPr="00EE0C8C" w:rsidRDefault="00EE0C8C" w:rsidP="00EE0C8C">
      <w:pPr>
        <w:jc w:val="both"/>
      </w:pPr>
      <w:r w:rsidRPr="00EE0C8C">
        <w:t>•</w:t>
      </w:r>
      <w:r w:rsidRPr="00EE0C8C">
        <w:tab/>
        <w:t xml:space="preserve">6c Zachowanie, ochrona, promowanie i rozwój dziedzictwa naturalnego </w:t>
      </w:r>
      <w:r w:rsidRPr="00EE0C8C">
        <w:br/>
        <w:t>i kulturowego</w:t>
      </w:r>
    </w:p>
    <w:p w:rsidR="00EE0C8C" w:rsidRPr="00EE0C8C" w:rsidRDefault="00EE0C8C" w:rsidP="00EE0C8C">
      <w:pPr>
        <w:jc w:val="both"/>
      </w:pPr>
      <w:r w:rsidRPr="00EE0C8C">
        <w:t>•</w:t>
      </w:r>
      <w:r w:rsidRPr="00EE0C8C">
        <w:tab/>
        <w:t>6iv (6e) Podejmowanie przedsięwzięć mających na celu poprawę stanu jakości środowiska miejskiego, rewitalizację miast, rekultywację i dekontaminację terenów poprzemysłowych (w tym terenów powojskowych), zmniejszenie zanieczyszczenia powietrza oraz propagowania</w:t>
      </w:r>
    </w:p>
    <w:p w:rsidR="00EE0C8C" w:rsidRPr="00EE0C8C" w:rsidRDefault="00EE0C8C" w:rsidP="00EE0C8C">
      <w:pPr>
        <w:jc w:val="both"/>
      </w:pPr>
      <w:r w:rsidRPr="00EE0C8C">
        <w:t>•</w:t>
      </w:r>
      <w:r w:rsidRPr="00EE0C8C">
        <w:tab/>
        <w:t xml:space="preserve">9a Inwestycje w infrastrukturę zdrowotną i społeczną, które przyczyniają się do rozwoju krajowego, regionalnego i lokalnego, zmniejszania nierówności w zakresie stanu zdrowia, promowanie włączenia społecznego poprzez lepszy dostęp do usług społecznych, kulturalnych </w:t>
      </w:r>
      <w:r w:rsidRPr="00EE0C8C">
        <w:br/>
        <w:t xml:space="preserve">i rekreacyjnych oraz przejścia z usług instytucjonalnych do usług na poziomie społeczności lokalnych działań służących zmniejszaniu hałasu </w:t>
      </w:r>
    </w:p>
    <w:p w:rsidR="00EE0C8C" w:rsidRPr="00EE0C8C" w:rsidRDefault="00EE0C8C" w:rsidP="00EE0C8C">
      <w:pPr>
        <w:jc w:val="both"/>
        <w:rPr>
          <w:b/>
        </w:rPr>
      </w:pPr>
      <w:r w:rsidRPr="00EE0C8C">
        <w:rPr>
          <w:b/>
        </w:rPr>
        <w:t>Program Operacyjny Wiedza Edukacja Rozwój</w:t>
      </w:r>
    </w:p>
    <w:p w:rsidR="00EE0C8C" w:rsidRPr="00EE0C8C" w:rsidRDefault="00EE0C8C" w:rsidP="00EE0C8C">
      <w:pPr>
        <w:jc w:val="both"/>
      </w:pPr>
      <w:r w:rsidRPr="00EE0C8C">
        <w:t>•</w:t>
      </w:r>
      <w:r w:rsidRPr="00EE0C8C">
        <w:tab/>
        <w:t xml:space="preserve"> 8ii Trwała integracja na rynku pracy ludzi młodych, w szczególności tych, którzy nie pracują, nie kształcą się ani nie szkolą, w tym ludzi młodych zagrożonych wykluczeniem społecznym </w:t>
      </w:r>
      <w:r w:rsidRPr="00EE0C8C">
        <w:br/>
        <w:t>i ludzi młodych wywodzących się ze środowisk marginalizowanych, także poprzez wdrażanie gwarancji dla młodzieży</w:t>
      </w:r>
    </w:p>
    <w:p w:rsidR="00EE0C8C" w:rsidRPr="00EE0C8C" w:rsidRDefault="00EE0C8C" w:rsidP="00EE0C8C">
      <w:pPr>
        <w:jc w:val="both"/>
        <w:rPr>
          <w:b/>
        </w:rPr>
      </w:pPr>
      <w:r w:rsidRPr="00EE0C8C">
        <w:rPr>
          <w:b/>
        </w:rPr>
        <w:t>Program Operacyjny Polska Wschodnia</w:t>
      </w:r>
    </w:p>
    <w:p w:rsidR="00EE0C8C" w:rsidRPr="00EE0C8C" w:rsidRDefault="00EE0C8C" w:rsidP="00EE0C8C">
      <w:pPr>
        <w:jc w:val="both"/>
      </w:pPr>
      <w:r w:rsidRPr="00EE0C8C">
        <w:t>•</w:t>
      </w:r>
      <w:r w:rsidRPr="00EE0C8C">
        <w:tab/>
        <w:t xml:space="preserve">4e Promowanie strategii niskoemisyjnych dla wszystkich rodzajów terytoriów, </w:t>
      </w:r>
      <w:r w:rsidRPr="00EE0C8C">
        <w:br/>
        <w:t xml:space="preserve">w szczególności dla obszarów miejskich, w tym wspieranie zrównoważonej multimodalnej mobilności miejskiej i działań adaptacyjnych mających oddziaływanie łagodzące na zmiany klimatu </w:t>
      </w:r>
    </w:p>
    <w:p w:rsidR="00EE0C8C" w:rsidRPr="00EE0C8C" w:rsidRDefault="00EE0C8C" w:rsidP="00EE0C8C">
      <w:pPr>
        <w:jc w:val="both"/>
        <w:rPr>
          <w:b/>
        </w:rPr>
      </w:pPr>
      <w:r w:rsidRPr="00EE0C8C">
        <w:rPr>
          <w:b/>
        </w:rPr>
        <w:t>Program Operacyjny Polska Cyfrowa</w:t>
      </w:r>
    </w:p>
    <w:p w:rsidR="00EE0C8C" w:rsidRPr="00EE0C8C" w:rsidRDefault="00EE0C8C" w:rsidP="00EE0C8C">
      <w:pPr>
        <w:jc w:val="both"/>
      </w:pPr>
      <w:r w:rsidRPr="00EE0C8C">
        <w:t>•</w:t>
      </w:r>
      <w:r w:rsidRPr="00EE0C8C">
        <w:tab/>
        <w:t xml:space="preserve"> 2a Poszerzanie zakresu dostępności łączy szerokopasmowych oraz wprowadzanie szybkich sieci internetowych oraz wspieranie nowych technologii i sieci dla gospodarki cyfrowej </w:t>
      </w:r>
    </w:p>
    <w:p w:rsidR="00EE0C8C" w:rsidRPr="00EE0C8C" w:rsidRDefault="00EE0C8C" w:rsidP="00EE0C8C">
      <w:pPr>
        <w:jc w:val="both"/>
      </w:pPr>
      <w:r w:rsidRPr="00EE0C8C">
        <w:t>•</w:t>
      </w:r>
      <w:r w:rsidRPr="00EE0C8C">
        <w:tab/>
        <w:t>2c Wzmocnienie zastosowań TIK dla e-administracji, e-uczenia się, e-włączenia społecznego, e-kultury i e-zdrowia</w:t>
      </w:r>
    </w:p>
    <w:p w:rsidR="00EE0C8C" w:rsidRPr="00EE0C8C" w:rsidRDefault="00EE0C8C" w:rsidP="00EE0C8C">
      <w:pPr>
        <w:jc w:val="both"/>
      </w:pPr>
      <w:r w:rsidRPr="00EE0C8C">
        <w:t xml:space="preserve">W ramach Programu Operacyjnego Pomoc Techniczna na lata 2014-2020 możliwe będzie wsparcie procesu przygotowania i wdrażania rewitalizacji w regionalnych i krajowych programach </w:t>
      </w:r>
      <w:r w:rsidRPr="00EE0C8C">
        <w:lastRenderedPageBreak/>
        <w:t>operacyjnych. Wsparcie procesu przygotowania i wdrażania rewitalizacji może mieć następujący charakter:</w:t>
      </w:r>
    </w:p>
    <w:p w:rsidR="00EE0C8C" w:rsidRPr="00EE0C8C" w:rsidRDefault="00EE0C8C" w:rsidP="00EE0C8C">
      <w:pPr>
        <w:jc w:val="both"/>
      </w:pPr>
      <w:r w:rsidRPr="00EE0C8C">
        <w:t>a.</w:t>
      </w:r>
      <w:r w:rsidRPr="00EE0C8C">
        <w:tab/>
        <w:t>wsparcia procesu programowania rewitalizacji poprzez wsparcie procesu przygotowania programów rewitalizacji jako podstawy prowadzenia rewitalizacji, w tym identyfikacji projektów rewitalizacyjnych, które po spełnieniu warunków nałożonych przez programy operacyjne mogą starać się o dofinasowanie lub preferencje w dofinasowaniu środkami UE;</w:t>
      </w:r>
    </w:p>
    <w:p w:rsidR="00EE0C8C" w:rsidRPr="00EE0C8C" w:rsidRDefault="00EE0C8C" w:rsidP="00EE0C8C">
      <w:pPr>
        <w:jc w:val="both"/>
      </w:pPr>
      <w:r w:rsidRPr="00EE0C8C">
        <w:t>b.</w:t>
      </w:r>
      <w:r w:rsidRPr="00EE0C8C">
        <w:tab/>
        <w:t>wsparcia procesu przygotowywania do realizacji niektórych projektów rewitalizacyjnych ze względu na ich znaczenie lub charakter.</w:t>
      </w:r>
    </w:p>
    <w:p w:rsidR="00EE0C8C" w:rsidRPr="00EE0C8C" w:rsidRDefault="00EE0C8C" w:rsidP="00EE0C8C">
      <w:pPr>
        <w:jc w:val="both"/>
        <w:rPr>
          <w:b/>
        </w:rPr>
      </w:pPr>
      <w:r w:rsidRPr="00EE0C8C">
        <w:rPr>
          <w:b/>
        </w:rPr>
        <w:t>Priorytety inwestycyjne bezpośrednio związane z rewitalizacją w ramach regionalnych programów operacyjnych:</w:t>
      </w:r>
    </w:p>
    <w:p w:rsidR="00EE0C8C" w:rsidRPr="00EE0C8C" w:rsidRDefault="00EE0C8C" w:rsidP="00EE0C8C">
      <w:pPr>
        <w:jc w:val="both"/>
      </w:pPr>
      <w:r w:rsidRPr="00EE0C8C">
        <w:t>Cel Tematyczny 3 Wzmacnianie konkurencyjności MŚP</w:t>
      </w:r>
    </w:p>
    <w:p w:rsidR="00EE0C8C" w:rsidRPr="00EE0C8C" w:rsidRDefault="00EE0C8C" w:rsidP="00EE0C8C">
      <w:pPr>
        <w:jc w:val="both"/>
      </w:pPr>
      <w:r w:rsidRPr="00EE0C8C">
        <w:t xml:space="preserve">3a </w:t>
      </w:r>
      <w:r w:rsidRPr="00EE0C8C">
        <w:tab/>
        <w:t>Promowanie przedsiębiorczości, w szczególności poprzez ułatwianie gospodarczego wykorzystywania nowych pomysłów oraz sprzyjanie tworzeniu nowych firm, w tym również poprzez inkubatory przedsiębiorczości</w:t>
      </w:r>
    </w:p>
    <w:p w:rsidR="00EE0C8C" w:rsidRPr="00EE0C8C" w:rsidRDefault="00EE0C8C" w:rsidP="00EE0C8C">
      <w:pPr>
        <w:jc w:val="both"/>
      </w:pPr>
      <w:r w:rsidRPr="00EE0C8C">
        <w:t>Cel tematyczny 4 Wspieranie przejścia na gospodarkę niskoemisyjną we wszystkich sektorach</w:t>
      </w:r>
    </w:p>
    <w:p w:rsidR="00EE0C8C" w:rsidRPr="00EE0C8C" w:rsidRDefault="00EE0C8C" w:rsidP="00EE0C8C">
      <w:pPr>
        <w:jc w:val="both"/>
      </w:pPr>
      <w:r w:rsidRPr="00EE0C8C">
        <w:t xml:space="preserve">4c </w:t>
      </w:r>
      <w:r w:rsidRPr="00EE0C8C">
        <w:tab/>
        <w:t xml:space="preserve">Wspieranie efektywności energetycznej, inteligentnego zarządzania energią </w:t>
      </w:r>
      <w:r w:rsidRPr="00EE0C8C">
        <w:br/>
        <w:t>i wykorzystania odnawialnych źródeł energii w infrastrukturze publicznej, w tym w budynkach publicznych, i w sektorze mieszkaniowym</w:t>
      </w:r>
    </w:p>
    <w:p w:rsidR="00EE0C8C" w:rsidRPr="00EE0C8C" w:rsidRDefault="00EE0C8C" w:rsidP="00EE0C8C">
      <w:pPr>
        <w:jc w:val="both"/>
      </w:pPr>
      <w:r w:rsidRPr="00EE0C8C">
        <w:t xml:space="preserve">4e </w:t>
      </w:r>
      <w:r w:rsidRPr="00EE0C8C">
        <w:tab/>
        <w:t xml:space="preserve">Promowanie strategii niskoemisyjnych dla wszystkich rodzajów terytoriów, </w:t>
      </w:r>
      <w:r w:rsidRPr="00EE0C8C">
        <w:br/>
        <w:t>w szczególności dla obszarów miejskich, w tym wspieranie zrównoważonej multimodalnej mobilności miejskiej i działań adaptacyjnych mających oddziaływanie łagodzące na zmiany klimatu</w:t>
      </w:r>
    </w:p>
    <w:p w:rsidR="00EE0C8C" w:rsidRPr="00EE0C8C" w:rsidRDefault="00EE0C8C" w:rsidP="00EE0C8C">
      <w:pPr>
        <w:jc w:val="both"/>
      </w:pPr>
    </w:p>
    <w:p w:rsidR="00EE0C8C" w:rsidRPr="00EE0C8C" w:rsidRDefault="00EE0C8C" w:rsidP="00EE0C8C">
      <w:pPr>
        <w:jc w:val="both"/>
      </w:pPr>
      <w:r w:rsidRPr="00EE0C8C">
        <w:t>Cel tematyczny 6 Zachowanie i ochrona środowiska naturalnego oraz wspieranie efektywnego gospodarowania zasobami</w:t>
      </w:r>
    </w:p>
    <w:p w:rsidR="00EE0C8C" w:rsidRPr="00EE0C8C" w:rsidRDefault="00EE0C8C" w:rsidP="00EE0C8C">
      <w:pPr>
        <w:jc w:val="both"/>
      </w:pPr>
      <w:r w:rsidRPr="00EE0C8C">
        <w:t xml:space="preserve">6c </w:t>
      </w:r>
      <w:r w:rsidRPr="00EE0C8C">
        <w:tab/>
        <w:t>Zachowanie, ochrona, promowanie i rozwój dziedzictwa naturalnego i kulturowego</w:t>
      </w:r>
    </w:p>
    <w:p w:rsidR="00EE0C8C" w:rsidRPr="00EE0C8C" w:rsidRDefault="00EE0C8C" w:rsidP="00EE0C8C">
      <w:pPr>
        <w:jc w:val="both"/>
      </w:pPr>
      <w:r w:rsidRPr="00EE0C8C">
        <w:t>6e</w:t>
      </w:r>
      <w:r w:rsidRPr="00EE0C8C">
        <w:tab/>
        <w:t>Podejmowanie przedsięwzięć mających na celu poprawę stanu jakości środowiska miejskiego, rewitalizację miast, rekultywację i dekontaminację terenów poprzemysłowych (w tym terenów powojskowych), zmniejszenie zanieczyszczenia powietrza oraz propagowania działań służących zmniejszaniu hałasu</w:t>
      </w:r>
    </w:p>
    <w:p w:rsidR="00EE0C8C" w:rsidRPr="00EE0C8C" w:rsidRDefault="00EE0C8C" w:rsidP="00EE0C8C">
      <w:pPr>
        <w:ind w:firstLine="1134"/>
        <w:jc w:val="both"/>
      </w:pPr>
    </w:p>
    <w:p w:rsidR="00EE0C8C" w:rsidRPr="00EE0C8C" w:rsidRDefault="00EE0C8C" w:rsidP="00EE0C8C">
      <w:pPr>
        <w:jc w:val="both"/>
      </w:pPr>
      <w:r w:rsidRPr="00EE0C8C">
        <w:t>Cel tematyczny 7 Promowanie zrównoważonego transportu i usuwanie niedoborów przepustowości w działaniu najważniejszej infrastruktury sieciowej</w:t>
      </w:r>
    </w:p>
    <w:p w:rsidR="00EE0C8C" w:rsidRPr="00EE0C8C" w:rsidRDefault="00EE0C8C" w:rsidP="00EE0C8C">
      <w:pPr>
        <w:jc w:val="both"/>
      </w:pPr>
      <w:r w:rsidRPr="00EE0C8C">
        <w:t xml:space="preserve">7d </w:t>
      </w:r>
      <w:r w:rsidRPr="00EE0C8C">
        <w:tab/>
        <w:t>Rozwój i rehabilitacja kompleksowych, wysokiej jakości i interoperacyjnych systemów transportu kolejowego oraz propagowanie działań służących zmniejszaniu hałasu</w:t>
      </w:r>
    </w:p>
    <w:p w:rsidR="00EE0C8C" w:rsidRPr="00EE0C8C" w:rsidRDefault="00EE0C8C" w:rsidP="00EE0C8C">
      <w:pPr>
        <w:ind w:firstLine="1134"/>
        <w:jc w:val="both"/>
      </w:pPr>
    </w:p>
    <w:p w:rsidR="00EE0C8C" w:rsidRPr="00EE0C8C" w:rsidRDefault="00EE0C8C" w:rsidP="00EE0C8C">
      <w:pPr>
        <w:jc w:val="both"/>
      </w:pPr>
      <w:r w:rsidRPr="00EE0C8C">
        <w:t>Cel tematyczny 8 Promowanie trwałego i wysokiej jakości zatrudnienia oraz wsparcie mobilności pracowników</w:t>
      </w:r>
    </w:p>
    <w:p w:rsidR="00EE0C8C" w:rsidRPr="00EE0C8C" w:rsidRDefault="00EE0C8C" w:rsidP="00EE0C8C">
      <w:pPr>
        <w:jc w:val="both"/>
      </w:pPr>
      <w:r w:rsidRPr="00EE0C8C">
        <w:t xml:space="preserve">8i </w:t>
      </w:r>
      <w:r w:rsidRPr="00EE0C8C">
        <w:tab/>
        <w:t xml:space="preserve">dostęp do zatrudnienia dla osób poszukujących pracy i osób biernych zawodowo, </w:t>
      </w:r>
      <w:r w:rsidRPr="00EE0C8C">
        <w:br/>
        <w:t xml:space="preserve">w tym długotrwale bezrobotnych oraz oddalonych od rynku pracy, także poprzez lokalne inicjatywy inicjatywy na rzecz zatrudnienia oraz wspieranie mobilności pracowników 8iii praca na własny rachunek, przedsiębiorczość i tworzenie przedsiębiorstw w tym innowacyjnych mikro-, małych </w:t>
      </w:r>
      <w:r w:rsidRPr="00EE0C8C">
        <w:br/>
        <w:t>i średnich przedsiębiorstw</w:t>
      </w:r>
    </w:p>
    <w:p w:rsidR="00EE0C8C" w:rsidRPr="00EE0C8C" w:rsidRDefault="00EE0C8C" w:rsidP="00EE0C8C">
      <w:pPr>
        <w:ind w:firstLine="1134"/>
        <w:jc w:val="both"/>
      </w:pPr>
    </w:p>
    <w:p w:rsidR="00EE0C8C" w:rsidRPr="00EE0C8C" w:rsidRDefault="00EE0C8C" w:rsidP="00EE0C8C">
      <w:pPr>
        <w:jc w:val="both"/>
      </w:pPr>
      <w:r w:rsidRPr="00EE0C8C">
        <w:t>Cel tematyczny 9 Wspieranie włączenia społecznego i walka z ubóstwem</w:t>
      </w:r>
    </w:p>
    <w:p w:rsidR="00EE0C8C" w:rsidRPr="00EE0C8C" w:rsidRDefault="00EE0C8C" w:rsidP="00EE0C8C">
      <w:pPr>
        <w:jc w:val="both"/>
      </w:pPr>
      <w:r w:rsidRPr="00EE0C8C">
        <w:t xml:space="preserve">9b </w:t>
      </w:r>
      <w:r w:rsidRPr="00EE0C8C">
        <w:tab/>
        <w:t>wspieranie rewitalizacji fizycznej, gospodarczej i społecznej ubogich społeczności na obszarach miejskich i wiejskich</w:t>
      </w:r>
    </w:p>
    <w:p w:rsidR="00EE0C8C" w:rsidRPr="00EE0C8C" w:rsidRDefault="00EE0C8C" w:rsidP="00EE0C8C">
      <w:pPr>
        <w:jc w:val="both"/>
      </w:pPr>
      <w:r w:rsidRPr="00EE0C8C">
        <w:t xml:space="preserve">9i </w:t>
      </w:r>
      <w:r w:rsidRPr="00EE0C8C">
        <w:tab/>
        <w:t>aktywne włączenie, w tym z myślą o promowaniu równych szans oraz aktywnego uczestnictwa i zwiększaniu szans na zatrudnienie</w:t>
      </w:r>
    </w:p>
    <w:p w:rsidR="00EE0C8C" w:rsidRPr="00EE0C8C" w:rsidRDefault="00EE0C8C" w:rsidP="00EE0C8C">
      <w:pPr>
        <w:jc w:val="both"/>
      </w:pPr>
      <w:r w:rsidRPr="00EE0C8C">
        <w:t xml:space="preserve">9iv </w:t>
      </w:r>
      <w:r w:rsidRPr="00EE0C8C">
        <w:tab/>
        <w:t>ułatwianie dostępu do przystępnych cenowo, trwałych oraz wysokiej jakości usług, w tym opieki zdrowotnej i usług socjalnych świadczonych w interesie ogólnym</w:t>
      </w:r>
    </w:p>
    <w:p w:rsidR="00EE0C8C" w:rsidRPr="00EE0C8C" w:rsidRDefault="00EE0C8C" w:rsidP="00EE0C8C">
      <w:pPr>
        <w:jc w:val="both"/>
      </w:pPr>
      <w:r w:rsidRPr="00EE0C8C">
        <w:t xml:space="preserve">9v </w:t>
      </w:r>
      <w:r w:rsidRPr="00EE0C8C">
        <w:tab/>
        <w:t xml:space="preserve">wspieranie przedsiębiorczości społecznej i integracji zawodowej </w:t>
      </w:r>
      <w:r w:rsidRPr="00EE0C8C">
        <w:br/>
        <w:t>w przedsiębiorstwach społecznych oraz ekonomii społecznej i solidarnej w celu ułatwiania dostępu do zatrudnienia</w:t>
      </w:r>
    </w:p>
    <w:p w:rsidR="00EE0C8C" w:rsidRPr="00EE0C8C" w:rsidRDefault="00EE0C8C" w:rsidP="00EE0C8C">
      <w:pPr>
        <w:ind w:firstLine="1134"/>
        <w:jc w:val="both"/>
        <w:rPr>
          <w:b/>
        </w:rPr>
      </w:pPr>
    </w:p>
    <w:p w:rsidR="00EE0C8C" w:rsidRPr="00EE0C8C" w:rsidRDefault="00EE0C8C" w:rsidP="00EE0C8C">
      <w:pPr>
        <w:jc w:val="both"/>
        <w:rPr>
          <w:b/>
        </w:rPr>
      </w:pPr>
      <w:r w:rsidRPr="00EE0C8C">
        <w:rPr>
          <w:b/>
        </w:rPr>
        <w:t>Ukierunkowanie środków budżetu państwa</w:t>
      </w:r>
    </w:p>
    <w:p w:rsidR="00EE0C8C" w:rsidRPr="00EE0C8C" w:rsidRDefault="00EE0C8C" w:rsidP="00EE0C8C">
      <w:pPr>
        <w:jc w:val="both"/>
      </w:pPr>
      <w:r w:rsidRPr="00EE0C8C">
        <w:t>Dodatkowe środki budżetowe na działania rewitalizacyjne będą pochodziły z budżetu państwa. Podejmowane są działania na rzecz ukierunkowania na rewitalizację środków budżetu państwa przeznaczanych na dofinansowanie inwestycji z zakresu zadań własnych JST (np. rezerwa celowa budżetu państwa na dofinansowanie zadań własnych JST). Należy zaznaczyć, że środki te stanowią dodatkowe źródło i mogą być uruchamiane niezależnie od środków UE - chodzi o dotacje celowe budżetu państwa przyznawane na podstawie art. 20a ustawy o zasadach prowadzenia polityki rozwoju (działania z zakresu polityki rozwoju, stanowiące zadania własne JST, niefinansowane ze środków UE w ramach RPO, jeżeli trwale przyczynią się do podniesienia rozwoju oraz konkurencyjności regionu, lub pozostają w związku z działaniami realizowanymi w ramach RPO) lub na podstawie art. 20b ustawy o zasadach prowadzenia polityki rozwoju (przedsięwzięcia uzgodnione w kontraktach terytorialnych lub wydatki wynikające lub związane z realizacją programów operacyjnych).</w:t>
      </w:r>
    </w:p>
    <w:p w:rsidR="00EE0C8C" w:rsidRDefault="00EE0C8C" w:rsidP="00EE0C8C">
      <w:pPr>
        <w:ind w:firstLine="1134"/>
        <w:jc w:val="both"/>
      </w:pPr>
    </w:p>
    <w:p w:rsidR="00EE0C8C" w:rsidRPr="00EE0C8C" w:rsidRDefault="00EE0C8C" w:rsidP="00EE0C8C">
      <w:pPr>
        <w:ind w:firstLine="1134"/>
        <w:jc w:val="both"/>
      </w:pPr>
    </w:p>
    <w:p w:rsidR="00EE0C8C" w:rsidRPr="00EE0C8C" w:rsidRDefault="00EE0C8C" w:rsidP="008903A4">
      <w:pPr>
        <w:pStyle w:val="Nagwek2"/>
        <w:rPr>
          <w:rFonts w:eastAsiaTheme="majorEastAsia"/>
        </w:rPr>
      </w:pPr>
      <w:bookmarkStart w:id="126" w:name="_Toc439157984"/>
      <w:bookmarkStart w:id="127" w:name="_Toc450562527"/>
      <w:r w:rsidRPr="00EE0C8C">
        <w:rPr>
          <w:rFonts w:eastAsiaTheme="majorEastAsia"/>
        </w:rPr>
        <w:lastRenderedPageBreak/>
        <w:t>7.2.</w:t>
      </w:r>
      <w:r w:rsidRPr="00EE0C8C">
        <w:rPr>
          <w:rFonts w:eastAsiaTheme="majorEastAsia"/>
        </w:rPr>
        <w:tab/>
        <w:t>FINANSOWANIE INWESTYCJI W OPARCIU O PARTNERSTWO PUBLICZNO-PRYWATNE (PPP)</w:t>
      </w:r>
      <w:bookmarkEnd w:id="126"/>
      <w:bookmarkEnd w:id="127"/>
    </w:p>
    <w:p w:rsidR="00EE0C8C" w:rsidRPr="00EE0C8C" w:rsidRDefault="00EE0C8C" w:rsidP="00EE0C8C">
      <w:pPr>
        <w:ind w:firstLine="1134"/>
        <w:jc w:val="both"/>
        <w:rPr>
          <w:b/>
        </w:rPr>
      </w:pPr>
    </w:p>
    <w:p w:rsidR="00EE0C8C" w:rsidRPr="00EE0C8C" w:rsidRDefault="00EE0C8C" w:rsidP="00234BBD">
      <w:pPr>
        <w:numPr>
          <w:ilvl w:val="0"/>
          <w:numId w:val="40"/>
        </w:numPr>
        <w:spacing w:after="0"/>
        <w:rPr>
          <w:rFonts w:ascii="Calibri" w:eastAsia="Times New Roman" w:hAnsi="Calibri" w:cs="Times New Roman"/>
          <w:lang w:eastAsia="pl-PL"/>
        </w:rPr>
      </w:pPr>
      <w:r w:rsidRPr="00EE0C8C">
        <w:rPr>
          <w:rFonts w:ascii="Calibri" w:eastAsia="Times New Roman" w:hAnsi="Calibri" w:cs="Times New Roman"/>
          <w:b/>
          <w:bCs/>
          <w:lang w:eastAsia="pl-PL"/>
        </w:rPr>
        <w:t>Istota Partnerstwa Publiczno-Prywatnego</w:t>
      </w:r>
    </w:p>
    <w:p w:rsidR="00EE0C8C" w:rsidRDefault="00EE0C8C" w:rsidP="00EE0C8C">
      <w:pPr>
        <w:spacing w:after="0"/>
        <w:jc w:val="both"/>
        <w:rPr>
          <w:rFonts w:ascii="Calibri" w:eastAsia="Times New Roman" w:hAnsi="Calibri" w:cs="Times New Roman"/>
          <w:lang w:eastAsia="pl-PL"/>
        </w:rPr>
      </w:pPr>
    </w:p>
    <w:p w:rsidR="00EE0C8C" w:rsidRPr="00EE0C8C" w:rsidRDefault="00EE0C8C" w:rsidP="00EE0C8C">
      <w:pPr>
        <w:spacing w:after="0"/>
        <w:jc w:val="both"/>
        <w:rPr>
          <w:rFonts w:ascii="Calibri" w:eastAsia="Times New Roman" w:hAnsi="Calibri" w:cs="Times New Roman"/>
          <w:lang w:eastAsia="pl-PL"/>
        </w:rPr>
      </w:pPr>
      <w:r w:rsidRPr="00EE0C8C">
        <w:rPr>
          <w:rFonts w:ascii="Calibri" w:eastAsia="Times New Roman" w:hAnsi="Calibri" w:cs="Times New Roman"/>
          <w:lang w:eastAsia="pl-PL"/>
        </w:rPr>
        <w:t xml:space="preserve">Partnerstwo Publiczno-Prywatne (PPP) stanowi szczególną formę pozyskiwania środków publicznych. Istnieje szereg jego definicji, zarówno na szczeblu Unii Europejskiej, jak </w:t>
      </w:r>
      <w:r w:rsidRPr="00EE0C8C">
        <w:rPr>
          <w:rFonts w:ascii="Calibri" w:eastAsia="Times New Roman" w:hAnsi="Calibri" w:cs="Times New Roman"/>
          <w:lang w:eastAsia="pl-PL"/>
        </w:rPr>
        <w:br/>
        <w:t xml:space="preserve">i w poszczególnych państwach, w których się je wdraża. Ich mnogość wskazuje na elastyczność tej metody oraz możliwość dopasowania jej do konkretnych okoliczności. W bardzo szerokim ujęciu PPP oznacza długoterminową współpracę sektora publicznego i prywatnego przy realizacji usług dla społeczeństwa. Dzięki tej kooperacji możliwe jest tworzenie nowej infrastruktury, jak </w:t>
      </w:r>
      <w:r w:rsidRPr="00EE0C8C">
        <w:rPr>
          <w:rFonts w:ascii="Calibri" w:eastAsia="Times New Roman" w:hAnsi="Calibri" w:cs="Times New Roman"/>
          <w:lang w:eastAsia="pl-PL"/>
        </w:rPr>
        <w:br/>
        <w:t xml:space="preserve">i modernizowanie już istniejącej oraz uzyskiwanie w ten sposób wyższego standardu świadczonych usług. Współpraca ta opiera się na założeniu, że każda ze stron umowy jest w stanie wywiązywać się ze swoich zadań sprawniej niż druga strona. W ten sposób partnerzy wzajemnie się uzupełniają, </w:t>
      </w:r>
      <w:r w:rsidRPr="00EE0C8C">
        <w:rPr>
          <w:rFonts w:ascii="Calibri" w:eastAsia="Times New Roman" w:hAnsi="Calibri" w:cs="Times New Roman"/>
          <w:lang w:eastAsia="pl-PL"/>
        </w:rPr>
        <w:br/>
        <w:t xml:space="preserve">a każdy z nich czerpie z przedsięwzięcia własne korzyści – proporcjonalne do swojego wkładu. Wszystkie korzyści dla interesu publicznego, wynikające z PPP, mają źródło w wyższej efektywności działań podejmowanych z udziałem partnera prywatnego niż ma to miejsce w przypadku tych realizowanych samodzielnie przez podmiot publiczny. </w:t>
      </w:r>
    </w:p>
    <w:p w:rsidR="00EE0C8C" w:rsidRDefault="00EE0C8C" w:rsidP="00EE0C8C">
      <w:pPr>
        <w:spacing w:after="0"/>
        <w:jc w:val="both"/>
        <w:rPr>
          <w:rFonts w:ascii="Calibri" w:eastAsia="Times New Roman" w:hAnsi="Calibri" w:cs="Times New Roman"/>
          <w:lang w:eastAsia="pl-PL"/>
        </w:rPr>
      </w:pPr>
    </w:p>
    <w:p w:rsidR="00EE0C8C" w:rsidRPr="00EE0C8C" w:rsidRDefault="00EE0C8C" w:rsidP="00EE0C8C">
      <w:pPr>
        <w:spacing w:after="0"/>
        <w:jc w:val="both"/>
        <w:rPr>
          <w:rFonts w:ascii="Calibri" w:eastAsia="Times New Roman" w:hAnsi="Calibri" w:cs="Times New Roman"/>
          <w:lang w:eastAsia="pl-PL"/>
        </w:rPr>
      </w:pPr>
      <w:r w:rsidRPr="00EE0C8C">
        <w:rPr>
          <w:rFonts w:ascii="Calibri" w:eastAsia="Times New Roman" w:hAnsi="Calibri" w:cs="Times New Roman"/>
          <w:lang w:eastAsia="pl-PL"/>
        </w:rPr>
        <w:t>Na pozytywne przejawy jego stosowania uwagę zwróciła również Komisja Europejska (KE). W swoich wytycznych dla PPP wymienia między innymi takie korzyści jak:</w:t>
      </w:r>
    </w:p>
    <w:p w:rsidR="00EE0C8C" w:rsidRPr="00EE0C8C" w:rsidRDefault="00EE0C8C" w:rsidP="00234BBD">
      <w:pPr>
        <w:numPr>
          <w:ilvl w:val="0"/>
          <w:numId w:val="41"/>
        </w:numPr>
        <w:spacing w:after="0"/>
        <w:ind w:left="714" w:hanging="357"/>
        <w:jc w:val="both"/>
        <w:rPr>
          <w:rFonts w:ascii="Calibri" w:eastAsia="Times New Roman" w:hAnsi="Calibri" w:cs="Times New Roman"/>
          <w:lang w:eastAsia="pl-PL"/>
        </w:rPr>
      </w:pPr>
      <w:r w:rsidRPr="00EE0C8C">
        <w:rPr>
          <w:rFonts w:ascii="Calibri" w:eastAsia="Times New Roman" w:hAnsi="Calibri" w:cs="Times New Roman"/>
          <w:lang w:eastAsia="pl-PL"/>
        </w:rPr>
        <w:t>realizację projektów w sytuacji ograniczonej dostępności kapitału publicznego – obarczenie sektora prywatnego odpowiedzialnością za projekt i budowę, w połączeniu z płatnościami za dostarczanie usług stanowi istotną zachętę dla sektora prywatnego;</w:t>
      </w:r>
    </w:p>
    <w:p w:rsidR="00EE0C8C" w:rsidRPr="00EE0C8C" w:rsidRDefault="00EE0C8C" w:rsidP="00234BBD">
      <w:pPr>
        <w:numPr>
          <w:ilvl w:val="0"/>
          <w:numId w:val="41"/>
        </w:numPr>
        <w:spacing w:after="0"/>
        <w:ind w:left="714" w:hanging="357"/>
        <w:jc w:val="both"/>
        <w:rPr>
          <w:rFonts w:ascii="Calibri" w:eastAsia="Times New Roman" w:hAnsi="Calibri" w:cs="Times New Roman"/>
          <w:lang w:eastAsia="pl-PL"/>
        </w:rPr>
      </w:pPr>
      <w:r w:rsidRPr="00EE0C8C">
        <w:rPr>
          <w:rFonts w:ascii="Calibri" w:eastAsia="Times New Roman" w:hAnsi="Calibri" w:cs="Times New Roman"/>
          <w:lang w:eastAsia="pl-PL"/>
        </w:rPr>
        <w:t>szybsze wdrażanie projektów oraz ograniczenie ewentualnych opóźnień spowodowanych brakiem środków publicznych;</w:t>
      </w:r>
    </w:p>
    <w:p w:rsidR="00EE0C8C" w:rsidRPr="00EE0C8C" w:rsidRDefault="00EE0C8C" w:rsidP="00234BBD">
      <w:pPr>
        <w:numPr>
          <w:ilvl w:val="0"/>
          <w:numId w:val="41"/>
        </w:numPr>
        <w:spacing w:after="0"/>
        <w:ind w:left="714" w:hanging="357"/>
        <w:jc w:val="both"/>
        <w:rPr>
          <w:rFonts w:ascii="Calibri" w:eastAsia="Times New Roman" w:hAnsi="Calibri" w:cs="Times New Roman"/>
          <w:lang w:eastAsia="pl-PL"/>
        </w:rPr>
      </w:pPr>
      <w:r w:rsidRPr="00EE0C8C">
        <w:rPr>
          <w:rFonts w:ascii="Calibri" w:eastAsia="Times New Roman" w:hAnsi="Calibri" w:cs="Times New Roman"/>
          <w:lang w:eastAsia="pl-PL"/>
        </w:rPr>
        <w:t>zmniejszanie kosztów całkowitych – w zależności od rodzaju zastosowanego modelu PPP oszczędności mogą sięgać nawet 15-17% w porównaniu z tradycyjnymi modelami finansowania inwestycji;</w:t>
      </w:r>
    </w:p>
    <w:p w:rsidR="00EE0C8C" w:rsidRPr="00EE0C8C" w:rsidRDefault="00EE0C8C" w:rsidP="00234BBD">
      <w:pPr>
        <w:numPr>
          <w:ilvl w:val="0"/>
          <w:numId w:val="41"/>
        </w:numPr>
        <w:spacing w:after="0"/>
        <w:ind w:left="714" w:hanging="357"/>
        <w:jc w:val="both"/>
        <w:rPr>
          <w:rFonts w:ascii="Calibri" w:eastAsia="Times New Roman" w:hAnsi="Calibri" w:cs="Times New Roman"/>
          <w:lang w:eastAsia="pl-PL"/>
        </w:rPr>
      </w:pPr>
      <w:r w:rsidRPr="00EE0C8C">
        <w:rPr>
          <w:rFonts w:ascii="Calibri" w:eastAsia="Times New Roman" w:hAnsi="Calibri" w:cs="Times New Roman"/>
          <w:lang w:eastAsia="pl-PL"/>
        </w:rPr>
        <w:t>przenoszenie ryzyka na stronę, która lepiej potrafi sobie z nim poradzić;</w:t>
      </w:r>
    </w:p>
    <w:p w:rsidR="00EE0C8C" w:rsidRPr="00EE0C8C" w:rsidRDefault="00EE0C8C" w:rsidP="00234BBD">
      <w:pPr>
        <w:numPr>
          <w:ilvl w:val="0"/>
          <w:numId w:val="41"/>
        </w:numPr>
        <w:spacing w:after="0"/>
        <w:ind w:left="714" w:hanging="357"/>
        <w:jc w:val="both"/>
        <w:rPr>
          <w:rFonts w:ascii="Calibri" w:eastAsia="Times New Roman" w:hAnsi="Calibri" w:cs="Times New Roman"/>
          <w:lang w:eastAsia="pl-PL"/>
        </w:rPr>
      </w:pPr>
      <w:r w:rsidRPr="00EE0C8C">
        <w:rPr>
          <w:rFonts w:ascii="Calibri" w:eastAsia="Times New Roman" w:hAnsi="Calibri" w:cs="Times New Roman"/>
          <w:lang w:eastAsia="pl-PL"/>
        </w:rPr>
        <w:t>lepsza jakość świadczonych usług – wynika to między innymi ze skuteczniejszej integracji usług z aktywami towarzyszącymi, oszczędnościami skali, innowacjami w wykonywaniu usług, realizacji kar i zachęt uwzględnionych w umowie partnerstwa;</w:t>
      </w:r>
    </w:p>
    <w:p w:rsidR="00EE0C8C" w:rsidRPr="00EE0C8C" w:rsidRDefault="00EE0C8C" w:rsidP="00234BBD">
      <w:pPr>
        <w:numPr>
          <w:ilvl w:val="0"/>
          <w:numId w:val="41"/>
        </w:numPr>
        <w:spacing w:after="0"/>
        <w:ind w:left="714" w:hanging="357"/>
        <w:jc w:val="both"/>
        <w:rPr>
          <w:rFonts w:ascii="Calibri" w:eastAsia="Times New Roman" w:hAnsi="Calibri" w:cs="Times New Roman"/>
          <w:lang w:eastAsia="pl-PL"/>
        </w:rPr>
      </w:pPr>
      <w:r w:rsidRPr="00EE0C8C">
        <w:rPr>
          <w:rFonts w:ascii="Calibri" w:eastAsia="Times New Roman" w:hAnsi="Calibri" w:cs="Times New Roman"/>
          <w:lang w:eastAsia="pl-PL"/>
        </w:rPr>
        <w:t>polepszenie stanu infrastruktury;</w:t>
      </w:r>
    </w:p>
    <w:p w:rsidR="00EE0C8C" w:rsidRPr="00EE0C8C" w:rsidRDefault="00EE0C8C" w:rsidP="00234BBD">
      <w:pPr>
        <w:numPr>
          <w:ilvl w:val="0"/>
          <w:numId w:val="41"/>
        </w:numPr>
        <w:spacing w:after="0"/>
        <w:ind w:left="714" w:hanging="357"/>
        <w:jc w:val="both"/>
        <w:rPr>
          <w:rFonts w:ascii="Calibri" w:eastAsia="Times New Roman" w:hAnsi="Calibri" w:cs="Times New Roman"/>
          <w:lang w:eastAsia="pl-PL"/>
        </w:rPr>
      </w:pPr>
      <w:r w:rsidRPr="00EE0C8C">
        <w:rPr>
          <w:rFonts w:ascii="Calibri" w:eastAsia="Times New Roman" w:hAnsi="Calibri" w:cs="Times New Roman"/>
          <w:lang w:eastAsia="pl-PL"/>
        </w:rPr>
        <w:t>generowanie dodatkowych przychodów – sektor prywatny może generować dochody, na przykład poprzez rozporządzanie nadwyżkami aktywów, czy też wykorzystanie innych zdolności, co ogranicza konieczność korzystania z publicznych subwencji;</w:t>
      </w:r>
    </w:p>
    <w:p w:rsidR="00EE0C8C" w:rsidRPr="00EE0C8C" w:rsidRDefault="00EE0C8C" w:rsidP="00234BBD">
      <w:pPr>
        <w:numPr>
          <w:ilvl w:val="0"/>
          <w:numId w:val="41"/>
        </w:numPr>
        <w:spacing w:after="0"/>
        <w:ind w:left="714" w:hanging="357"/>
        <w:jc w:val="both"/>
        <w:rPr>
          <w:rFonts w:ascii="Calibri" w:eastAsia="Times New Roman" w:hAnsi="Calibri" w:cs="Times New Roman"/>
          <w:lang w:eastAsia="pl-PL"/>
        </w:rPr>
      </w:pPr>
      <w:r w:rsidRPr="00EE0C8C">
        <w:rPr>
          <w:rFonts w:ascii="Calibri" w:eastAsia="Times New Roman" w:hAnsi="Calibri" w:cs="Times New Roman"/>
          <w:lang w:eastAsia="pl-PL"/>
        </w:rPr>
        <w:t>zwiększenie zarządu publicznego nad świadczonymi usługami – administracja rządowa pełni funkcje monitorowania i planowania, zamiast codziennego zarządzania usługami.</w:t>
      </w:r>
    </w:p>
    <w:p w:rsidR="00EE0C8C" w:rsidRPr="00EE0C8C" w:rsidRDefault="00EE0C8C" w:rsidP="00EE0C8C">
      <w:pPr>
        <w:spacing w:after="0"/>
        <w:ind w:firstLine="1134"/>
        <w:jc w:val="both"/>
        <w:rPr>
          <w:rFonts w:ascii="Calibri" w:eastAsia="Times New Roman" w:hAnsi="Calibri" w:cs="Times New Roman"/>
          <w:lang w:eastAsia="pl-PL"/>
        </w:rPr>
      </w:pPr>
      <w:r w:rsidRPr="00EE0C8C">
        <w:rPr>
          <w:rFonts w:ascii="Calibri" w:eastAsia="Times New Roman" w:hAnsi="Calibri" w:cs="Times New Roman"/>
          <w:lang w:eastAsia="pl-PL"/>
        </w:rPr>
        <w:t xml:space="preserve">W dobie kryzysu gospodarczego Partnerstwo Publiczno-Prywatne staje się często rozpatrywaną opcją realizacji przez podmiot publiczny jego zadań. Władza publiczna musi liczyć się bowiem z silniejszymi ograniczeniami budżetowymi. Z kolei partnerzy prywatni odczuwają większe wahania lub nawet zahamowanie popytu i mają utrudniony dostęp do źródeł finansowania. </w:t>
      </w:r>
      <w:r w:rsidRPr="00EE0C8C">
        <w:rPr>
          <w:rFonts w:ascii="Calibri" w:eastAsia="Times New Roman" w:hAnsi="Calibri" w:cs="Times New Roman"/>
          <w:lang w:eastAsia="pl-PL"/>
        </w:rPr>
        <w:br/>
      </w:r>
      <w:r w:rsidRPr="00EE0C8C">
        <w:rPr>
          <w:rFonts w:ascii="Calibri" w:eastAsia="Times New Roman" w:hAnsi="Calibri" w:cs="Times New Roman"/>
          <w:lang w:eastAsia="pl-PL"/>
        </w:rPr>
        <w:lastRenderedPageBreak/>
        <w:t xml:space="preserve">Gdy zostanie zastosowane partnerstwo podmiot publiczny zdobywa kapitał oraz zdolność efektywniejszego pełnienia swoich funkcji. Dla prywatnego inwestora PPP stanowi zabezpieczenie </w:t>
      </w:r>
      <w:r w:rsidRPr="00EE0C8C">
        <w:rPr>
          <w:rFonts w:ascii="Calibri" w:eastAsia="Times New Roman" w:hAnsi="Calibri" w:cs="Times New Roman"/>
          <w:lang w:eastAsia="pl-PL"/>
        </w:rPr>
        <w:br/>
        <w:t>i pewność kontynuacji działalności.</w:t>
      </w:r>
    </w:p>
    <w:p w:rsidR="00EE0C8C" w:rsidRPr="00EE0C8C" w:rsidRDefault="00EE0C8C" w:rsidP="00EE0C8C">
      <w:pPr>
        <w:spacing w:after="0"/>
        <w:ind w:firstLine="709"/>
        <w:jc w:val="both"/>
        <w:rPr>
          <w:rFonts w:ascii="Calibri" w:eastAsia="Times New Roman" w:hAnsi="Calibri" w:cs="Times New Roman"/>
          <w:lang w:eastAsia="pl-PL"/>
        </w:rPr>
      </w:pPr>
    </w:p>
    <w:p w:rsidR="00EE0C8C" w:rsidRPr="00EE0C8C" w:rsidRDefault="00EE0C8C" w:rsidP="00234BBD">
      <w:pPr>
        <w:numPr>
          <w:ilvl w:val="0"/>
          <w:numId w:val="40"/>
        </w:numPr>
        <w:spacing w:after="0"/>
        <w:rPr>
          <w:rFonts w:ascii="Calibri" w:eastAsia="Times New Roman" w:hAnsi="Calibri" w:cs="Times New Roman"/>
          <w:lang w:eastAsia="pl-PL"/>
        </w:rPr>
      </w:pPr>
      <w:r w:rsidRPr="00EE0C8C">
        <w:rPr>
          <w:rFonts w:ascii="Calibri" w:eastAsia="Times New Roman" w:hAnsi="Calibri" w:cs="Times New Roman"/>
          <w:b/>
          <w:bCs/>
          <w:lang w:eastAsia="pl-PL"/>
        </w:rPr>
        <w:t>Bariery wykorzystania PPP w rewitalizacji obszarów wiejskich</w:t>
      </w:r>
    </w:p>
    <w:p w:rsidR="00EE0C8C" w:rsidRDefault="00EE0C8C" w:rsidP="00EE0C8C">
      <w:pPr>
        <w:spacing w:after="0"/>
        <w:jc w:val="both"/>
        <w:rPr>
          <w:rFonts w:ascii="Calibri" w:eastAsia="Times New Roman" w:hAnsi="Calibri" w:cs="Times New Roman"/>
          <w:lang w:eastAsia="pl-PL"/>
        </w:rPr>
      </w:pPr>
    </w:p>
    <w:p w:rsidR="00EE0C8C" w:rsidRPr="00EE0C8C" w:rsidRDefault="00EE0C8C" w:rsidP="00EE0C8C">
      <w:pPr>
        <w:spacing w:after="0"/>
        <w:jc w:val="both"/>
        <w:rPr>
          <w:rFonts w:ascii="Calibri" w:eastAsia="Times New Roman" w:hAnsi="Calibri" w:cs="Times New Roman"/>
          <w:lang w:eastAsia="pl-PL"/>
        </w:rPr>
      </w:pPr>
      <w:r w:rsidRPr="00EE0C8C">
        <w:rPr>
          <w:rFonts w:ascii="Calibri" w:eastAsia="Times New Roman" w:hAnsi="Calibri" w:cs="Times New Roman"/>
          <w:lang w:eastAsia="pl-PL"/>
        </w:rPr>
        <w:t xml:space="preserve">PPP jako metoda finansowania projektów w ramach przestrzeni gminnej stosowane jest na szeroką skalę w państwach Unii Europejskiej. Niejednokrotnie dotyczy ono całych gmin, dzielnic, prac konserwatorskich, tworzenia i odnawiania przestrzeni publicznej. Mimo znacznych korzyści płynących z wykorzystania tej formuły, należy mieć na uwadze, iż nie stanowi ona panaceum na wszelkie problemy i niesie ze sobą ryzyko. Istnieje wiele klasyfikacji </w:t>
      </w:r>
      <w:r w:rsidR="00C255D3" w:rsidRPr="00EE0C8C">
        <w:rPr>
          <w:rFonts w:ascii="Calibri" w:eastAsia="Times New Roman" w:hAnsi="Calibri" w:cs="Times New Roman"/>
          <w:lang w:eastAsia="pl-PL"/>
        </w:rPr>
        <w:t>ryzyka</w:t>
      </w:r>
      <w:r w:rsidRPr="00EE0C8C">
        <w:rPr>
          <w:rFonts w:ascii="Calibri" w:eastAsia="Times New Roman" w:hAnsi="Calibri" w:cs="Times New Roman"/>
          <w:lang w:eastAsia="pl-PL"/>
        </w:rPr>
        <w:t xml:space="preserve"> w ramach PPP. </w:t>
      </w:r>
      <w:r w:rsidRPr="00EE0C8C">
        <w:rPr>
          <w:rFonts w:ascii="Calibri" w:eastAsia="Times New Roman" w:hAnsi="Calibri" w:cs="Times New Roman"/>
          <w:lang w:eastAsia="pl-PL"/>
        </w:rPr>
        <w:br/>
        <w:t xml:space="preserve">W ustawodawstwie polskim określone one zostały na podstawie rozporządzenia ministerialnego: </w:t>
      </w:r>
    </w:p>
    <w:p w:rsidR="00EE0C8C" w:rsidRPr="00EE0C8C" w:rsidRDefault="00EE0C8C" w:rsidP="00234BBD">
      <w:pPr>
        <w:numPr>
          <w:ilvl w:val="0"/>
          <w:numId w:val="44"/>
        </w:numPr>
        <w:spacing w:after="0"/>
        <w:contextualSpacing/>
        <w:rPr>
          <w:rFonts w:ascii="Calibri" w:eastAsia="Times New Roman" w:hAnsi="Calibri" w:cs="Times New Roman"/>
          <w:lang w:eastAsia="pl-PL"/>
        </w:rPr>
      </w:pPr>
      <w:r w:rsidRPr="00EE0C8C">
        <w:rPr>
          <w:rFonts w:ascii="Calibri" w:eastAsia="Times New Roman" w:hAnsi="Calibri" w:cs="Times New Roman"/>
          <w:b/>
          <w:lang w:eastAsia="pl-PL"/>
        </w:rPr>
        <w:t>ryzyka związane z budową</w:t>
      </w:r>
      <w:r w:rsidRPr="00EE0C8C">
        <w:rPr>
          <w:rFonts w:ascii="Calibri" w:eastAsia="Times New Roman" w:hAnsi="Calibri" w:cs="Times New Roman"/>
          <w:lang w:eastAsia="pl-PL"/>
        </w:rPr>
        <w:t xml:space="preserve"> – powodujące zmiany kosztów i terminów realizacji inwestycji, </w:t>
      </w:r>
      <w:r w:rsidRPr="00EE0C8C">
        <w:rPr>
          <w:rFonts w:ascii="Calibri" w:eastAsia="Times New Roman" w:hAnsi="Calibri" w:cs="Times New Roman"/>
          <w:lang w:eastAsia="pl-PL"/>
        </w:rPr>
        <w:br/>
        <w:t xml:space="preserve">a w szczególności: opóźnienia zakończenia robót budowlanych, niezgodności z ustalonymi standardami, wzrost kosztów, nieścisłości w procedurze wyboru partnera prywatnego, nieadekwatne do przedsięwzięcia dokumentacje projektowe, wystąpienie wad fizycznych </w:t>
      </w:r>
      <w:r w:rsidRPr="00EE0C8C">
        <w:rPr>
          <w:rFonts w:ascii="Calibri" w:eastAsia="Times New Roman" w:hAnsi="Calibri" w:cs="Times New Roman"/>
          <w:lang w:eastAsia="pl-PL"/>
        </w:rPr>
        <w:br/>
        <w:t>lub prawnych zmniejszających wartość lub użyteczność inwestycji;</w:t>
      </w:r>
    </w:p>
    <w:p w:rsidR="00EE0C8C" w:rsidRPr="00EE0C8C" w:rsidRDefault="00EE0C8C" w:rsidP="00234BBD">
      <w:pPr>
        <w:numPr>
          <w:ilvl w:val="0"/>
          <w:numId w:val="42"/>
        </w:numPr>
        <w:spacing w:after="0"/>
        <w:rPr>
          <w:rFonts w:ascii="Calibri" w:eastAsia="Times New Roman" w:hAnsi="Calibri" w:cs="Times New Roman"/>
          <w:lang w:eastAsia="pl-PL"/>
        </w:rPr>
      </w:pPr>
      <w:r w:rsidRPr="00EE0C8C">
        <w:rPr>
          <w:rFonts w:ascii="Calibri" w:eastAsia="Times New Roman" w:hAnsi="Calibri" w:cs="Times New Roman"/>
          <w:b/>
          <w:lang w:eastAsia="pl-PL"/>
        </w:rPr>
        <w:t>ryzyko dostępności</w:t>
      </w:r>
      <w:r w:rsidRPr="00EE0C8C">
        <w:rPr>
          <w:rFonts w:ascii="Calibri" w:eastAsia="Times New Roman" w:hAnsi="Calibri" w:cs="Times New Roman"/>
          <w:lang w:eastAsia="pl-PL"/>
        </w:rPr>
        <w:t xml:space="preserve"> – wpływające na ilość, jakość lub sposób dostarczanych usług, oprócz niemożliwości wykonania określonej w kontrakcie ilości usług, może ono dotyczyć również wzrostu ich kosztów, nieodpowiednich kwalifikacji pracowników, występowania zmian technologicznych, braku zgodności z normami bezpieczeństwa i standardami branżowymi;</w:t>
      </w:r>
    </w:p>
    <w:p w:rsidR="00EE0C8C" w:rsidRPr="00EE0C8C" w:rsidRDefault="00EE0C8C" w:rsidP="00234BBD">
      <w:pPr>
        <w:numPr>
          <w:ilvl w:val="0"/>
          <w:numId w:val="42"/>
        </w:numPr>
        <w:spacing w:after="0"/>
        <w:rPr>
          <w:rFonts w:ascii="Calibri" w:eastAsia="Times New Roman" w:hAnsi="Calibri" w:cs="Times New Roman"/>
          <w:lang w:eastAsia="pl-PL"/>
        </w:rPr>
      </w:pPr>
      <w:r w:rsidRPr="00EE0C8C">
        <w:rPr>
          <w:rFonts w:ascii="Calibri" w:eastAsia="Times New Roman" w:hAnsi="Calibri" w:cs="Times New Roman"/>
          <w:lang w:eastAsia="pl-PL"/>
        </w:rPr>
        <w:t xml:space="preserve"> </w:t>
      </w:r>
      <w:r w:rsidRPr="00EE0C8C">
        <w:rPr>
          <w:rFonts w:ascii="Calibri" w:eastAsia="Times New Roman" w:hAnsi="Calibri" w:cs="Times New Roman"/>
          <w:b/>
          <w:lang w:eastAsia="pl-PL"/>
        </w:rPr>
        <w:t>ryzyka związane z popytem</w:t>
      </w:r>
      <w:r w:rsidRPr="00EE0C8C">
        <w:rPr>
          <w:rFonts w:ascii="Calibri" w:eastAsia="Times New Roman" w:hAnsi="Calibri" w:cs="Times New Roman"/>
          <w:lang w:eastAsia="pl-PL"/>
        </w:rPr>
        <w:t xml:space="preserve"> – uzależnione od popytu na dane usługi, wywołane konkurencją, cyklicznością popytu, zmianami cen, stosowaniem przestarzałych technologii, nowymi trendami rynkowymi;</w:t>
      </w:r>
    </w:p>
    <w:p w:rsidR="00EE0C8C" w:rsidRPr="00EE0C8C" w:rsidRDefault="00EE0C8C" w:rsidP="00234BBD">
      <w:pPr>
        <w:numPr>
          <w:ilvl w:val="0"/>
          <w:numId w:val="42"/>
        </w:numPr>
        <w:spacing w:after="0"/>
        <w:rPr>
          <w:rFonts w:ascii="Calibri" w:eastAsia="Times New Roman" w:hAnsi="Calibri" w:cs="Times New Roman"/>
          <w:lang w:eastAsia="pl-PL"/>
        </w:rPr>
      </w:pPr>
      <w:r w:rsidRPr="00EE0C8C">
        <w:rPr>
          <w:rFonts w:ascii="Calibri" w:eastAsia="Times New Roman" w:hAnsi="Calibri" w:cs="Times New Roman"/>
          <w:b/>
          <w:lang w:eastAsia="pl-PL"/>
        </w:rPr>
        <w:t>ryzyka związane z przygotowaniem przedsięwzięcia</w:t>
      </w:r>
      <w:r w:rsidRPr="00EE0C8C">
        <w:rPr>
          <w:rFonts w:ascii="Calibri" w:eastAsia="Times New Roman" w:hAnsi="Calibri" w:cs="Times New Roman"/>
          <w:lang w:eastAsia="pl-PL"/>
        </w:rPr>
        <w:t xml:space="preserve"> – głównie związane z dostępnością informacji niezbędnych w procesie planowania, wprowadzaniem zmian do specyfikacji </w:t>
      </w:r>
      <w:r w:rsidRPr="00EE0C8C">
        <w:rPr>
          <w:rFonts w:ascii="Calibri" w:eastAsia="Times New Roman" w:hAnsi="Calibri" w:cs="Times New Roman"/>
          <w:lang w:eastAsia="pl-PL"/>
        </w:rPr>
        <w:br/>
        <w:t>i sposobem przebiegu przetargu oraz ryzyko rezygnacji partnera;</w:t>
      </w:r>
    </w:p>
    <w:p w:rsidR="00EE0C8C" w:rsidRPr="00EE0C8C" w:rsidRDefault="00EE0C8C" w:rsidP="00234BBD">
      <w:pPr>
        <w:numPr>
          <w:ilvl w:val="0"/>
          <w:numId w:val="42"/>
        </w:numPr>
        <w:spacing w:after="0"/>
        <w:rPr>
          <w:rFonts w:ascii="Calibri" w:eastAsia="Times New Roman" w:hAnsi="Calibri" w:cs="Times New Roman"/>
          <w:lang w:eastAsia="pl-PL"/>
        </w:rPr>
      </w:pPr>
      <w:r w:rsidRPr="00EE0C8C">
        <w:rPr>
          <w:rFonts w:ascii="Calibri" w:eastAsia="Times New Roman" w:hAnsi="Calibri" w:cs="Times New Roman"/>
          <w:b/>
          <w:lang w:eastAsia="pl-PL"/>
        </w:rPr>
        <w:t>ryzyka rynkowe związane z dostępnością nakładów na realizacje przedsięwzięcia</w:t>
      </w:r>
      <w:r w:rsidRPr="00EE0C8C">
        <w:rPr>
          <w:rFonts w:ascii="Calibri" w:eastAsia="Times New Roman" w:hAnsi="Calibri" w:cs="Times New Roman"/>
          <w:lang w:eastAsia="pl-PL"/>
        </w:rPr>
        <w:t xml:space="preserve"> – powiązane z pozyskiwaniem nakładów o określonej jakości i ilości oraz w określonym terminie, zmianami cen, logistyką, pojawieniem się konkurencji i fluktuacjami na rynku pracy;</w:t>
      </w:r>
    </w:p>
    <w:p w:rsidR="00EE0C8C" w:rsidRPr="00EE0C8C" w:rsidRDefault="00EE0C8C" w:rsidP="00234BBD">
      <w:pPr>
        <w:numPr>
          <w:ilvl w:val="0"/>
          <w:numId w:val="42"/>
        </w:numPr>
        <w:spacing w:after="0"/>
        <w:rPr>
          <w:rFonts w:ascii="Calibri" w:eastAsia="Times New Roman" w:hAnsi="Calibri" w:cs="Times New Roman"/>
          <w:b/>
          <w:lang w:eastAsia="pl-PL"/>
        </w:rPr>
      </w:pPr>
      <w:r w:rsidRPr="00EE0C8C">
        <w:rPr>
          <w:rFonts w:ascii="Calibri" w:eastAsia="Times New Roman" w:hAnsi="Calibri" w:cs="Times New Roman"/>
          <w:b/>
          <w:lang w:eastAsia="pl-PL"/>
        </w:rPr>
        <w:t>ryzyko o charakterze politycznym;</w:t>
      </w:r>
    </w:p>
    <w:p w:rsidR="00EE0C8C" w:rsidRPr="00EE0C8C" w:rsidRDefault="00EE0C8C" w:rsidP="00234BBD">
      <w:pPr>
        <w:numPr>
          <w:ilvl w:val="0"/>
          <w:numId w:val="42"/>
        </w:numPr>
        <w:spacing w:after="0"/>
        <w:rPr>
          <w:rFonts w:ascii="Calibri" w:eastAsia="Times New Roman" w:hAnsi="Calibri" w:cs="Times New Roman"/>
          <w:lang w:eastAsia="pl-PL"/>
        </w:rPr>
      </w:pPr>
      <w:r w:rsidRPr="00EE0C8C">
        <w:rPr>
          <w:rFonts w:ascii="Calibri" w:eastAsia="Times New Roman" w:hAnsi="Calibri" w:cs="Times New Roman"/>
          <w:b/>
          <w:lang w:eastAsia="pl-PL"/>
        </w:rPr>
        <w:t>ryzyko o charakterze legislacyjnym</w:t>
      </w:r>
      <w:r w:rsidRPr="00EE0C8C">
        <w:rPr>
          <w:rFonts w:ascii="Calibri" w:eastAsia="Times New Roman" w:hAnsi="Calibri" w:cs="Times New Roman"/>
          <w:lang w:eastAsia="pl-PL"/>
        </w:rPr>
        <w:t xml:space="preserve"> – możliwość zmian w przepisach prawnych mających wpływ na współpracę w ramach partnerstwa publiczno-prywatnego;</w:t>
      </w:r>
    </w:p>
    <w:p w:rsidR="00EE0C8C" w:rsidRPr="00EE0C8C" w:rsidRDefault="00EE0C8C" w:rsidP="00234BBD">
      <w:pPr>
        <w:numPr>
          <w:ilvl w:val="0"/>
          <w:numId w:val="42"/>
        </w:numPr>
        <w:spacing w:after="0"/>
        <w:rPr>
          <w:rFonts w:ascii="Calibri" w:eastAsia="Times New Roman" w:hAnsi="Calibri" w:cs="Times New Roman"/>
          <w:lang w:eastAsia="pl-PL"/>
        </w:rPr>
      </w:pPr>
      <w:r w:rsidRPr="00EE0C8C">
        <w:rPr>
          <w:rFonts w:ascii="Calibri" w:eastAsia="Times New Roman" w:hAnsi="Calibri" w:cs="Times New Roman"/>
          <w:b/>
          <w:lang w:eastAsia="pl-PL"/>
        </w:rPr>
        <w:t>ryzyko makroekonomiczne</w:t>
      </w:r>
      <w:r w:rsidRPr="00EE0C8C">
        <w:rPr>
          <w:rFonts w:ascii="Calibri" w:eastAsia="Times New Roman" w:hAnsi="Calibri" w:cs="Times New Roman"/>
          <w:lang w:eastAsia="pl-PL"/>
        </w:rPr>
        <w:t xml:space="preserve"> – dotyczy ono takich zjawisk jak inflacja, zmiany wysokości stóp procentowych, kursów walutowych, zmiany demograficzne i tempo wzrostu gospodarczego;</w:t>
      </w:r>
    </w:p>
    <w:p w:rsidR="00EE0C8C" w:rsidRPr="00EE0C8C" w:rsidRDefault="00EE0C8C" w:rsidP="00234BBD">
      <w:pPr>
        <w:numPr>
          <w:ilvl w:val="0"/>
          <w:numId w:val="42"/>
        </w:numPr>
        <w:spacing w:after="0"/>
        <w:rPr>
          <w:rFonts w:ascii="Calibri" w:eastAsia="Times New Roman" w:hAnsi="Calibri" w:cs="Times New Roman"/>
          <w:lang w:eastAsia="pl-PL"/>
        </w:rPr>
      </w:pPr>
      <w:r w:rsidRPr="00EE0C8C">
        <w:rPr>
          <w:rFonts w:ascii="Calibri" w:eastAsia="Times New Roman" w:hAnsi="Calibri" w:cs="Times New Roman"/>
          <w:b/>
          <w:lang w:eastAsia="pl-PL"/>
        </w:rPr>
        <w:t>ryzyko regulacyjne</w:t>
      </w:r>
      <w:r w:rsidRPr="00EE0C8C">
        <w:rPr>
          <w:rFonts w:ascii="Calibri" w:eastAsia="Times New Roman" w:hAnsi="Calibri" w:cs="Times New Roman"/>
          <w:lang w:eastAsia="pl-PL"/>
        </w:rPr>
        <w:t xml:space="preserve"> – dotyczy ewentualnych zmian w systemach opłat, mających wpływ na koszty realizacji przedsięwzięcia i prawa poszczególnych stron;</w:t>
      </w:r>
    </w:p>
    <w:p w:rsidR="00EE0C8C" w:rsidRPr="00EE0C8C" w:rsidRDefault="00EE0C8C" w:rsidP="00234BBD">
      <w:pPr>
        <w:numPr>
          <w:ilvl w:val="0"/>
          <w:numId w:val="42"/>
        </w:numPr>
        <w:spacing w:after="0"/>
        <w:rPr>
          <w:rFonts w:ascii="Calibri" w:eastAsia="Times New Roman" w:hAnsi="Calibri" w:cs="Times New Roman"/>
          <w:lang w:eastAsia="pl-PL"/>
        </w:rPr>
      </w:pPr>
      <w:r w:rsidRPr="00EE0C8C">
        <w:rPr>
          <w:rFonts w:ascii="Calibri" w:eastAsia="Times New Roman" w:hAnsi="Calibri" w:cs="Times New Roman"/>
          <w:b/>
          <w:lang w:eastAsia="pl-PL"/>
        </w:rPr>
        <w:t>ryzyka związane z przychodami z przedsięwzięcia</w:t>
      </w:r>
      <w:r w:rsidRPr="00EE0C8C">
        <w:rPr>
          <w:rFonts w:ascii="Calibri" w:eastAsia="Times New Roman" w:hAnsi="Calibri" w:cs="Times New Roman"/>
          <w:lang w:eastAsia="pl-PL"/>
        </w:rPr>
        <w:t xml:space="preserve"> – dotyczą uzyskiwanych </w:t>
      </w:r>
      <w:r w:rsidRPr="00EE0C8C">
        <w:rPr>
          <w:rFonts w:ascii="Calibri" w:eastAsia="Times New Roman" w:hAnsi="Calibri" w:cs="Times New Roman"/>
          <w:lang w:eastAsia="pl-PL"/>
        </w:rPr>
        <w:br/>
        <w:t>w ramach przedsięwzięcia wynagrodzeń, mechanizmów cenowych i poboru opłat;</w:t>
      </w:r>
    </w:p>
    <w:p w:rsidR="00EE0C8C" w:rsidRPr="00EE0C8C" w:rsidRDefault="00EE0C8C" w:rsidP="00234BBD">
      <w:pPr>
        <w:numPr>
          <w:ilvl w:val="0"/>
          <w:numId w:val="42"/>
        </w:numPr>
        <w:spacing w:after="0"/>
        <w:rPr>
          <w:rFonts w:ascii="Calibri" w:eastAsia="Times New Roman" w:hAnsi="Calibri" w:cs="Times New Roman"/>
          <w:b/>
          <w:lang w:eastAsia="pl-PL"/>
        </w:rPr>
      </w:pPr>
      <w:r w:rsidRPr="00EE0C8C">
        <w:rPr>
          <w:rFonts w:ascii="Calibri" w:eastAsia="Times New Roman" w:hAnsi="Calibri" w:cs="Times New Roman"/>
          <w:b/>
          <w:lang w:eastAsia="pl-PL"/>
        </w:rPr>
        <w:t>ryzyko związane z wystąpieniem siły wyższej;</w:t>
      </w:r>
    </w:p>
    <w:p w:rsidR="00EE0C8C" w:rsidRPr="00EE0C8C" w:rsidRDefault="00EE0C8C" w:rsidP="00234BBD">
      <w:pPr>
        <w:numPr>
          <w:ilvl w:val="0"/>
          <w:numId w:val="42"/>
        </w:numPr>
        <w:spacing w:after="0"/>
        <w:rPr>
          <w:rFonts w:ascii="Calibri" w:eastAsia="Times New Roman" w:hAnsi="Calibri" w:cs="Times New Roman"/>
          <w:lang w:eastAsia="pl-PL"/>
        </w:rPr>
      </w:pPr>
      <w:r w:rsidRPr="00EE0C8C">
        <w:rPr>
          <w:rFonts w:ascii="Calibri" w:eastAsia="Times New Roman" w:hAnsi="Calibri" w:cs="Times New Roman"/>
          <w:b/>
          <w:lang w:eastAsia="pl-PL"/>
        </w:rPr>
        <w:t>ryzyka związane z rozstrzyganiem sporów</w:t>
      </w:r>
      <w:r w:rsidRPr="00EE0C8C">
        <w:rPr>
          <w:rFonts w:ascii="Calibri" w:eastAsia="Times New Roman" w:hAnsi="Calibri" w:cs="Times New Roman"/>
          <w:lang w:eastAsia="pl-PL"/>
        </w:rPr>
        <w:t xml:space="preserve"> – dotyczą sposobu rozstrzygania sporów powstałych na tle realizacji umowy;</w:t>
      </w:r>
    </w:p>
    <w:p w:rsidR="00EE0C8C" w:rsidRPr="00EE0C8C" w:rsidRDefault="00EE0C8C" w:rsidP="00234BBD">
      <w:pPr>
        <w:numPr>
          <w:ilvl w:val="0"/>
          <w:numId w:val="42"/>
        </w:numPr>
        <w:spacing w:after="0"/>
        <w:rPr>
          <w:rFonts w:ascii="Calibri" w:eastAsia="Times New Roman" w:hAnsi="Calibri" w:cs="Times New Roman"/>
          <w:lang w:eastAsia="pl-PL"/>
        </w:rPr>
      </w:pPr>
      <w:r w:rsidRPr="00EE0C8C">
        <w:rPr>
          <w:rFonts w:ascii="Calibri" w:eastAsia="Times New Roman" w:hAnsi="Calibri" w:cs="Times New Roman"/>
          <w:b/>
          <w:lang w:eastAsia="pl-PL"/>
        </w:rPr>
        <w:lastRenderedPageBreak/>
        <w:t>ryzyka związane ze stanem środowiska naturalnego</w:t>
      </w:r>
      <w:r w:rsidRPr="00EE0C8C">
        <w:rPr>
          <w:rFonts w:ascii="Calibri" w:eastAsia="Times New Roman" w:hAnsi="Calibri" w:cs="Times New Roman"/>
          <w:lang w:eastAsia="pl-PL"/>
        </w:rPr>
        <w:t xml:space="preserve"> – gdy konieczne jest podejmowanie działań na rzecz ochrony środowiska przed rozpoczęciem budowy, </w:t>
      </w:r>
      <w:r w:rsidRPr="00EE0C8C">
        <w:rPr>
          <w:rFonts w:ascii="Calibri" w:eastAsia="Times New Roman" w:hAnsi="Calibri" w:cs="Times New Roman"/>
          <w:lang w:eastAsia="pl-PL"/>
        </w:rPr>
        <w:br/>
        <w:t>a także gdy istnieje możliwość pogorszenia się jego stanu w wyniku realizacji projektu;</w:t>
      </w:r>
    </w:p>
    <w:p w:rsidR="00EE0C8C" w:rsidRPr="00EE0C8C" w:rsidRDefault="00EE0C8C" w:rsidP="00234BBD">
      <w:pPr>
        <w:numPr>
          <w:ilvl w:val="0"/>
          <w:numId w:val="42"/>
        </w:numPr>
        <w:spacing w:after="0"/>
        <w:rPr>
          <w:rFonts w:ascii="Calibri" w:eastAsia="Times New Roman" w:hAnsi="Calibri" w:cs="Times New Roman"/>
          <w:lang w:eastAsia="pl-PL"/>
        </w:rPr>
      </w:pPr>
      <w:r w:rsidRPr="00EE0C8C">
        <w:rPr>
          <w:rFonts w:ascii="Calibri" w:eastAsia="Times New Roman" w:hAnsi="Calibri" w:cs="Times New Roman"/>
          <w:b/>
          <w:lang w:eastAsia="pl-PL"/>
        </w:rPr>
        <w:t>ryzyka dotyczące lokalizacji przedsięwzięcia</w:t>
      </w:r>
      <w:r w:rsidRPr="00EE0C8C">
        <w:rPr>
          <w:rFonts w:ascii="Calibri" w:eastAsia="Times New Roman" w:hAnsi="Calibri" w:cs="Times New Roman"/>
          <w:lang w:eastAsia="pl-PL"/>
        </w:rPr>
        <w:t xml:space="preserve"> – wpływające na dostępność terenu, związane ze stanem prawnym nieruchomości, odkryciami archeologicznymi, istniejącą infrastrukturą lub dostępnością siły roboczej;</w:t>
      </w:r>
    </w:p>
    <w:p w:rsidR="00EE0C8C" w:rsidRPr="00EE0C8C" w:rsidRDefault="00EE0C8C" w:rsidP="00234BBD">
      <w:pPr>
        <w:numPr>
          <w:ilvl w:val="0"/>
          <w:numId w:val="42"/>
        </w:numPr>
        <w:spacing w:after="0"/>
        <w:rPr>
          <w:rFonts w:ascii="Calibri" w:eastAsia="Times New Roman" w:hAnsi="Calibri" w:cs="Times New Roman"/>
          <w:lang w:eastAsia="pl-PL"/>
        </w:rPr>
      </w:pPr>
      <w:r w:rsidRPr="00EE0C8C">
        <w:rPr>
          <w:rFonts w:ascii="Calibri" w:eastAsia="Times New Roman" w:hAnsi="Calibri" w:cs="Times New Roman"/>
          <w:b/>
          <w:lang w:eastAsia="pl-PL"/>
        </w:rPr>
        <w:t>ryzyko związane z końcową wartością składników majątkowych</w:t>
      </w:r>
      <w:r w:rsidRPr="00EE0C8C">
        <w:rPr>
          <w:rFonts w:ascii="Calibri" w:eastAsia="Times New Roman" w:hAnsi="Calibri" w:cs="Times New Roman"/>
          <w:lang w:eastAsia="pl-PL"/>
        </w:rPr>
        <w:t xml:space="preserve"> – odnosi się do wartości końcowej na dzień zakończenia realizacji umowy o partnerstwie; ryzyko związane z brakiem społecznej akceptacji.</w:t>
      </w:r>
    </w:p>
    <w:p w:rsidR="00EE0C8C" w:rsidRPr="00EE0C8C" w:rsidRDefault="00EE0C8C" w:rsidP="00EE0C8C">
      <w:pPr>
        <w:spacing w:after="0"/>
        <w:ind w:left="720"/>
        <w:rPr>
          <w:rFonts w:ascii="Calibri" w:eastAsia="Times New Roman" w:hAnsi="Calibri" w:cs="Times New Roman"/>
          <w:lang w:eastAsia="pl-PL"/>
        </w:rPr>
      </w:pPr>
    </w:p>
    <w:p w:rsidR="00EE0C8C" w:rsidRPr="00EE0C8C" w:rsidRDefault="00EE0C8C" w:rsidP="00234BBD">
      <w:pPr>
        <w:numPr>
          <w:ilvl w:val="0"/>
          <w:numId w:val="40"/>
        </w:numPr>
        <w:spacing w:after="0"/>
        <w:rPr>
          <w:rFonts w:ascii="Calibri" w:eastAsia="Times New Roman" w:hAnsi="Calibri" w:cs="Times New Roman"/>
          <w:lang w:eastAsia="pl-PL"/>
        </w:rPr>
      </w:pPr>
      <w:r w:rsidRPr="00EE0C8C">
        <w:rPr>
          <w:rFonts w:ascii="Calibri" w:eastAsia="Times New Roman" w:hAnsi="Calibri" w:cs="Times New Roman"/>
          <w:b/>
          <w:bCs/>
          <w:lang w:eastAsia="pl-PL"/>
        </w:rPr>
        <w:t>Czynniki zwiększające możliwość realizacji projektów PPP</w:t>
      </w:r>
    </w:p>
    <w:p w:rsidR="00EE0C8C" w:rsidRPr="00EE0C8C" w:rsidRDefault="00EE0C8C" w:rsidP="00EE0C8C">
      <w:pPr>
        <w:spacing w:after="0"/>
        <w:jc w:val="both"/>
        <w:rPr>
          <w:rFonts w:ascii="Calibri" w:eastAsia="Times New Roman" w:hAnsi="Calibri" w:cs="Times New Roman"/>
          <w:lang w:eastAsia="pl-PL"/>
        </w:rPr>
      </w:pPr>
      <w:r w:rsidRPr="00EE0C8C">
        <w:rPr>
          <w:rFonts w:ascii="Calibri" w:eastAsia="Times New Roman" w:hAnsi="Calibri" w:cs="Times New Roman"/>
          <w:lang w:eastAsia="pl-PL"/>
        </w:rPr>
        <w:t xml:space="preserve">Ryzyko towarzyszy nie tylko projektom PPP, ale każdej działalności i może przyjmować różne formy. Im większy horyzont czasowy do zakończenia danego projektu, tym jest ono wyższe. </w:t>
      </w:r>
      <w:r w:rsidRPr="00EE0C8C">
        <w:rPr>
          <w:rFonts w:ascii="Calibri" w:eastAsia="Times New Roman" w:hAnsi="Calibri" w:cs="Times New Roman"/>
          <w:lang w:eastAsia="pl-PL"/>
        </w:rPr>
        <w:br/>
        <w:t>By zwiększyć szanse na powodzenie realizacji przedsięwzięcia można jednakże podejmować cały szereg różnych działań. Pomocne są także każde kolejne zdobywane doświadczenia współpracy pomiędzy partnerami publicznymi i prywatnymi, które pozwalają lepiej radzić sobie z możliwymi zagrożeniami. W przypadku podmiotów publicznych sama ustawa o PPP nakłada na nie obowiązki związane z ograniczaniem możliwego ryzyka inwestycji. Przed podjęciem decyzji o realizacji projektu należy przeprowadzić dogłębną analizę dla określenia jego efektywności i warunków zarządzania nim. Jednym z kryteriów, które określa ustawa jest podział zadań i ryzyk związanych z przedsięwzięciem pomiędzy podmiot publiczny i partnera prywatnego. Najczęściej po stronie podmiotu publicznego spoczywa ryzyko uzyskania pozwoleń, pozyskania gruntów i utrudnień związanych z odkryciami archeologicznymi. Partner prywatny musi liczyć się z takimi kwestiami jak: spełnienie wymogów projektu technicznego, wzrost kosztów budowy lub utrzymania infrastruktury, opóźnienia prac, ukryte wady techniczne, wzrost stóp procentowych. Część z ryzyk ponoszona jest jednocześnie przez obie strony umowy. Są to: ryzyko wystąpienia siły wyższej, przekroczenia przez inflację zakładanego poziomu, protesty społeczne. Jest to typowy podział, który jednakże nie musi wystąpić we wszystkich projektach.</w:t>
      </w:r>
    </w:p>
    <w:p w:rsidR="00EE0C8C" w:rsidRDefault="00EE0C8C" w:rsidP="00EE0C8C">
      <w:pPr>
        <w:spacing w:after="0"/>
        <w:jc w:val="both"/>
        <w:rPr>
          <w:rFonts w:ascii="Calibri" w:eastAsia="Times New Roman" w:hAnsi="Calibri" w:cs="Times New Roman"/>
          <w:lang w:eastAsia="pl-PL"/>
        </w:rPr>
      </w:pPr>
    </w:p>
    <w:p w:rsidR="00EE0C8C" w:rsidRPr="00EE0C8C" w:rsidRDefault="00EE0C8C" w:rsidP="00EE0C8C">
      <w:pPr>
        <w:spacing w:after="0"/>
        <w:jc w:val="both"/>
        <w:rPr>
          <w:rFonts w:ascii="Calibri" w:eastAsia="Times New Roman" w:hAnsi="Calibri" w:cs="Times New Roman"/>
          <w:lang w:eastAsia="pl-PL"/>
        </w:rPr>
      </w:pPr>
      <w:r w:rsidRPr="00EE0C8C">
        <w:rPr>
          <w:rFonts w:ascii="Calibri" w:eastAsia="Times New Roman" w:hAnsi="Calibri" w:cs="Times New Roman"/>
          <w:lang w:eastAsia="pl-PL"/>
        </w:rPr>
        <w:t xml:space="preserve">Przy ocenie możliwości realizacji projektów rewitalizacji w ramach partnerstwa należy również zwrócić uwagę na cechy samych miast i obszarów wiejskich, ich wielkość i zamożność. Ważne jest posiadane doświadczenie, które pozwala przygotować się na trudne momenty, lepiej zrozumieć zachowania partnera prywatnego oraz stworzyć instrumenty zabezpieczające. Polskie miasta rozwinęły tę praktykę dzięki stosowaniu takich narzędzi jak: quasi-PPP, koncesje, spółki celowe, zamówienia publiczne, długoterminowe umowy dzierżawy gruntów. Więcej doświadczeń tego typu mają większe miasta, które jednocześnie łatwiej przyciągają inwestorów. Jednakże i wśród mniejszych miejscowości wykazać można te, które z sukcesem współpracowały z partnerami prywatnymi, np. Słupsk i Sopot. Z doświadczeniem w parze idzie świadomość przedstawicieli władz, co do zalet wynikających z wykorzystania PPP w rozwoju miasta i gminy, jak i komplikacji, których należy oczekiwać. W jej podnoszeniu pomagają między innymi specjalnie prowadzone dla urzędników szkolenia oraz konferencje. Dotychczasowa wymiana wiedzy w tym zakresie pozwoliła na utworzenie listy problemów związanych z funkcjonowaniem w praktyce przepisów ustawy o PPP </w:t>
      </w:r>
      <w:r w:rsidRPr="00EE0C8C">
        <w:rPr>
          <w:rFonts w:ascii="Calibri" w:eastAsia="Times New Roman" w:hAnsi="Calibri" w:cs="Times New Roman"/>
          <w:lang w:eastAsia="pl-PL"/>
        </w:rPr>
        <w:br/>
        <w:t xml:space="preserve">z 2013 r. Wykazywano trudności ze znalezieniem podmiotu mogącego przeprowadzić profesjonalną analizę ryzyka projektu, brak formularza zamówień publicznych, zamknięty katalog partnerów </w:t>
      </w:r>
      <w:r w:rsidRPr="00EE0C8C">
        <w:rPr>
          <w:rFonts w:ascii="Calibri" w:eastAsia="Times New Roman" w:hAnsi="Calibri" w:cs="Times New Roman"/>
          <w:lang w:eastAsia="pl-PL"/>
        </w:rPr>
        <w:lastRenderedPageBreak/>
        <w:t xml:space="preserve">publicznych i prywatnych, które mogły korzystać z tej formuły oraz ograniczoną liczbę przedsięwzięć, które mogły być realizowane poprzez partnerstwo. Co do zagrożeń związanych z wykorzystaniem partnerstwa publiczno-prywatnego, których podmioty publiczne były świadome, wymieniano między innymi: długotrwałe procedury, możliwość naruszenia prawa zamówień publicznych, różnice celów sektora publicznego i prywatnego, niejasny status własności gruntów, konieczność samodzielnego radzenia sobie z problemami powstałymi po wycofaniu się partnera prywatnego, zależność sektora prywatnego od wsparcia banków i innych instytucji, brak poparcia społecznego, nierówny podział ryzyka. Jednocześnie zdawano sobie sprawę ze znaczenia funduszy sektora prywatnego w rozwoju aglomeracji, konsekwencji płynących z wyboru poszczególnych form kooperacji, konieczności tworzenia projektów atrakcyjnych komercyjnie i rozsądnego korzystania ze środków publicznych. Zrozumienie prawnych aspektów partnerstwa oraz ewentualnych trudności z nim związanych jest szczególnie istotne dla powodzenia danego projektu. W planach dotyczących przestrzeni miejskich </w:t>
      </w:r>
      <w:r w:rsidRPr="00EE0C8C">
        <w:rPr>
          <w:rFonts w:ascii="Calibri" w:eastAsia="Times New Roman" w:hAnsi="Calibri" w:cs="Times New Roman"/>
          <w:lang w:eastAsia="pl-PL"/>
        </w:rPr>
        <w:br/>
        <w:t xml:space="preserve">i obszarów wiejskich, szczególnie istotna jest bowiem wiedza z zakresu pozyskiwania funduszy, know-how, możliwości zachowania jak największej kontroli nad gruntami. Jej brak oraz pominięcie wcześniejszych analiz prowadzi do zaniechania programów. Jednakże, wiedza ta okaże się nieprzydatna, jeżeli podmioty publiczne oraz prywatne nie będą zainteresowane i chętne do wykorzystania formuły partnerstwa. Wśród powodów, dla których miasta i gminy mogą być zainteresowane PPP, można wymienić: lepsze zarządzanie przez podmioty prywatne, oszczędność środków publicznych, tworzenie projektów bez powiększania długu publicznego. Istotna dla powodzenia projektu Partnerstwa Publiczno-Prywatnego jest również efektywność administracyjna. Dobrze zorganizowany system daje lepszą pozycję do negocjacji z partnerem prywatnym oraz większe możliwości radzenia sobie  z ewentualnymi utrudnieniami. Można wykorzystywać różne modele struktury administracyjnej: oddzielne wyspecjalizowane działy lub też powierzanie dodatkowych obowiązków poszczególnym urzędnikom wraz z wyznaczeniem osoby odpowiedzialnej za projekt. Przeszkodą dla wyodrębnienia osobnych działów PPP w instytucjach jest często zbyt mała liczba zatrudnionych urzędników. Praca grupy osób z rożnych referatów może z kolei prowadzić do błędów proceduralnych lub konfliktów wewnątrz organizacji. By temu zaradzić niezbędne jest jasne określenie przepisów według których pracuje jednostka oraz roli poszczególnych podmiotów. Pomóc może również zatrudnienie doświadczonych doradców technicznych, finansowych i prawnych. Najczęściej wykorzystywani są oni głównie przez sektor prywatny, dla przeprowadzenia </w:t>
      </w:r>
      <w:r w:rsidRPr="00EE0C8C">
        <w:rPr>
          <w:rFonts w:ascii="Calibri" w:eastAsia="Times New Roman" w:hAnsi="Calibri" w:cs="Times New Roman"/>
          <w:i/>
          <w:lang w:eastAsia="pl-PL"/>
        </w:rPr>
        <w:t>due diligence,</w:t>
      </w:r>
      <w:r w:rsidRPr="00EE0C8C">
        <w:rPr>
          <w:rFonts w:ascii="Calibri" w:eastAsia="Times New Roman" w:hAnsi="Calibri" w:cs="Times New Roman"/>
          <w:lang w:eastAsia="pl-PL"/>
        </w:rPr>
        <w:t xml:space="preserve"> wykonania analiz finansowych i ekonomicznych, przygotowania oferty przetargowej i wsparcia </w:t>
      </w:r>
      <w:r w:rsidRPr="00EE0C8C">
        <w:rPr>
          <w:rFonts w:ascii="Calibri" w:eastAsia="Times New Roman" w:hAnsi="Calibri" w:cs="Times New Roman"/>
          <w:lang w:eastAsia="pl-PL"/>
        </w:rPr>
        <w:br/>
        <w:t xml:space="preserve">w negocjacjach. Należy również zapewnić odpowiednią ilość czasu poświęconego na wybór partnera prywatnego. Dotychczas w wielu przypadkach strona publiczna wykazywała się zbytnim </w:t>
      </w:r>
      <w:r w:rsidRPr="00EE0C8C">
        <w:rPr>
          <w:rFonts w:ascii="Calibri" w:eastAsia="Times New Roman" w:hAnsi="Calibri" w:cs="Times New Roman"/>
          <w:lang w:eastAsia="pl-PL"/>
        </w:rPr>
        <w:br/>
        <w:t xml:space="preserve">i nieuzasadnionym pośpiechem. W państwach, gdzie PPP stosuje się z powodzeniem od kilkunastu lat, ocenia się, że proces ten (od nakreślenia celów, do wyboru partnera, czyli zamknięcia komercyjnego) trwa zazwyczaj od 12 do 18 miesięcy. W Polsce instytucje publiczne często zwlekają z rozpoczęciem działań, a gdy potrzeba publiczna z różnych względów staje się nagląca wyznaczają nieracjonalnie krótkie terminy na wykonanie analiz i złożenie ofert. Przeznaczenie odpowiedniej ilości czasu na weryfikację zgłoszeń potencjalnych wykonawców pozwala uniknąć sytuacji, w której kierować będziemy się wyłącznie najniższą ceną świadczonych usług. Oprócz wymienionych powyżej czynników wewnętrznych, zależących od samej jednostki, przy opracowywaniu projektu PPP ważne jest także spojrzenie na czynniki zewnętrzne. Szczególnie istotny jest stosunek lokalnej społeczności do danego przedsięwzięcia. By zapewnić opinii publicznej przejrzystość procesu PPP należy rzetelnie informować ją na każdym etapie realizacji. Prowadzona komunikacja powinna:                            </w:t>
      </w:r>
    </w:p>
    <w:p w:rsidR="00EE0C8C" w:rsidRPr="00EE0C8C" w:rsidRDefault="00EE0C8C" w:rsidP="00234BBD">
      <w:pPr>
        <w:numPr>
          <w:ilvl w:val="0"/>
          <w:numId w:val="43"/>
        </w:numPr>
        <w:spacing w:after="0"/>
        <w:jc w:val="both"/>
        <w:rPr>
          <w:rFonts w:ascii="Calibri" w:eastAsia="Times New Roman" w:hAnsi="Calibri" w:cs="Times New Roman"/>
          <w:lang w:eastAsia="pl-PL"/>
        </w:rPr>
      </w:pPr>
      <w:r w:rsidRPr="00EE0C8C">
        <w:rPr>
          <w:rFonts w:ascii="Calibri" w:eastAsia="Times New Roman" w:hAnsi="Calibri" w:cs="Times New Roman"/>
          <w:lang w:eastAsia="pl-PL"/>
        </w:rPr>
        <w:lastRenderedPageBreak/>
        <w:t>przekazywać jak najwięcej wiadomości na temat samego projektu – jego idei oraz strony formalnej;</w:t>
      </w:r>
    </w:p>
    <w:p w:rsidR="00EE0C8C" w:rsidRPr="00EE0C8C" w:rsidRDefault="00EE0C8C" w:rsidP="00234BBD">
      <w:pPr>
        <w:numPr>
          <w:ilvl w:val="0"/>
          <w:numId w:val="43"/>
        </w:numPr>
        <w:spacing w:after="0"/>
        <w:jc w:val="both"/>
        <w:rPr>
          <w:rFonts w:ascii="Calibri" w:eastAsia="Times New Roman" w:hAnsi="Calibri" w:cs="Times New Roman"/>
          <w:lang w:eastAsia="pl-PL"/>
        </w:rPr>
      </w:pPr>
      <w:r w:rsidRPr="00EE0C8C">
        <w:rPr>
          <w:rFonts w:ascii="Calibri" w:eastAsia="Times New Roman" w:hAnsi="Calibri" w:cs="Times New Roman"/>
          <w:lang w:eastAsia="pl-PL"/>
        </w:rPr>
        <w:t>wyjaśniać, dlaczego wybrano formułę PPP, a nie tradycyjny sposób, zawierać opis podejmowania decyzji o wykonaniu zadania w formie partnerstwa;</w:t>
      </w:r>
    </w:p>
    <w:p w:rsidR="00EE0C8C" w:rsidRPr="00EE0C8C" w:rsidRDefault="00EE0C8C" w:rsidP="00234BBD">
      <w:pPr>
        <w:numPr>
          <w:ilvl w:val="0"/>
          <w:numId w:val="43"/>
        </w:numPr>
        <w:spacing w:after="0"/>
        <w:jc w:val="both"/>
        <w:rPr>
          <w:rFonts w:ascii="Calibri" w:eastAsia="Times New Roman" w:hAnsi="Calibri" w:cs="Times New Roman"/>
          <w:lang w:eastAsia="pl-PL"/>
        </w:rPr>
      </w:pPr>
      <w:r w:rsidRPr="00EE0C8C">
        <w:rPr>
          <w:rFonts w:ascii="Calibri" w:eastAsia="Times New Roman" w:hAnsi="Calibri" w:cs="Times New Roman"/>
          <w:lang w:eastAsia="pl-PL"/>
        </w:rPr>
        <w:t>informować o zaletach działań wynikających z udziału partnera prywatnego i PPP;</w:t>
      </w:r>
    </w:p>
    <w:p w:rsidR="00EE0C8C" w:rsidRPr="00EE0C8C" w:rsidRDefault="00EE0C8C" w:rsidP="00234BBD">
      <w:pPr>
        <w:numPr>
          <w:ilvl w:val="0"/>
          <w:numId w:val="43"/>
        </w:numPr>
        <w:spacing w:after="0"/>
        <w:jc w:val="both"/>
        <w:rPr>
          <w:rFonts w:ascii="Calibri" w:eastAsia="Times New Roman" w:hAnsi="Calibri" w:cs="Times New Roman"/>
          <w:lang w:eastAsia="pl-PL"/>
        </w:rPr>
      </w:pPr>
      <w:r w:rsidRPr="00EE0C8C">
        <w:rPr>
          <w:rFonts w:ascii="Calibri" w:eastAsia="Times New Roman" w:hAnsi="Calibri" w:cs="Times New Roman"/>
          <w:lang w:eastAsia="pl-PL"/>
        </w:rPr>
        <w:t>rozgraniczać kwestię wyboru PPP jako modelu finansowania projektu od sposobu, w jaki będzie finansowane użytkowanie danego obiektu, by uniknąć społecznych obawo wysokie koszty dla konsumentów;</w:t>
      </w:r>
    </w:p>
    <w:p w:rsidR="00EE0C8C" w:rsidRPr="00EE0C8C" w:rsidRDefault="00EE0C8C" w:rsidP="00234BBD">
      <w:pPr>
        <w:numPr>
          <w:ilvl w:val="0"/>
          <w:numId w:val="43"/>
        </w:numPr>
        <w:spacing w:after="0"/>
        <w:jc w:val="both"/>
        <w:rPr>
          <w:rFonts w:ascii="Calibri" w:eastAsia="Times New Roman" w:hAnsi="Calibri" w:cs="Times New Roman"/>
          <w:lang w:eastAsia="pl-PL"/>
        </w:rPr>
      </w:pPr>
      <w:r w:rsidRPr="00EE0C8C">
        <w:rPr>
          <w:rFonts w:ascii="Calibri" w:eastAsia="Times New Roman" w:hAnsi="Calibri" w:cs="Times New Roman"/>
          <w:lang w:eastAsia="pl-PL"/>
        </w:rPr>
        <w:t>informować o kosztach i korzyściach społecznych podejmowanych działań, ale też o tymczasowych utrudnieniach w funkcjonowaniu danego obszaru i sfery życia gminy, miasta lub regionu, co pozwoli na zwiększenie poczucia bezpieczeństwa i wzmocni kredyt zaufania społecznego dla strony publicznej;</w:t>
      </w:r>
    </w:p>
    <w:p w:rsidR="00EE0C8C" w:rsidRPr="00EE0C8C" w:rsidRDefault="00EE0C8C" w:rsidP="00234BBD">
      <w:pPr>
        <w:numPr>
          <w:ilvl w:val="0"/>
          <w:numId w:val="43"/>
        </w:numPr>
        <w:spacing w:after="0"/>
        <w:jc w:val="both"/>
        <w:rPr>
          <w:rFonts w:ascii="Calibri" w:eastAsia="Times New Roman" w:hAnsi="Calibri" w:cs="Times New Roman"/>
          <w:lang w:eastAsia="pl-PL"/>
        </w:rPr>
      </w:pPr>
      <w:r w:rsidRPr="00EE0C8C">
        <w:rPr>
          <w:rFonts w:ascii="Calibri" w:eastAsia="Times New Roman" w:hAnsi="Calibri" w:cs="Times New Roman"/>
          <w:lang w:eastAsia="pl-PL"/>
        </w:rPr>
        <w:t>pokazywać różnice między partnerstwem publiczno-prywatnym a prywatyzacją, co pozwoli zmniejszyć niepewność i zachować przejrzystość funkcjonowania strony publicznej oraz sposobów wydatkowania jej środków;</w:t>
      </w:r>
    </w:p>
    <w:p w:rsidR="00EE0C8C" w:rsidRPr="00EE0C8C" w:rsidRDefault="00EE0C8C" w:rsidP="00234BBD">
      <w:pPr>
        <w:numPr>
          <w:ilvl w:val="0"/>
          <w:numId w:val="43"/>
        </w:numPr>
        <w:spacing w:after="0"/>
        <w:jc w:val="both"/>
        <w:rPr>
          <w:rFonts w:ascii="Calibri" w:eastAsia="Times New Roman" w:hAnsi="Calibri" w:cs="Times New Roman"/>
          <w:lang w:eastAsia="pl-PL"/>
        </w:rPr>
      </w:pPr>
      <w:r w:rsidRPr="00EE0C8C">
        <w:rPr>
          <w:rFonts w:ascii="Calibri" w:eastAsia="Times New Roman" w:hAnsi="Calibri" w:cs="Times New Roman"/>
          <w:lang w:eastAsia="pl-PL"/>
        </w:rPr>
        <w:t xml:space="preserve">angażować społeczność lokalną, między innymi poprzez konsultacje odnośnie oczekiwań </w:t>
      </w:r>
      <w:r w:rsidRPr="00EE0C8C">
        <w:rPr>
          <w:rFonts w:ascii="Calibri" w:eastAsia="Times New Roman" w:hAnsi="Calibri" w:cs="Times New Roman"/>
          <w:lang w:eastAsia="pl-PL"/>
        </w:rPr>
        <w:br/>
        <w:t xml:space="preserve">i obaw mieszkańców. </w:t>
      </w:r>
    </w:p>
    <w:p w:rsidR="00EE0C8C" w:rsidRDefault="00EE0C8C" w:rsidP="00EE0C8C">
      <w:pPr>
        <w:spacing w:after="0"/>
        <w:jc w:val="both"/>
        <w:rPr>
          <w:rFonts w:ascii="Calibri" w:eastAsia="Times New Roman" w:hAnsi="Calibri" w:cs="Times New Roman"/>
          <w:lang w:eastAsia="pl-PL"/>
        </w:rPr>
      </w:pPr>
    </w:p>
    <w:p w:rsidR="00EE0C8C" w:rsidRPr="00EE0C8C" w:rsidRDefault="00EE0C8C" w:rsidP="00EE0C8C">
      <w:pPr>
        <w:spacing w:after="0"/>
        <w:jc w:val="both"/>
        <w:rPr>
          <w:rFonts w:ascii="Calibri" w:eastAsia="Times New Roman" w:hAnsi="Calibri" w:cs="Times New Roman"/>
          <w:lang w:eastAsia="pl-PL"/>
        </w:rPr>
      </w:pPr>
      <w:r w:rsidRPr="00EE0C8C">
        <w:rPr>
          <w:rFonts w:ascii="Calibri" w:eastAsia="Times New Roman" w:hAnsi="Calibri" w:cs="Times New Roman"/>
          <w:lang w:eastAsia="pl-PL"/>
        </w:rPr>
        <w:t xml:space="preserve">Ogromne znaczenie ma również odpowiednia współpraca z mediami, które okazać się mogą istotnym sojusznikiem w realizacji projektów infrastrukturalnych. Należy zadbać o stały proces informacyjny i edukacyjny dla dziennikarzy na temat przedsięwzięcia, jak i samego PPP. Dążyć do sytuacji, gdzie media poczują się ważnym partnerem w inwestycji, gdyż w „naturalny” sposób staną się rzecznikami projektu. Dlatego też powinni oni jak najczęściej otrzymywać rzetelne i aktualne informacje, podane w ciekawy sposób przez łatwo dostępnych rozmówców. Zadanie to powierzyć można specjalnie oddelegowanemu zespołowi, rzecznikowi prasowemu, instytucji lub firmie zewnętrznej. Ze względu na możliwości ewentualnych nadużyć przy projekcie media lokalne będą szczególnie zainteresowane danym przedsięwzięciem i będą szukać informacji o wszelkich uchybieniach. Wpływ na powodzenie przedsięwzięcia partnerstwa w projektach rewitalizacji ma również zjawisko korzyści skali. Działania te przyniosą zysk dopiero po przekroczeniu pewnej skali, np. przestrzennego zasięgu obszarów poddawanych regeneracji lub liczby ludności zamieszkującej dany teren. Wielkość gminy determinuje więc minimalną przestrzeń, gdzie można podjąć prace. W tej sytuacji zadaniem władz gminy jest tworzenie dla potencjalnych inwestorów możliwości uzyskania korzyści w krótkoterminowym okresie. Sektor publiczny musi interweniować, by zmniejszać koszty partnera prywatnego i jednocześnie wyrównywać szanse udziału w projekcie, czego oczekują przedsiębiorcy. Sytuacja taka występuje właśnie w przypadkach współpracy podmiotów publicznych </w:t>
      </w:r>
      <w:r w:rsidRPr="00EE0C8C">
        <w:rPr>
          <w:rFonts w:ascii="Calibri" w:eastAsia="Times New Roman" w:hAnsi="Calibri" w:cs="Times New Roman"/>
          <w:lang w:eastAsia="pl-PL"/>
        </w:rPr>
        <w:br/>
        <w:t xml:space="preserve">i prywatnych przy rewitalizacji. Dla przedsiębiorcy celem jest generowanie i maksymalizacja zysków, dla samorządu – ożywienie gospodarcze obszaru i ochrona obiektów zabytkowych. Należy więc określić, która ze stron weźmie na siebie, często znaczne, koszty konserwatorskie.    </w:t>
      </w:r>
    </w:p>
    <w:p w:rsidR="00EE0C8C" w:rsidRPr="00EE0C8C" w:rsidRDefault="00EE0C8C" w:rsidP="00EE0C8C">
      <w:pPr>
        <w:spacing w:after="0"/>
        <w:ind w:firstLine="1134"/>
        <w:jc w:val="both"/>
        <w:rPr>
          <w:rFonts w:ascii="Calibri" w:eastAsia="Times New Roman" w:hAnsi="Calibri" w:cs="Times New Roman"/>
          <w:lang w:eastAsia="pl-PL"/>
        </w:rPr>
      </w:pPr>
    </w:p>
    <w:p w:rsidR="00EE0C8C" w:rsidRPr="00EE0C8C" w:rsidRDefault="00EE0C8C" w:rsidP="00EE0C8C">
      <w:pPr>
        <w:spacing w:after="0"/>
        <w:ind w:firstLine="1134"/>
        <w:jc w:val="both"/>
        <w:rPr>
          <w:rFonts w:ascii="Calibri" w:eastAsia="Times New Roman" w:hAnsi="Calibri" w:cs="Times New Roman"/>
          <w:lang w:eastAsia="pl-PL"/>
        </w:rPr>
      </w:pPr>
    </w:p>
    <w:p w:rsidR="00EE0C8C" w:rsidRPr="00EE0C8C" w:rsidRDefault="00EE0C8C" w:rsidP="00EE0C8C">
      <w:pPr>
        <w:spacing w:after="0"/>
        <w:ind w:firstLine="1134"/>
        <w:jc w:val="both"/>
        <w:rPr>
          <w:rFonts w:ascii="Calibri" w:eastAsia="Times New Roman" w:hAnsi="Calibri" w:cs="Times New Roman"/>
          <w:lang w:eastAsia="pl-PL"/>
        </w:rPr>
      </w:pPr>
    </w:p>
    <w:p w:rsidR="00EE0C8C" w:rsidRPr="00EE0C8C" w:rsidRDefault="00EE0C8C" w:rsidP="00EE0C8C">
      <w:pPr>
        <w:spacing w:after="0"/>
        <w:ind w:firstLine="1134"/>
        <w:jc w:val="both"/>
        <w:rPr>
          <w:rFonts w:ascii="Calibri" w:eastAsia="Times New Roman" w:hAnsi="Calibri" w:cs="Times New Roman"/>
          <w:lang w:eastAsia="pl-PL"/>
        </w:rPr>
      </w:pPr>
    </w:p>
    <w:p w:rsidR="00EE0C8C" w:rsidRPr="00EE0C8C" w:rsidRDefault="00EE0C8C" w:rsidP="00EE0C8C">
      <w:pPr>
        <w:spacing w:after="0"/>
        <w:ind w:firstLine="1134"/>
        <w:jc w:val="both"/>
        <w:rPr>
          <w:rFonts w:ascii="Calibri" w:eastAsia="Times New Roman" w:hAnsi="Calibri" w:cs="Times New Roman"/>
          <w:lang w:eastAsia="pl-PL"/>
        </w:rPr>
      </w:pPr>
    </w:p>
    <w:p w:rsidR="00EE0C8C" w:rsidRPr="008903A4" w:rsidRDefault="00EE0C8C" w:rsidP="008903A4">
      <w:pPr>
        <w:pStyle w:val="Nagwek2"/>
        <w:rPr>
          <w:rFonts w:eastAsia="SimSun"/>
        </w:rPr>
      </w:pPr>
      <w:bookmarkStart w:id="128" w:name="_Toc439157985"/>
      <w:bookmarkStart w:id="129" w:name="_Toc450562528"/>
      <w:r w:rsidRPr="008903A4">
        <w:rPr>
          <w:rFonts w:eastAsia="SimSun"/>
        </w:rPr>
        <w:lastRenderedPageBreak/>
        <w:t xml:space="preserve">7.3. ŹRÓDŁA FINANSOWANIA INWESTYCJI W GPR </w:t>
      </w:r>
      <w:r w:rsidR="00B46559">
        <w:rPr>
          <w:rFonts w:eastAsia="SimSun"/>
        </w:rPr>
        <w:t>GMINY</w:t>
      </w:r>
      <w:r w:rsidRPr="008903A4">
        <w:rPr>
          <w:rFonts w:eastAsia="SimSun"/>
        </w:rPr>
        <w:t xml:space="preserve"> MIRZEC</w:t>
      </w:r>
      <w:bookmarkEnd w:id="128"/>
      <w:bookmarkEnd w:id="129"/>
    </w:p>
    <w:p w:rsidR="00EE0C8C" w:rsidRPr="00EE0C8C" w:rsidRDefault="00EE0C8C" w:rsidP="00EE0C8C">
      <w:pPr>
        <w:widowControl w:val="0"/>
        <w:suppressAutoHyphens/>
        <w:autoSpaceDN w:val="0"/>
        <w:spacing w:after="0" w:line="240" w:lineRule="auto"/>
        <w:textAlignment w:val="baseline"/>
        <w:rPr>
          <w:rFonts w:ascii="Calibri" w:eastAsia="SimSun" w:hAnsi="Calibri" w:cs="Mangal"/>
          <w:kern w:val="3"/>
          <w:lang w:eastAsia="zh-CN" w:bidi="hi-IN"/>
        </w:rPr>
      </w:pPr>
    </w:p>
    <w:p w:rsidR="00EE0C8C" w:rsidRPr="00EE0C8C" w:rsidRDefault="00EE0C8C" w:rsidP="00EE0C8C">
      <w:pPr>
        <w:widowControl w:val="0"/>
        <w:suppressAutoHyphens/>
        <w:autoSpaceDN w:val="0"/>
        <w:spacing w:after="0" w:line="240" w:lineRule="auto"/>
        <w:textAlignment w:val="baseline"/>
        <w:rPr>
          <w:rFonts w:ascii="Calibri" w:eastAsia="SimSun" w:hAnsi="Calibri" w:cs="Mangal"/>
          <w:kern w:val="3"/>
          <w:lang w:eastAsia="zh-CN" w:bidi="hi-IN"/>
        </w:rPr>
      </w:pPr>
      <w:r w:rsidRPr="00EE0C8C">
        <w:rPr>
          <w:rFonts w:ascii="Calibri" w:eastAsia="SimSun" w:hAnsi="Calibri" w:cs="Calibri"/>
          <w:b/>
          <w:kern w:val="3"/>
          <w:lang w:eastAsia="zh-CN" w:bidi="hi-IN"/>
        </w:rPr>
        <w:t xml:space="preserve">RPO WŚ – </w:t>
      </w:r>
      <w:r w:rsidRPr="00EE0C8C">
        <w:rPr>
          <w:rFonts w:ascii="Calibri" w:eastAsia="SimSun" w:hAnsi="Calibri" w:cs="Calibri"/>
          <w:kern w:val="3"/>
          <w:lang w:eastAsia="zh-CN" w:bidi="hi-IN"/>
        </w:rPr>
        <w:t>Regionalny Program Operacyjny Województwa Świętokrzyskiego 2014-2020</w:t>
      </w:r>
    </w:p>
    <w:p w:rsidR="00EE0C8C" w:rsidRPr="00EE0C8C" w:rsidRDefault="00EE0C8C" w:rsidP="00EE0C8C">
      <w:pPr>
        <w:widowControl w:val="0"/>
        <w:suppressAutoHyphens/>
        <w:autoSpaceDN w:val="0"/>
        <w:spacing w:after="0" w:line="240" w:lineRule="auto"/>
        <w:textAlignment w:val="baseline"/>
        <w:rPr>
          <w:rFonts w:ascii="Calibri" w:eastAsia="SimSun" w:hAnsi="Calibri" w:cs="Mangal"/>
          <w:kern w:val="3"/>
          <w:lang w:eastAsia="zh-CN" w:bidi="hi-IN"/>
        </w:rPr>
      </w:pPr>
      <w:r w:rsidRPr="00EE0C8C">
        <w:rPr>
          <w:rFonts w:ascii="Calibri" w:eastAsia="SimSun" w:hAnsi="Calibri" w:cs="Calibri"/>
          <w:b/>
          <w:kern w:val="3"/>
          <w:lang w:eastAsia="zh-CN" w:bidi="hi-IN"/>
        </w:rPr>
        <w:t xml:space="preserve">PROW – </w:t>
      </w:r>
      <w:r w:rsidRPr="00EE0C8C">
        <w:rPr>
          <w:rFonts w:ascii="Calibri" w:eastAsia="SimSun" w:hAnsi="Calibri" w:cs="Calibri"/>
          <w:kern w:val="3"/>
          <w:lang w:eastAsia="zh-CN" w:bidi="hi-IN"/>
        </w:rPr>
        <w:t>Program Rozwoju Obszarów Wiejskich 2014-2020</w:t>
      </w:r>
    </w:p>
    <w:p w:rsidR="00EE0C8C" w:rsidRPr="00EE0C8C" w:rsidRDefault="00EE0C8C" w:rsidP="00EE0C8C">
      <w:pPr>
        <w:widowControl w:val="0"/>
        <w:suppressAutoHyphens/>
        <w:autoSpaceDN w:val="0"/>
        <w:spacing w:after="0" w:line="240" w:lineRule="auto"/>
        <w:textAlignment w:val="baseline"/>
        <w:rPr>
          <w:rFonts w:ascii="Calibri" w:eastAsia="SimSun" w:hAnsi="Calibri" w:cs="Mangal"/>
          <w:kern w:val="3"/>
          <w:lang w:eastAsia="zh-CN" w:bidi="hi-IN"/>
        </w:rPr>
      </w:pPr>
      <w:r w:rsidRPr="00EE0C8C">
        <w:rPr>
          <w:rFonts w:ascii="Calibri" w:eastAsia="SimSun" w:hAnsi="Calibri" w:cs="Calibri"/>
          <w:b/>
          <w:kern w:val="3"/>
          <w:lang w:eastAsia="zh-CN" w:bidi="hi-IN"/>
        </w:rPr>
        <w:t xml:space="preserve">PO IiŚ – </w:t>
      </w:r>
      <w:r w:rsidRPr="00EE0C8C">
        <w:rPr>
          <w:rFonts w:ascii="Calibri" w:eastAsia="SimSun" w:hAnsi="Calibri" w:cs="Calibri"/>
          <w:kern w:val="3"/>
          <w:lang w:eastAsia="zh-CN" w:bidi="hi-IN"/>
        </w:rPr>
        <w:t>Program Operacyjny Infrastruktura i Środowisko 2014-2020</w:t>
      </w:r>
    </w:p>
    <w:p w:rsidR="00EE0C8C" w:rsidRPr="00EE0C8C" w:rsidRDefault="00EE0C8C" w:rsidP="00EE0C8C">
      <w:pPr>
        <w:widowControl w:val="0"/>
        <w:suppressAutoHyphens/>
        <w:autoSpaceDN w:val="0"/>
        <w:spacing w:after="0" w:line="240" w:lineRule="auto"/>
        <w:textAlignment w:val="baseline"/>
        <w:rPr>
          <w:rFonts w:ascii="Calibri" w:eastAsia="SimSun" w:hAnsi="Calibri" w:cs="Mangal"/>
          <w:kern w:val="3"/>
          <w:lang w:eastAsia="zh-CN" w:bidi="hi-IN"/>
        </w:rPr>
      </w:pPr>
      <w:r w:rsidRPr="00EE0C8C">
        <w:rPr>
          <w:rFonts w:ascii="Calibri" w:eastAsia="SimSun" w:hAnsi="Calibri" w:cs="Calibri"/>
          <w:b/>
          <w:kern w:val="3"/>
          <w:lang w:eastAsia="zh-CN" w:bidi="hi-IN"/>
        </w:rPr>
        <w:t xml:space="preserve">PO WER – </w:t>
      </w:r>
      <w:r w:rsidRPr="00EE0C8C">
        <w:rPr>
          <w:rFonts w:ascii="Calibri" w:eastAsia="SimSun" w:hAnsi="Calibri" w:cs="Calibri"/>
          <w:kern w:val="3"/>
          <w:lang w:eastAsia="zh-CN" w:bidi="hi-IN"/>
        </w:rPr>
        <w:t>Program Operacyjny Wiedza Edukacja Rozwój 2014-2020</w:t>
      </w:r>
    </w:p>
    <w:p w:rsidR="00EE0C8C" w:rsidRPr="00EE0C8C" w:rsidRDefault="00EE0C8C" w:rsidP="00EE0C8C">
      <w:pPr>
        <w:widowControl w:val="0"/>
        <w:suppressAutoHyphens/>
        <w:autoSpaceDN w:val="0"/>
        <w:spacing w:after="0" w:line="240" w:lineRule="auto"/>
        <w:textAlignment w:val="baseline"/>
        <w:rPr>
          <w:rFonts w:ascii="Calibri" w:eastAsia="SimSun" w:hAnsi="Calibri" w:cs="Mangal"/>
          <w:kern w:val="3"/>
          <w:lang w:eastAsia="zh-CN" w:bidi="hi-IN"/>
        </w:rPr>
      </w:pPr>
      <w:r w:rsidRPr="00EE0C8C">
        <w:rPr>
          <w:rFonts w:ascii="Calibri" w:eastAsia="SimSun" w:hAnsi="Calibri" w:cs="Calibri"/>
          <w:b/>
          <w:kern w:val="3"/>
          <w:lang w:eastAsia="zh-CN" w:bidi="hi-IN"/>
        </w:rPr>
        <w:t xml:space="preserve">PO PC – </w:t>
      </w:r>
      <w:r w:rsidRPr="00EE0C8C">
        <w:rPr>
          <w:rFonts w:ascii="Calibri" w:eastAsia="SimSun" w:hAnsi="Calibri" w:cs="Calibri"/>
          <w:kern w:val="3"/>
          <w:lang w:eastAsia="zh-CN" w:bidi="hi-IN"/>
        </w:rPr>
        <w:t>Program Operacyjny Polska Cyfrowa 2014-2020</w:t>
      </w:r>
    </w:p>
    <w:p w:rsidR="00EE0C8C" w:rsidRPr="00EE0C8C" w:rsidRDefault="00EE0C8C" w:rsidP="00EE0C8C">
      <w:pPr>
        <w:widowControl w:val="0"/>
        <w:suppressAutoHyphens/>
        <w:autoSpaceDN w:val="0"/>
        <w:spacing w:after="0" w:line="240" w:lineRule="auto"/>
        <w:textAlignment w:val="baseline"/>
        <w:rPr>
          <w:rFonts w:ascii="Calibri" w:eastAsia="SimSun" w:hAnsi="Calibri" w:cs="Mangal"/>
          <w:kern w:val="3"/>
          <w:lang w:eastAsia="zh-CN" w:bidi="hi-IN"/>
        </w:rPr>
      </w:pPr>
      <w:r w:rsidRPr="00EE0C8C">
        <w:rPr>
          <w:rFonts w:ascii="Calibri" w:eastAsia="SimSun" w:hAnsi="Calibri" w:cs="Calibri"/>
          <w:b/>
          <w:kern w:val="3"/>
          <w:lang w:eastAsia="zh-CN" w:bidi="hi-IN"/>
        </w:rPr>
        <w:t xml:space="preserve">PO PW – </w:t>
      </w:r>
      <w:r w:rsidRPr="00EE0C8C">
        <w:rPr>
          <w:rFonts w:ascii="Calibri" w:eastAsia="SimSun" w:hAnsi="Calibri" w:cs="Calibri"/>
          <w:kern w:val="3"/>
          <w:lang w:eastAsia="zh-CN" w:bidi="hi-IN"/>
        </w:rPr>
        <w:t>Program Operacyjny Polska Wschodnia 2014-2020</w:t>
      </w:r>
    </w:p>
    <w:p w:rsidR="00EE0C8C" w:rsidRPr="00EE0C8C" w:rsidRDefault="00EE0C8C" w:rsidP="00EE0C8C">
      <w:pPr>
        <w:widowControl w:val="0"/>
        <w:suppressAutoHyphens/>
        <w:autoSpaceDN w:val="0"/>
        <w:spacing w:after="0" w:line="240" w:lineRule="auto"/>
        <w:textAlignment w:val="baseline"/>
        <w:rPr>
          <w:rFonts w:ascii="Calibri" w:eastAsia="SimSun" w:hAnsi="Calibri" w:cs="Mangal"/>
          <w:kern w:val="3"/>
          <w:lang w:eastAsia="zh-CN" w:bidi="hi-IN"/>
        </w:rPr>
      </w:pPr>
      <w:r w:rsidRPr="00EE0C8C">
        <w:rPr>
          <w:rFonts w:ascii="Calibri" w:eastAsia="SimSun" w:hAnsi="Calibri" w:cs="Calibri"/>
          <w:b/>
          <w:kern w:val="3"/>
          <w:lang w:eastAsia="zh-CN" w:bidi="hi-IN"/>
        </w:rPr>
        <w:t xml:space="preserve">PW Kreatywna Europa – </w:t>
      </w:r>
      <w:r w:rsidRPr="00EE0C8C">
        <w:rPr>
          <w:rFonts w:ascii="Calibri" w:eastAsia="SimSun" w:hAnsi="Calibri" w:cs="Calibri"/>
          <w:kern w:val="3"/>
          <w:lang w:eastAsia="zh-CN" w:bidi="hi-IN"/>
        </w:rPr>
        <w:t>Program Wspólnotowy Kreatywna Europa 2014-2020</w:t>
      </w:r>
    </w:p>
    <w:p w:rsidR="00EE0C8C" w:rsidRPr="00EE0C8C" w:rsidRDefault="00EE0C8C" w:rsidP="00EE0C8C">
      <w:pPr>
        <w:widowControl w:val="0"/>
        <w:suppressAutoHyphens/>
        <w:autoSpaceDN w:val="0"/>
        <w:spacing w:after="0" w:line="240" w:lineRule="auto"/>
        <w:textAlignment w:val="baseline"/>
        <w:rPr>
          <w:rFonts w:ascii="Calibri" w:eastAsia="SimSun" w:hAnsi="Calibri" w:cs="Mangal"/>
          <w:kern w:val="3"/>
          <w:lang w:eastAsia="zh-CN" w:bidi="hi-IN"/>
        </w:rPr>
      </w:pPr>
      <w:r w:rsidRPr="00EE0C8C">
        <w:rPr>
          <w:rFonts w:ascii="Calibri" w:eastAsia="SimSun" w:hAnsi="Calibri" w:cs="Calibri"/>
          <w:b/>
          <w:kern w:val="3"/>
          <w:lang w:eastAsia="zh-CN" w:bidi="hi-IN"/>
        </w:rPr>
        <w:t xml:space="preserve">PW LIFE + – </w:t>
      </w:r>
      <w:r w:rsidRPr="00EE0C8C">
        <w:rPr>
          <w:rFonts w:ascii="Calibri" w:eastAsia="SimSun" w:hAnsi="Calibri" w:cs="Calibri"/>
          <w:kern w:val="3"/>
          <w:lang w:eastAsia="zh-CN" w:bidi="hi-IN"/>
        </w:rPr>
        <w:t>Program Wspólnotowy LIFE +</w:t>
      </w:r>
    </w:p>
    <w:p w:rsidR="00EE0C8C" w:rsidRPr="00EE0C8C" w:rsidRDefault="00EE0C8C" w:rsidP="00EE0C8C">
      <w:pPr>
        <w:widowControl w:val="0"/>
        <w:suppressAutoHyphens/>
        <w:autoSpaceDN w:val="0"/>
        <w:spacing w:after="0" w:line="240" w:lineRule="auto"/>
        <w:textAlignment w:val="baseline"/>
        <w:rPr>
          <w:rFonts w:ascii="Calibri" w:eastAsia="SimSun" w:hAnsi="Calibri" w:cs="Mangal"/>
          <w:kern w:val="3"/>
          <w:lang w:eastAsia="zh-CN" w:bidi="hi-IN"/>
        </w:rPr>
      </w:pPr>
      <w:r w:rsidRPr="00EE0C8C">
        <w:rPr>
          <w:rFonts w:ascii="Calibri" w:eastAsia="SimSun" w:hAnsi="Calibri" w:cs="Calibri"/>
          <w:b/>
          <w:kern w:val="3"/>
          <w:lang w:eastAsia="zh-CN" w:bidi="hi-IN"/>
        </w:rPr>
        <w:t xml:space="preserve">PO MK i DN – </w:t>
      </w:r>
      <w:r w:rsidRPr="00EE0C8C">
        <w:rPr>
          <w:rFonts w:ascii="Calibri" w:eastAsia="SimSun" w:hAnsi="Calibri" w:cs="Calibri"/>
          <w:kern w:val="3"/>
          <w:lang w:eastAsia="zh-CN" w:bidi="hi-IN"/>
        </w:rPr>
        <w:t>Programy Operacyjne Ministra Kultury i Dziedzictwa Narodowego</w:t>
      </w:r>
      <w:r w:rsidRPr="00EE0C8C">
        <w:rPr>
          <w:rFonts w:ascii="Calibri" w:eastAsia="SimSun" w:hAnsi="Calibri" w:cs="Calibri"/>
          <w:b/>
          <w:kern w:val="3"/>
          <w:lang w:eastAsia="zh-CN" w:bidi="hi-IN"/>
        </w:rPr>
        <w:t xml:space="preserve"> </w:t>
      </w:r>
      <w:r w:rsidRPr="00EE0C8C">
        <w:rPr>
          <w:rFonts w:ascii="Calibri" w:eastAsia="SimSun" w:hAnsi="Calibri" w:cs="Calibri"/>
          <w:kern w:val="3"/>
          <w:lang w:eastAsia="zh-CN" w:bidi="hi-IN"/>
        </w:rPr>
        <w:t>2016-2020</w:t>
      </w:r>
    </w:p>
    <w:p w:rsidR="00EE0C8C" w:rsidRPr="00EE0C8C" w:rsidRDefault="00EE0C8C" w:rsidP="00EE0C8C">
      <w:pPr>
        <w:widowControl w:val="0"/>
        <w:suppressAutoHyphens/>
        <w:autoSpaceDN w:val="0"/>
        <w:spacing w:after="0" w:line="240" w:lineRule="auto"/>
        <w:textAlignment w:val="baseline"/>
        <w:rPr>
          <w:rFonts w:ascii="Calibri" w:eastAsia="SimSun" w:hAnsi="Calibri" w:cs="Mangal"/>
          <w:kern w:val="3"/>
          <w:lang w:eastAsia="zh-CN" w:bidi="hi-IN"/>
        </w:rPr>
      </w:pPr>
      <w:r w:rsidRPr="00EE0C8C">
        <w:rPr>
          <w:rFonts w:ascii="Calibri" w:eastAsia="SimSun" w:hAnsi="Calibri" w:cs="Calibri"/>
          <w:b/>
          <w:kern w:val="3"/>
          <w:lang w:eastAsia="zh-CN" w:bidi="hi-IN"/>
        </w:rPr>
        <w:t xml:space="preserve">FIO – </w:t>
      </w:r>
      <w:r w:rsidRPr="00EE0C8C">
        <w:rPr>
          <w:rFonts w:ascii="Calibri" w:eastAsia="SimSun" w:hAnsi="Calibri" w:cs="Calibri"/>
          <w:kern w:val="3"/>
          <w:lang w:eastAsia="zh-CN" w:bidi="hi-IN"/>
        </w:rPr>
        <w:t>Fundusz Inicjatyw Obywatelskich</w:t>
      </w:r>
    </w:p>
    <w:p w:rsidR="00EE0C8C" w:rsidRPr="00EE0C8C" w:rsidRDefault="00EE0C8C" w:rsidP="00EE0C8C">
      <w:pPr>
        <w:widowControl w:val="0"/>
        <w:suppressAutoHyphens/>
        <w:autoSpaceDN w:val="0"/>
        <w:spacing w:after="0" w:line="240" w:lineRule="auto"/>
        <w:textAlignment w:val="baseline"/>
        <w:rPr>
          <w:rFonts w:ascii="Calibri" w:eastAsia="SimSun" w:hAnsi="Calibri" w:cs="Mangal"/>
          <w:kern w:val="3"/>
          <w:lang w:eastAsia="zh-CN" w:bidi="hi-IN"/>
        </w:rPr>
      </w:pPr>
      <w:r w:rsidRPr="00EE0C8C">
        <w:rPr>
          <w:rFonts w:ascii="Calibri" w:eastAsia="SimSun" w:hAnsi="Calibri" w:cs="Calibri"/>
          <w:b/>
          <w:kern w:val="3"/>
          <w:lang w:eastAsia="zh-CN" w:bidi="hi-IN"/>
        </w:rPr>
        <w:t xml:space="preserve">NFOŚ i GW – </w:t>
      </w:r>
      <w:r w:rsidRPr="00EE0C8C">
        <w:rPr>
          <w:rFonts w:ascii="Calibri" w:eastAsia="SimSun" w:hAnsi="Calibri" w:cs="Calibri"/>
          <w:kern w:val="3"/>
          <w:lang w:eastAsia="zh-CN" w:bidi="hi-IN"/>
        </w:rPr>
        <w:t>Narodowy Fundusz Ochrony Środowiska i Gospodarki Wodnej</w:t>
      </w:r>
    </w:p>
    <w:p w:rsidR="00EE0C8C" w:rsidRPr="00EE0C8C" w:rsidRDefault="00EE0C8C" w:rsidP="00EE0C8C">
      <w:pPr>
        <w:widowControl w:val="0"/>
        <w:suppressAutoHyphens/>
        <w:autoSpaceDN w:val="0"/>
        <w:spacing w:after="0" w:line="240" w:lineRule="auto"/>
        <w:textAlignment w:val="baseline"/>
        <w:rPr>
          <w:rFonts w:ascii="Calibri" w:eastAsia="SimSun" w:hAnsi="Calibri" w:cs="Mangal"/>
          <w:kern w:val="3"/>
          <w:lang w:eastAsia="zh-CN" w:bidi="hi-IN"/>
        </w:rPr>
      </w:pPr>
      <w:r w:rsidRPr="00EE0C8C">
        <w:rPr>
          <w:rFonts w:ascii="Calibri" w:eastAsia="SimSun" w:hAnsi="Calibri" w:cs="Calibri"/>
          <w:b/>
          <w:kern w:val="3"/>
          <w:lang w:eastAsia="zh-CN" w:bidi="hi-IN"/>
        </w:rPr>
        <w:t xml:space="preserve">WFOŚ i GW – </w:t>
      </w:r>
      <w:r w:rsidRPr="00EE0C8C">
        <w:rPr>
          <w:rFonts w:ascii="Calibri" w:eastAsia="SimSun" w:hAnsi="Calibri" w:cs="Calibri"/>
          <w:kern w:val="3"/>
          <w:lang w:eastAsia="zh-CN" w:bidi="hi-IN"/>
        </w:rPr>
        <w:t>Wojewódzki Fundusz Ochrony Środowiska i Gospodarki Wodnej</w:t>
      </w:r>
    </w:p>
    <w:p w:rsidR="00EE0C8C" w:rsidRPr="00EE0C8C" w:rsidRDefault="00EE0C8C" w:rsidP="00EE0C8C">
      <w:pPr>
        <w:widowControl w:val="0"/>
        <w:suppressAutoHyphens/>
        <w:autoSpaceDN w:val="0"/>
        <w:spacing w:after="0" w:line="240" w:lineRule="auto"/>
        <w:textAlignment w:val="baseline"/>
        <w:rPr>
          <w:rFonts w:ascii="Calibri" w:eastAsia="SimSun" w:hAnsi="Calibri" w:cs="Mangal"/>
          <w:kern w:val="3"/>
          <w:lang w:eastAsia="zh-CN" w:bidi="hi-IN"/>
        </w:rPr>
      </w:pPr>
      <w:r w:rsidRPr="00EE0C8C">
        <w:rPr>
          <w:rFonts w:ascii="Calibri" w:eastAsia="SimSun" w:hAnsi="Calibri" w:cs="Calibri"/>
          <w:b/>
          <w:kern w:val="3"/>
          <w:lang w:eastAsia="zh-CN" w:bidi="hi-IN"/>
        </w:rPr>
        <w:t xml:space="preserve">NMF i MF EOG – </w:t>
      </w:r>
      <w:r w:rsidRPr="00EE0C8C">
        <w:rPr>
          <w:rFonts w:ascii="Calibri" w:eastAsia="SimSun" w:hAnsi="Calibri" w:cs="Calibri"/>
          <w:kern w:val="3"/>
          <w:lang w:eastAsia="zh-CN" w:bidi="hi-IN"/>
        </w:rPr>
        <w:t>Norweski Mechanizm Finansowy i Mechanizmy Finansowe Europejskiego Obszaru Gospodarczego 2015-2020</w:t>
      </w:r>
    </w:p>
    <w:p w:rsidR="00EE0C8C" w:rsidRPr="00EE0C8C" w:rsidRDefault="00EE0C8C" w:rsidP="00EE0C8C">
      <w:pPr>
        <w:widowControl w:val="0"/>
        <w:suppressAutoHyphens/>
        <w:autoSpaceDN w:val="0"/>
        <w:spacing w:after="0" w:line="240" w:lineRule="auto"/>
        <w:textAlignment w:val="baseline"/>
        <w:rPr>
          <w:rFonts w:ascii="Calibri" w:eastAsia="SimSun" w:hAnsi="Calibri" w:cs="Mangal"/>
          <w:kern w:val="3"/>
          <w:lang w:eastAsia="zh-CN" w:bidi="hi-IN"/>
        </w:rPr>
      </w:pPr>
      <w:r w:rsidRPr="00EE0C8C">
        <w:rPr>
          <w:rFonts w:ascii="Calibri" w:eastAsia="SimSun" w:hAnsi="Calibri" w:cs="Calibri"/>
          <w:b/>
          <w:kern w:val="3"/>
          <w:lang w:eastAsia="zh-CN" w:bidi="hi-IN"/>
        </w:rPr>
        <w:t xml:space="preserve">SzMF – </w:t>
      </w:r>
      <w:r w:rsidRPr="00EE0C8C">
        <w:rPr>
          <w:rFonts w:ascii="Calibri" w:eastAsia="SimSun" w:hAnsi="Calibri" w:cs="Calibri"/>
          <w:kern w:val="3"/>
          <w:lang w:eastAsia="zh-CN" w:bidi="hi-IN"/>
        </w:rPr>
        <w:t>Szwajcarski Mechanizm Finansowy 2015-2020</w:t>
      </w:r>
    </w:p>
    <w:p w:rsidR="00EE0C8C" w:rsidRPr="00EE0C8C" w:rsidRDefault="00EE0C8C" w:rsidP="00EE0C8C">
      <w:pPr>
        <w:widowControl w:val="0"/>
        <w:suppressAutoHyphens/>
        <w:autoSpaceDN w:val="0"/>
        <w:spacing w:after="0" w:line="240" w:lineRule="auto"/>
        <w:textAlignment w:val="baseline"/>
        <w:rPr>
          <w:rFonts w:ascii="Calibri" w:eastAsia="SimSun" w:hAnsi="Calibri" w:cs="Mangal"/>
          <w:kern w:val="3"/>
          <w:lang w:eastAsia="zh-CN" w:bidi="hi-IN"/>
        </w:rPr>
      </w:pPr>
      <w:r w:rsidRPr="00EE0C8C">
        <w:rPr>
          <w:rFonts w:ascii="Calibri" w:eastAsia="SimSun" w:hAnsi="Calibri" w:cs="Calibri"/>
          <w:b/>
          <w:kern w:val="3"/>
          <w:lang w:eastAsia="zh-CN" w:bidi="hi-IN"/>
        </w:rPr>
        <w:t xml:space="preserve">EBI – </w:t>
      </w:r>
      <w:r w:rsidRPr="00EE0C8C">
        <w:rPr>
          <w:rFonts w:ascii="Calibri" w:eastAsia="SimSun" w:hAnsi="Calibri" w:cs="Calibri"/>
          <w:kern w:val="3"/>
          <w:lang w:eastAsia="zh-CN" w:bidi="hi-IN"/>
        </w:rPr>
        <w:t>Europejski Bank Inwestycyjny</w:t>
      </w:r>
    </w:p>
    <w:p w:rsidR="00EE0C8C" w:rsidRPr="00EE0C8C" w:rsidRDefault="00EE0C8C" w:rsidP="00EE0C8C">
      <w:pPr>
        <w:widowControl w:val="0"/>
        <w:suppressAutoHyphens/>
        <w:autoSpaceDN w:val="0"/>
        <w:spacing w:after="0" w:line="240" w:lineRule="auto"/>
        <w:textAlignment w:val="baseline"/>
        <w:rPr>
          <w:rFonts w:ascii="Calibri" w:eastAsia="SimSun" w:hAnsi="Calibri" w:cs="Mangal"/>
          <w:kern w:val="3"/>
          <w:lang w:eastAsia="zh-CN" w:bidi="hi-IN"/>
        </w:rPr>
      </w:pPr>
      <w:r w:rsidRPr="00EE0C8C">
        <w:rPr>
          <w:rFonts w:ascii="Calibri" w:eastAsia="SimSun" w:hAnsi="Calibri" w:cs="Calibri"/>
          <w:b/>
          <w:kern w:val="3"/>
          <w:lang w:eastAsia="zh-CN" w:bidi="hi-IN"/>
        </w:rPr>
        <w:t xml:space="preserve">BŚ – </w:t>
      </w:r>
      <w:r w:rsidRPr="00EE0C8C">
        <w:rPr>
          <w:rFonts w:ascii="Calibri" w:eastAsia="SimSun" w:hAnsi="Calibri" w:cs="Calibri"/>
          <w:kern w:val="3"/>
          <w:lang w:eastAsia="zh-CN" w:bidi="hi-IN"/>
        </w:rPr>
        <w:t>Bank Światowy</w:t>
      </w:r>
    </w:p>
    <w:p w:rsidR="00EE0C8C" w:rsidRPr="00EE0C8C" w:rsidRDefault="00EE0C8C" w:rsidP="00EE0C8C">
      <w:pPr>
        <w:widowControl w:val="0"/>
        <w:suppressAutoHyphens/>
        <w:autoSpaceDN w:val="0"/>
        <w:spacing w:after="0" w:line="240" w:lineRule="auto"/>
        <w:textAlignment w:val="baseline"/>
        <w:rPr>
          <w:rFonts w:ascii="Calibri" w:eastAsia="SimSun" w:hAnsi="Calibri" w:cs="Mangal"/>
          <w:kern w:val="3"/>
          <w:lang w:eastAsia="zh-CN" w:bidi="hi-IN"/>
        </w:rPr>
      </w:pPr>
      <w:r w:rsidRPr="00EE0C8C">
        <w:rPr>
          <w:rFonts w:ascii="Calibri" w:eastAsia="SimSun" w:hAnsi="Calibri" w:cs="Calibri"/>
          <w:b/>
          <w:kern w:val="3"/>
          <w:lang w:eastAsia="zh-CN" w:bidi="hi-IN"/>
        </w:rPr>
        <w:t xml:space="preserve">BGK – </w:t>
      </w:r>
      <w:r w:rsidRPr="00EE0C8C">
        <w:rPr>
          <w:rFonts w:ascii="Calibri" w:eastAsia="SimSun" w:hAnsi="Calibri" w:cs="Calibri"/>
          <w:kern w:val="3"/>
          <w:lang w:eastAsia="zh-CN" w:bidi="hi-IN"/>
        </w:rPr>
        <w:t>Bank Gospodarstwa Krajowego</w:t>
      </w:r>
    </w:p>
    <w:p w:rsidR="00EE0C8C" w:rsidRPr="00EE0C8C" w:rsidRDefault="00EE0C8C" w:rsidP="00EE0C8C">
      <w:pPr>
        <w:widowControl w:val="0"/>
        <w:suppressAutoHyphens/>
        <w:autoSpaceDN w:val="0"/>
        <w:spacing w:after="0" w:line="240" w:lineRule="auto"/>
        <w:textAlignment w:val="baseline"/>
        <w:rPr>
          <w:rFonts w:ascii="Calibri" w:eastAsia="SimSun" w:hAnsi="Calibri" w:cs="Mangal"/>
          <w:kern w:val="3"/>
          <w:lang w:eastAsia="zh-CN" w:bidi="hi-IN"/>
        </w:rPr>
      </w:pPr>
      <w:r w:rsidRPr="00EE0C8C">
        <w:rPr>
          <w:rFonts w:ascii="Calibri" w:eastAsia="SimSun" w:hAnsi="Calibri" w:cs="Calibri"/>
          <w:b/>
          <w:kern w:val="3"/>
          <w:lang w:eastAsia="zh-CN" w:bidi="hi-IN"/>
        </w:rPr>
        <w:t>PROGRAM COSME</w:t>
      </w:r>
    </w:p>
    <w:p w:rsidR="00EE0C8C" w:rsidRPr="00EE0C8C" w:rsidRDefault="00EE0C8C" w:rsidP="00EE0C8C">
      <w:pPr>
        <w:widowControl w:val="0"/>
        <w:suppressAutoHyphens/>
        <w:autoSpaceDN w:val="0"/>
        <w:spacing w:after="0" w:line="240" w:lineRule="auto"/>
        <w:textAlignment w:val="baseline"/>
        <w:rPr>
          <w:rFonts w:ascii="Calibri" w:eastAsia="SimSun" w:hAnsi="Calibri" w:cs="Mangal"/>
          <w:kern w:val="3"/>
          <w:lang w:eastAsia="zh-CN" w:bidi="hi-IN"/>
        </w:rPr>
      </w:pPr>
      <w:r w:rsidRPr="00EE0C8C">
        <w:rPr>
          <w:rFonts w:ascii="Calibri" w:eastAsia="SimSun" w:hAnsi="Calibri" w:cs="Calibri"/>
          <w:b/>
          <w:kern w:val="3"/>
          <w:lang w:eastAsia="zh-CN" w:bidi="hi-IN"/>
        </w:rPr>
        <w:t>FUNDUSZE WYSZEHRADZKIE</w:t>
      </w:r>
    </w:p>
    <w:p w:rsidR="00EE0C8C" w:rsidRPr="00EE0C8C" w:rsidRDefault="00EE0C8C" w:rsidP="00EE0C8C">
      <w:pPr>
        <w:widowControl w:val="0"/>
        <w:suppressAutoHyphens/>
        <w:autoSpaceDN w:val="0"/>
        <w:spacing w:after="0" w:line="240" w:lineRule="auto"/>
        <w:textAlignment w:val="baseline"/>
        <w:rPr>
          <w:rFonts w:ascii="Calibri" w:eastAsia="SimSun" w:hAnsi="Calibri" w:cs="Mangal"/>
          <w:kern w:val="3"/>
          <w:lang w:eastAsia="zh-CN" w:bidi="hi-IN"/>
        </w:rPr>
      </w:pPr>
      <w:r w:rsidRPr="00EE0C8C">
        <w:rPr>
          <w:rFonts w:ascii="Calibri" w:eastAsia="SimSun" w:hAnsi="Calibri" w:cs="Calibri"/>
          <w:b/>
          <w:kern w:val="3"/>
          <w:lang w:eastAsia="zh-CN" w:bidi="hi-IN"/>
        </w:rPr>
        <w:t>FUNDUSZE BILATERALNE RP</w:t>
      </w:r>
    </w:p>
    <w:p w:rsidR="00EE0C8C" w:rsidRPr="00EE0C8C" w:rsidRDefault="00EE0C8C" w:rsidP="00EE0C8C">
      <w:pPr>
        <w:widowControl w:val="0"/>
        <w:suppressAutoHyphens/>
        <w:autoSpaceDN w:val="0"/>
        <w:spacing w:after="0" w:line="240" w:lineRule="auto"/>
        <w:textAlignment w:val="baseline"/>
        <w:rPr>
          <w:rFonts w:ascii="Calibri" w:eastAsia="SimSun" w:hAnsi="Calibri" w:cs="Mangal"/>
          <w:kern w:val="3"/>
          <w:lang w:eastAsia="zh-CN" w:bidi="hi-IN"/>
        </w:rPr>
      </w:pPr>
      <w:r w:rsidRPr="00EE0C8C">
        <w:rPr>
          <w:rFonts w:ascii="Calibri" w:eastAsia="SimSun" w:hAnsi="Calibri" w:cs="Calibri"/>
          <w:b/>
          <w:kern w:val="3"/>
          <w:lang w:eastAsia="zh-CN" w:bidi="hi-IN"/>
        </w:rPr>
        <w:t>FUNDACJE KRAJOWE I ZAGRANICZNE</w:t>
      </w:r>
    </w:p>
    <w:p w:rsidR="00EE0C8C" w:rsidRPr="00EE0C8C" w:rsidRDefault="00EE0C8C" w:rsidP="00EE0C8C">
      <w:pPr>
        <w:widowControl w:val="0"/>
        <w:suppressAutoHyphens/>
        <w:autoSpaceDN w:val="0"/>
        <w:spacing w:after="0" w:line="240" w:lineRule="auto"/>
        <w:textAlignment w:val="baseline"/>
        <w:rPr>
          <w:rFonts w:ascii="Calibri" w:eastAsia="SimSun" w:hAnsi="Calibri" w:cs="Mangal"/>
          <w:kern w:val="3"/>
          <w:lang w:eastAsia="zh-CN" w:bidi="hi-IN"/>
        </w:rPr>
      </w:pPr>
      <w:r w:rsidRPr="00EE0C8C">
        <w:rPr>
          <w:rFonts w:ascii="Calibri" w:eastAsia="SimSun" w:hAnsi="Calibri" w:cs="Calibri"/>
          <w:b/>
          <w:kern w:val="3"/>
          <w:lang w:eastAsia="zh-CN" w:bidi="hi-IN"/>
        </w:rPr>
        <w:t>FUNDUSZ ROZWOJU INFRASTRUKTURY NA WSI</w:t>
      </w:r>
    </w:p>
    <w:p w:rsidR="00EE0C8C" w:rsidRPr="00EE0C8C" w:rsidRDefault="00EE0C8C" w:rsidP="00EE0C8C">
      <w:pPr>
        <w:widowControl w:val="0"/>
        <w:suppressAutoHyphens/>
        <w:autoSpaceDN w:val="0"/>
        <w:spacing w:after="0" w:line="240" w:lineRule="auto"/>
        <w:textAlignment w:val="baseline"/>
        <w:rPr>
          <w:rFonts w:ascii="Calibri" w:eastAsia="SimSun" w:hAnsi="Calibri" w:cs="Mangal"/>
          <w:kern w:val="3"/>
          <w:lang w:eastAsia="zh-CN" w:bidi="hi-IN"/>
        </w:rPr>
      </w:pPr>
      <w:r w:rsidRPr="00EE0C8C">
        <w:rPr>
          <w:rFonts w:ascii="Calibri" w:eastAsia="SimSun" w:hAnsi="Calibri" w:cs="Calibri"/>
          <w:b/>
          <w:kern w:val="3"/>
          <w:lang w:eastAsia="zh-CN" w:bidi="hi-IN"/>
        </w:rPr>
        <w:t>FUNDACJA ROLNICZA</w:t>
      </w:r>
    </w:p>
    <w:p w:rsidR="00EE0C8C" w:rsidRPr="00EE0C8C" w:rsidRDefault="00EE0C8C" w:rsidP="00EE0C8C">
      <w:pPr>
        <w:widowControl w:val="0"/>
        <w:suppressAutoHyphens/>
        <w:autoSpaceDN w:val="0"/>
        <w:spacing w:after="0" w:line="240" w:lineRule="auto"/>
        <w:textAlignment w:val="baseline"/>
        <w:rPr>
          <w:rFonts w:ascii="Calibri" w:eastAsia="SimSun" w:hAnsi="Calibri" w:cs="Mangal"/>
          <w:kern w:val="3"/>
          <w:lang w:eastAsia="zh-CN" w:bidi="hi-IN"/>
        </w:rPr>
      </w:pPr>
      <w:r w:rsidRPr="00EE0C8C">
        <w:rPr>
          <w:rFonts w:ascii="Calibri" w:eastAsia="SimSun" w:hAnsi="Calibri" w:cs="Calibri"/>
          <w:b/>
          <w:kern w:val="3"/>
          <w:lang w:eastAsia="zh-CN" w:bidi="hi-IN"/>
        </w:rPr>
        <w:t>FUNDACJA NA RZECZ ROZWOJU WSI POLSKIEJ „POLSKA WIEŚ 2000”</w:t>
      </w:r>
    </w:p>
    <w:p w:rsidR="00EE0C8C" w:rsidRPr="00EE0C8C" w:rsidRDefault="00EE0C8C" w:rsidP="00EE0C8C">
      <w:pPr>
        <w:widowControl w:val="0"/>
        <w:suppressAutoHyphens/>
        <w:autoSpaceDN w:val="0"/>
        <w:spacing w:after="0" w:line="240" w:lineRule="auto"/>
        <w:textAlignment w:val="baseline"/>
        <w:rPr>
          <w:rFonts w:ascii="Calibri" w:eastAsia="SimSun" w:hAnsi="Calibri" w:cs="Mangal"/>
          <w:kern w:val="3"/>
          <w:lang w:eastAsia="zh-CN" w:bidi="hi-IN"/>
        </w:rPr>
      </w:pPr>
      <w:r w:rsidRPr="00EE0C8C">
        <w:rPr>
          <w:rFonts w:ascii="Calibri" w:eastAsia="SimSun" w:hAnsi="Calibri" w:cs="Calibri"/>
          <w:b/>
          <w:kern w:val="3"/>
          <w:lang w:eastAsia="zh-CN" w:bidi="hi-IN"/>
        </w:rPr>
        <w:t>AGENCJA ROZWOJU KOMUNALNEGO</w:t>
      </w:r>
    </w:p>
    <w:p w:rsidR="00EE0C8C" w:rsidRPr="00EE0C8C" w:rsidRDefault="00EE0C8C" w:rsidP="00EE0C8C">
      <w:pPr>
        <w:widowControl w:val="0"/>
        <w:suppressAutoHyphens/>
        <w:autoSpaceDN w:val="0"/>
        <w:spacing w:after="0" w:line="240" w:lineRule="auto"/>
        <w:textAlignment w:val="baseline"/>
        <w:rPr>
          <w:rFonts w:ascii="Calibri" w:eastAsia="SimSun" w:hAnsi="Calibri" w:cs="Mangal"/>
          <w:kern w:val="3"/>
          <w:lang w:eastAsia="zh-CN" w:bidi="hi-IN"/>
        </w:rPr>
      </w:pPr>
      <w:r w:rsidRPr="00EE0C8C">
        <w:rPr>
          <w:rFonts w:ascii="Calibri" w:eastAsia="SimSun" w:hAnsi="Calibri" w:cs="Calibri"/>
          <w:b/>
          <w:kern w:val="3"/>
          <w:lang w:eastAsia="zh-CN" w:bidi="hi-IN"/>
        </w:rPr>
        <w:t xml:space="preserve">EMISJA OBLIGACJI SPOŁECZNYCH -  </w:t>
      </w:r>
      <w:r w:rsidRPr="00EE0C8C">
        <w:rPr>
          <w:rFonts w:ascii="Calibri" w:eastAsia="SimSun" w:hAnsi="Calibri" w:cs="Calibri"/>
          <w:b/>
          <w:iCs/>
          <w:kern w:val="3"/>
          <w:lang w:eastAsia="zh-CN" w:bidi="hi-IN"/>
        </w:rPr>
        <w:t>SOCIAL IMPACT BONDS ISSUE</w:t>
      </w:r>
    </w:p>
    <w:p w:rsidR="00EE0C8C" w:rsidRPr="00EE0C8C" w:rsidRDefault="00EE0C8C" w:rsidP="00EE0C8C">
      <w:pPr>
        <w:widowControl w:val="0"/>
        <w:suppressAutoHyphens/>
        <w:autoSpaceDN w:val="0"/>
        <w:spacing w:after="0" w:line="240" w:lineRule="auto"/>
        <w:textAlignment w:val="baseline"/>
        <w:rPr>
          <w:rFonts w:ascii="Calibri" w:eastAsia="SimSun" w:hAnsi="Calibri" w:cs="Mangal"/>
          <w:kern w:val="3"/>
          <w:lang w:eastAsia="zh-CN" w:bidi="hi-IN"/>
        </w:rPr>
      </w:pPr>
      <w:r w:rsidRPr="00EE0C8C">
        <w:rPr>
          <w:rFonts w:ascii="Calibri" w:eastAsia="SimSun" w:hAnsi="Calibri" w:cs="Calibri"/>
          <w:b/>
          <w:iCs/>
          <w:kern w:val="3"/>
          <w:lang w:eastAsia="zh-CN" w:bidi="hi-IN"/>
        </w:rPr>
        <w:t>FINANSOWANIE SPOŁECZNOŚCIOWE - CROWDFUNDING</w:t>
      </w:r>
    </w:p>
    <w:p w:rsidR="00EE0C8C" w:rsidRPr="00EE0C8C" w:rsidRDefault="00EE0C8C" w:rsidP="00EE0C8C">
      <w:pPr>
        <w:widowControl w:val="0"/>
        <w:suppressAutoHyphens/>
        <w:autoSpaceDN w:val="0"/>
        <w:spacing w:after="0" w:line="240" w:lineRule="auto"/>
        <w:textAlignment w:val="baseline"/>
        <w:rPr>
          <w:rFonts w:ascii="Calibri" w:eastAsia="SimSun" w:hAnsi="Calibri" w:cs="Mangal"/>
          <w:kern w:val="3"/>
          <w:lang w:eastAsia="zh-CN" w:bidi="hi-IN"/>
        </w:rPr>
      </w:pPr>
      <w:r w:rsidRPr="00EE0C8C">
        <w:rPr>
          <w:rFonts w:ascii="Calibri" w:eastAsia="SimSun" w:hAnsi="Calibri" w:cs="Mangal"/>
          <w:b/>
          <w:kern w:val="3"/>
          <w:lang w:eastAsia="zh-CN" w:bidi="hi-IN"/>
        </w:rPr>
        <w:t>ŚRODKI Z BUDŻETU WOJEWÓDZTWA ŚWIĘTOKRZYSKIEGO</w:t>
      </w:r>
    </w:p>
    <w:p w:rsidR="00EE0C8C" w:rsidRPr="00EE0C8C" w:rsidRDefault="00EE0C8C" w:rsidP="00EE0C8C">
      <w:pPr>
        <w:widowControl w:val="0"/>
        <w:suppressAutoHyphens/>
        <w:autoSpaceDN w:val="0"/>
        <w:spacing w:after="0" w:line="240" w:lineRule="auto"/>
        <w:textAlignment w:val="baseline"/>
        <w:rPr>
          <w:rFonts w:ascii="Calibri" w:eastAsia="SimSun" w:hAnsi="Calibri" w:cs="Calibri"/>
          <w:b/>
          <w:color w:val="000000"/>
          <w:kern w:val="3"/>
          <w:lang w:eastAsia="zh-CN" w:bidi="hi-IN"/>
        </w:rPr>
      </w:pPr>
      <w:r w:rsidRPr="00EE0C8C">
        <w:rPr>
          <w:rFonts w:ascii="Calibri" w:eastAsia="SimSun" w:hAnsi="Calibri" w:cs="Calibri"/>
          <w:b/>
          <w:color w:val="000000"/>
          <w:kern w:val="3"/>
          <w:lang w:eastAsia="zh-CN" w:bidi="hi-IN"/>
        </w:rPr>
        <w:t>BUDŻET GMINY</w:t>
      </w:r>
    </w:p>
    <w:p w:rsidR="00EE0C8C" w:rsidRPr="00EE0C8C" w:rsidRDefault="00EE0C8C" w:rsidP="00EE0C8C">
      <w:pPr>
        <w:rPr>
          <w:b/>
        </w:rPr>
      </w:pPr>
    </w:p>
    <w:p w:rsidR="00EE0C8C" w:rsidRPr="00EE0C8C" w:rsidRDefault="00EE0C8C" w:rsidP="00EE0C8C">
      <w:pPr>
        <w:rPr>
          <w:rFonts w:ascii="Calibri" w:eastAsia="Times New Roman" w:hAnsi="Calibri" w:cs="Times New Roman"/>
          <w:lang w:eastAsia="pl-PL"/>
        </w:rPr>
      </w:pPr>
    </w:p>
    <w:p w:rsidR="00EE0C8C" w:rsidRPr="00EE0C8C" w:rsidRDefault="00EE0C8C" w:rsidP="00EE0C8C">
      <w:pPr>
        <w:rPr>
          <w:rFonts w:ascii="Calibri" w:eastAsia="Times New Roman" w:hAnsi="Calibri" w:cs="Times New Roman"/>
          <w:lang w:eastAsia="pl-PL"/>
        </w:rPr>
      </w:pPr>
    </w:p>
    <w:p w:rsidR="00EE0C8C" w:rsidRDefault="00EE0C8C" w:rsidP="00A6085B">
      <w:pPr>
        <w:jc w:val="both"/>
        <w:rPr>
          <w:rFonts w:eastAsiaTheme="minorEastAsia"/>
          <w:b/>
          <w:bCs/>
          <w:iCs/>
          <w:color w:val="4F81BD" w:themeColor="accent1"/>
          <w:sz w:val="28"/>
          <w:szCs w:val="28"/>
          <w:lang w:eastAsia="pl-PL"/>
        </w:rPr>
      </w:pPr>
    </w:p>
    <w:p w:rsidR="00EE0C8C" w:rsidRDefault="00EE0C8C" w:rsidP="00EE0C8C">
      <w:pPr>
        <w:rPr>
          <w:lang w:eastAsia="pl-PL"/>
        </w:rPr>
      </w:pPr>
      <w:r>
        <w:rPr>
          <w:lang w:eastAsia="pl-PL"/>
        </w:rPr>
        <w:br w:type="page"/>
      </w:r>
    </w:p>
    <w:p w:rsidR="00EE0C8C" w:rsidRDefault="00EE0C8C" w:rsidP="00A6085B">
      <w:pPr>
        <w:jc w:val="both"/>
        <w:rPr>
          <w:rFonts w:eastAsiaTheme="minorEastAsia"/>
          <w:b/>
          <w:bCs/>
          <w:iCs/>
          <w:color w:val="4F81BD" w:themeColor="accent1"/>
          <w:sz w:val="28"/>
          <w:szCs w:val="28"/>
          <w:lang w:eastAsia="pl-PL"/>
        </w:rPr>
      </w:pPr>
    </w:p>
    <w:p w:rsidR="00EE0C8C" w:rsidRDefault="00EE0C8C" w:rsidP="00EE0C8C">
      <w:pPr>
        <w:rPr>
          <w:lang w:eastAsia="pl-PL"/>
        </w:rPr>
      </w:pPr>
      <w:r>
        <w:rPr>
          <w:lang w:eastAsia="pl-PL"/>
        </w:rPr>
        <w:br w:type="page"/>
      </w:r>
    </w:p>
    <w:p w:rsidR="00EE0C8C" w:rsidRPr="008903A4" w:rsidRDefault="00EE0C8C" w:rsidP="008903A4">
      <w:pPr>
        <w:pStyle w:val="Nagwek2"/>
        <w:rPr>
          <w:rFonts w:eastAsiaTheme="majorEastAsia"/>
          <w:sz w:val="56"/>
          <w:u w:val="single"/>
        </w:rPr>
      </w:pPr>
      <w:bookmarkStart w:id="130" w:name="_Toc450562529"/>
      <w:r w:rsidRPr="008903A4">
        <w:rPr>
          <w:rFonts w:eastAsiaTheme="majorEastAsia"/>
          <w:sz w:val="56"/>
          <w:u w:val="single"/>
        </w:rPr>
        <w:lastRenderedPageBreak/>
        <w:t>ROZDZIAŁ VIII</w:t>
      </w:r>
      <w:bookmarkEnd w:id="130"/>
    </w:p>
    <w:p w:rsidR="00EE0C8C" w:rsidRPr="00EE0C8C" w:rsidRDefault="00EE0C8C" w:rsidP="008903A4">
      <w:pPr>
        <w:pStyle w:val="Nagwek2"/>
        <w:jc w:val="both"/>
      </w:pPr>
      <w:bookmarkStart w:id="131" w:name="_Toc450562530"/>
      <w:r w:rsidRPr="00EE0C8C">
        <w:t>MECHANIZMY WŁĄCZENIA MIESZKAŃCÓW, PRZEDSIĘBIORCÓW I INNYCH PODMIOTÓW I GRUP AKTYWNYCH NA TERENIE GMINY W PROCES REWITALIZACJI</w:t>
      </w:r>
      <w:bookmarkEnd w:id="131"/>
    </w:p>
    <w:p w:rsidR="00EE0C8C" w:rsidRPr="00EE0C8C" w:rsidRDefault="00EE0C8C" w:rsidP="00EE0C8C">
      <w:pPr>
        <w:widowControl w:val="0"/>
        <w:suppressAutoHyphens/>
        <w:autoSpaceDN w:val="0"/>
        <w:spacing w:after="0" w:line="240" w:lineRule="auto"/>
        <w:textAlignment w:val="baseline"/>
        <w:rPr>
          <w:rFonts w:ascii="Calibri" w:eastAsia="SimSun" w:hAnsi="Calibri" w:cs="Mangal"/>
          <w:color w:val="000000"/>
          <w:kern w:val="3"/>
          <w:lang w:eastAsia="zh-CN" w:bidi="hi-IN"/>
        </w:rPr>
      </w:pPr>
    </w:p>
    <w:p w:rsidR="00EE0C8C" w:rsidRPr="00EE0C8C" w:rsidRDefault="00EE0C8C" w:rsidP="00EE0C8C">
      <w:pPr>
        <w:widowControl w:val="0"/>
        <w:suppressAutoHyphens/>
        <w:autoSpaceDN w:val="0"/>
        <w:spacing w:after="0" w:line="240" w:lineRule="auto"/>
        <w:jc w:val="both"/>
        <w:textAlignment w:val="baseline"/>
        <w:rPr>
          <w:rFonts w:ascii="Calibri" w:eastAsia="SimSun" w:hAnsi="Calibri" w:cs="Mangal"/>
          <w:kern w:val="3"/>
          <w:lang w:eastAsia="zh-CN" w:bidi="hi-IN"/>
        </w:rPr>
      </w:pPr>
      <w:r w:rsidRPr="00EE0C8C">
        <w:rPr>
          <w:rFonts w:ascii="Calibri" w:eastAsia="SimSun" w:hAnsi="Calibri" w:cs="Mangal"/>
          <w:kern w:val="3"/>
          <w:lang w:eastAsia="zh-CN" w:bidi="hi-IN"/>
        </w:rPr>
        <w:t xml:space="preserve">Gminny Program </w:t>
      </w:r>
      <w:r w:rsidR="006A3D8D">
        <w:rPr>
          <w:rFonts w:ascii="Calibri" w:eastAsia="SimSun" w:hAnsi="Calibri" w:cs="Mangal"/>
          <w:kern w:val="3"/>
          <w:lang w:eastAsia="zh-CN" w:bidi="hi-IN"/>
        </w:rPr>
        <w:t>r</w:t>
      </w:r>
      <w:r w:rsidRPr="00EE0C8C">
        <w:rPr>
          <w:rFonts w:ascii="Calibri" w:eastAsia="SimSun" w:hAnsi="Calibri" w:cs="Mangal"/>
          <w:kern w:val="3"/>
          <w:lang w:eastAsia="zh-CN" w:bidi="hi-IN"/>
        </w:rPr>
        <w:t>ewitalizacji</w:t>
      </w:r>
      <w:r w:rsidR="006A3D8D">
        <w:rPr>
          <w:rFonts w:ascii="Calibri" w:eastAsia="SimSun" w:hAnsi="Calibri" w:cs="Mangal"/>
          <w:kern w:val="3"/>
          <w:lang w:eastAsia="zh-CN" w:bidi="hi-IN"/>
        </w:rPr>
        <w:t xml:space="preserve"> (GPR)</w:t>
      </w:r>
      <w:r w:rsidRPr="00EE0C8C">
        <w:rPr>
          <w:rFonts w:ascii="Calibri" w:eastAsia="SimSun" w:hAnsi="Calibri" w:cs="Mangal"/>
          <w:kern w:val="3"/>
          <w:lang w:eastAsia="zh-CN" w:bidi="hi-IN"/>
        </w:rPr>
        <w:t xml:space="preserve"> jest dokumentem o charakterze strategicznym, którego skutki wdrożenia obejmują praktycznie wszystkie podmioty zlokalizowane na obszarze rewitalizowanym. Powoduje to konieczność zaangażowania do prac w przygotowaniu i wdrażaniu szerokiego spektrum przedstawicieli sektora samorządowego, pozarządowego i biznesowego.</w:t>
      </w:r>
    </w:p>
    <w:p w:rsidR="00EE0C8C" w:rsidRPr="00EE0C8C" w:rsidRDefault="00EE0C8C" w:rsidP="00EE0C8C">
      <w:pPr>
        <w:widowControl w:val="0"/>
        <w:suppressAutoHyphens/>
        <w:autoSpaceDN w:val="0"/>
        <w:spacing w:after="0" w:line="240" w:lineRule="auto"/>
        <w:jc w:val="both"/>
        <w:textAlignment w:val="baseline"/>
        <w:rPr>
          <w:rFonts w:ascii="Calibri" w:eastAsia="SimSun" w:hAnsi="Calibri" w:cs="Mangal"/>
          <w:kern w:val="3"/>
          <w:lang w:eastAsia="zh-CN" w:bidi="hi-IN"/>
        </w:rPr>
      </w:pPr>
    </w:p>
    <w:p w:rsidR="00EE0C8C" w:rsidRPr="00EE0C8C" w:rsidRDefault="00EE0C8C" w:rsidP="00EE0C8C">
      <w:pPr>
        <w:widowControl w:val="0"/>
        <w:suppressAutoHyphens/>
        <w:autoSpaceDN w:val="0"/>
        <w:spacing w:after="0" w:line="240" w:lineRule="auto"/>
        <w:jc w:val="both"/>
        <w:textAlignment w:val="baseline"/>
        <w:rPr>
          <w:rFonts w:ascii="Calibri" w:eastAsia="SimSun" w:hAnsi="Calibri" w:cs="Mangal"/>
          <w:kern w:val="3"/>
          <w:lang w:eastAsia="zh-CN" w:bidi="hi-IN"/>
        </w:rPr>
      </w:pPr>
      <w:r w:rsidRPr="00EE0C8C">
        <w:rPr>
          <w:rFonts w:ascii="Calibri" w:eastAsia="SimSun" w:hAnsi="Calibri" w:cs="Mangal"/>
          <w:kern w:val="3"/>
          <w:lang w:eastAsia="zh-CN" w:bidi="hi-IN"/>
        </w:rPr>
        <w:t>W celu zaangażowania w planowanie i realizację jak największej grupy mieszkańców reprezentujących sektor biznesu, samorządu i NGO (non goverment organizations – organizacje pozarządowe: fundacje, stowarzyszenia, spółdzielnie socjalne, zakłady aktywności zawodowej, spółki non profit) zakłada się ustalenie stałego systemu komunik</w:t>
      </w:r>
      <w:r w:rsidR="00A25D60">
        <w:rPr>
          <w:rFonts w:ascii="Calibri" w:eastAsia="SimSun" w:hAnsi="Calibri" w:cs="Mangal"/>
          <w:kern w:val="3"/>
          <w:lang w:eastAsia="zh-CN" w:bidi="hi-IN"/>
        </w:rPr>
        <w:t xml:space="preserve">acji Zespołu ds. Rewitalizacji </w:t>
      </w:r>
      <w:r w:rsidRPr="00EE0C8C">
        <w:rPr>
          <w:rFonts w:ascii="Calibri" w:eastAsia="SimSun" w:hAnsi="Calibri" w:cs="Mangal"/>
          <w:kern w:val="3"/>
          <w:lang w:eastAsia="zh-CN" w:bidi="hi-IN"/>
        </w:rPr>
        <w:t xml:space="preserve">z mieszkańcami. W ramach promocji </w:t>
      </w:r>
      <w:r w:rsidR="00A25D60">
        <w:rPr>
          <w:rFonts w:ascii="Calibri" w:eastAsia="SimSun" w:hAnsi="Calibri" w:cs="Mangal"/>
          <w:kern w:val="3"/>
          <w:lang w:eastAsia="zh-CN" w:bidi="hi-IN"/>
        </w:rPr>
        <w:t>Gminnego</w:t>
      </w:r>
      <w:r w:rsidRPr="00EE0C8C">
        <w:rPr>
          <w:rFonts w:ascii="Calibri" w:eastAsia="SimSun" w:hAnsi="Calibri" w:cs="Mangal"/>
          <w:kern w:val="3"/>
          <w:lang w:eastAsia="zh-CN" w:bidi="hi-IN"/>
        </w:rPr>
        <w:t xml:space="preserve"> Programu </w:t>
      </w:r>
      <w:r w:rsidR="003E259E">
        <w:rPr>
          <w:rFonts w:ascii="Calibri" w:eastAsia="SimSun" w:hAnsi="Calibri" w:cs="Mangal"/>
          <w:kern w:val="3"/>
          <w:lang w:eastAsia="zh-CN" w:bidi="hi-IN"/>
        </w:rPr>
        <w:t>r</w:t>
      </w:r>
      <w:r w:rsidR="00A25D60">
        <w:rPr>
          <w:rFonts w:ascii="Calibri" w:eastAsia="SimSun" w:hAnsi="Calibri" w:cs="Mangal"/>
          <w:kern w:val="3"/>
          <w:lang w:eastAsia="zh-CN" w:bidi="hi-IN"/>
        </w:rPr>
        <w:t>ewitalizacji</w:t>
      </w:r>
      <w:r w:rsidR="006A3D8D">
        <w:rPr>
          <w:rFonts w:ascii="Calibri" w:eastAsia="SimSun" w:hAnsi="Calibri" w:cs="Mangal"/>
          <w:kern w:val="3"/>
          <w:lang w:eastAsia="zh-CN" w:bidi="hi-IN"/>
        </w:rPr>
        <w:t xml:space="preserve"> (GPR)</w:t>
      </w:r>
      <w:r w:rsidR="00A25D60">
        <w:rPr>
          <w:rFonts w:ascii="Calibri" w:eastAsia="SimSun" w:hAnsi="Calibri" w:cs="Mangal"/>
          <w:kern w:val="3"/>
          <w:lang w:eastAsia="zh-CN" w:bidi="hi-IN"/>
        </w:rPr>
        <w:t xml:space="preserve"> podejmowane będą </w:t>
      </w:r>
      <w:r w:rsidRPr="00EE0C8C">
        <w:rPr>
          <w:rFonts w:ascii="Calibri" w:eastAsia="SimSun" w:hAnsi="Calibri" w:cs="Mangal"/>
          <w:kern w:val="3"/>
          <w:lang w:eastAsia="zh-CN" w:bidi="hi-IN"/>
        </w:rPr>
        <w:t>w szczególności takie działania jak:</w:t>
      </w:r>
    </w:p>
    <w:p w:rsidR="00EE0C8C" w:rsidRPr="00EE0C8C" w:rsidRDefault="00EE0C8C" w:rsidP="00EE0C8C">
      <w:pPr>
        <w:widowControl w:val="0"/>
        <w:suppressAutoHyphens/>
        <w:autoSpaceDN w:val="0"/>
        <w:spacing w:after="0" w:line="240" w:lineRule="auto"/>
        <w:jc w:val="both"/>
        <w:textAlignment w:val="baseline"/>
        <w:rPr>
          <w:rFonts w:ascii="Calibri" w:eastAsia="SimSun" w:hAnsi="Calibri" w:cs="Mangal"/>
          <w:kern w:val="3"/>
          <w:lang w:eastAsia="zh-CN" w:bidi="hi-IN"/>
        </w:rPr>
      </w:pPr>
      <w:r w:rsidRPr="00EE0C8C">
        <w:rPr>
          <w:rFonts w:ascii="Calibri" w:eastAsia="SimSun" w:hAnsi="Calibri" w:cs="Mangal"/>
          <w:kern w:val="3"/>
          <w:lang w:eastAsia="zh-CN" w:bidi="hi-IN"/>
        </w:rPr>
        <w:t>1. Umieszczenie na stronie internetowej Urzędu Gminy w Mircu informacji o postępach we wdrażaniu GPR,,</w:t>
      </w:r>
    </w:p>
    <w:p w:rsidR="00EE0C8C" w:rsidRPr="00EE0C8C" w:rsidRDefault="00EE0C8C" w:rsidP="00EE0C8C">
      <w:pPr>
        <w:widowControl w:val="0"/>
        <w:suppressAutoHyphens/>
        <w:autoSpaceDN w:val="0"/>
        <w:spacing w:after="0" w:line="240" w:lineRule="auto"/>
        <w:jc w:val="both"/>
        <w:textAlignment w:val="baseline"/>
        <w:rPr>
          <w:rFonts w:ascii="Calibri" w:eastAsia="SimSun" w:hAnsi="Calibri" w:cs="Mangal"/>
          <w:kern w:val="3"/>
          <w:lang w:eastAsia="zh-CN" w:bidi="hi-IN"/>
        </w:rPr>
      </w:pPr>
      <w:r w:rsidRPr="00EE0C8C">
        <w:rPr>
          <w:rFonts w:ascii="Calibri" w:eastAsia="SimSun" w:hAnsi="Calibri" w:cs="Mangal"/>
          <w:kern w:val="3"/>
          <w:lang w:eastAsia="zh-CN" w:bidi="hi-IN"/>
        </w:rPr>
        <w:t>2. Umieszczanie informacji na tablicach ogłoszeń w miejscach publicznie dostępnych,</w:t>
      </w:r>
    </w:p>
    <w:p w:rsidR="00EE0C8C" w:rsidRPr="00EE0C8C" w:rsidRDefault="00EE0C8C" w:rsidP="00EE0C8C">
      <w:pPr>
        <w:widowControl w:val="0"/>
        <w:suppressAutoHyphens/>
        <w:autoSpaceDN w:val="0"/>
        <w:spacing w:after="0" w:line="240" w:lineRule="auto"/>
        <w:jc w:val="both"/>
        <w:textAlignment w:val="baseline"/>
        <w:rPr>
          <w:rFonts w:ascii="Calibri" w:eastAsia="SimSun" w:hAnsi="Calibri" w:cs="Mangal"/>
          <w:kern w:val="3"/>
          <w:lang w:eastAsia="zh-CN" w:bidi="hi-IN"/>
        </w:rPr>
      </w:pPr>
      <w:r w:rsidRPr="00EE0C8C">
        <w:rPr>
          <w:rFonts w:ascii="Calibri" w:eastAsia="SimSun" w:hAnsi="Calibri" w:cs="Mangal"/>
          <w:kern w:val="3"/>
          <w:lang w:eastAsia="zh-CN" w:bidi="hi-IN"/>
        </w:rPr>
        <w:t>3. Bieżące informowanie przez Wójta  Gminy Mirzec oraz przedstawicieli sołectw na terenie Gminy,</w:t>
      </w:r>
    </w:p>
    <w:p w:rsidR="00EE0C8C" w:rsidRPr="00EE0C8C" w:rsidRDefault="00EE0C8C" w:rsidP="00EE0C8C">
      <w:pPr>
        <w:widowControl w:val="0"/>
        <w:suppressAutoHyphens/>
        <w:autoSpaceDN w:val="0"/>
        <w:spacing w:after="0" w:line="240" w:lineRule="auto"/>
        <w:jc w:val="both"/>
        <w:textAlignment w:val="baseline"/>
        <w:rPr>
          <w:rFonts w:ascii="Calibri" w:eastAsia="SimSun" w:hAnsi="Calibri" w:cs="Mangal"/>
          <w:kern w:val="3"/>
          <w:lang w:eastAsia="zh-CN" w:bidi="hi-IN"/>
        </w:rPr>
      </w:pPr>
      <w:r w:rsidRPr="00EE0C8C">
        <w:rPr>
          <w:rFonts w:ascii="Calibri" w:eastAsia="SimSun" w:hAnsi="Calibri" w:cs="Mangal"/>
          <w:kern w:val="3"/>
          <w:lang w:eastAsia="zh-CN" w:bidi="hi-IN"/>
        </w:rPr>
        <w:t>4. Publikowanie informacji w mediach społecznościowych</w:t>
      </w:r>
      <w:r w:rsidR="00C255D3">
        <w:rPr>
          <w:rFonts w:ascii="Calibri" w:eastAsia="SimSun" w:hAnsi="Calibri" w:cs="Mangal"/>
          <w:kern w:val="3"/>
          <w:lang w:eastAsia="zh-CN" w:bidi="hi-IN"/>
        </w:rPr>
        <w:t>,</w:t>
      </w:r>
      <w:r w:rsidRPr="00EE0C8C">
        <w:rPr>
          <w:rFonts w:ascii="Calibri" w:eastAsia="SimSun" w:hAnsi="Calibri" w:cs="Mangal"/>
          <w:kern w:val="3"/>
          <w:lang w:eastAsia="zh-CN" w:bidi="hi-IN"/>
        </w:rPr>
        <w:t xml:space="preserve"> stanowiących aktualnie najtańszy sposób dotarcia do grup docelowych, w szczególności osób w wieku do 25 lat,</w:t>
      </w:r>
    </w:p>
    <w:p w:rsidR="00EE0C8C" w:rsidRPr="00EE0C8C" w:rsidRDefault="00EE0C8C" w:rsidP="00EE0C8C">
      <w:pPr>
        <w:widowControl w:val="0"/>
        <w:suppressAutoHyphens/>
        <w:autoSpaceDN w:val="0"/>
        <w:spacing w:after="0" w:line="240" w:lineRule="auto"/>
        <w:jc w:val="both"/>
        <w:textAlignment w:val="baseline"/>
        <w:rPr>
          <w:rFonts w:ascii="Calibri" w:eastAsia="SimSun" w:hAnsi="Calibri" w:cs="Mangal"/>
          <w:kern w:val="3"/>
          <w:lang w:eastAsia="zh-CN" w:bidi="hi-IN"/>
        </w:rPr>
      </w:pPr>
      <w:r w:rsidRPr="00EE0C8C">
        <w:rPr>
          <w:rFonts w:ascii="Calibri" w:eastAsia="SimSun" w:hAnsi="Calibri" w:cs="Mangal"/>
          <w:kern w:val="3"/>
          <w:lang w:eastAsia="zh-CN" w:bidi="hi-IN"/>
        </w:rPr>
        <w:t>5. Organizacja spotkań bezpośrednich z potencjalnymi partnerami społeczno-gospodarczymi,</w:t>
      </w:r>
    </w:p>
    <w:p w:rsidR="00EE0C8C" w:rsidRPr="00EE0C8C" w:rsidRDefault="00EE0C8C" w:rsidP="00EE0C8C">
      <w:pPr>
        <w:widowControl w:val="0"/>
        <w:suppressAutoHyphens/>
        <w:autoSpaceDN w:val="0"/>
        <w:spacing w:after="0" w:line="240" w:lineRule="auto"/>
        <w:jc w:val="both"/>
        <w:textAlignment w:val="baseline"/>
        <w:rPr>
          <w:rFonts w:ascii="Calibri" w:eastAsia="SimSun" w:hAnsi="Calibri" w:cs="Mangal"/>
          <w:kern w:val="3"/>
          <w:lang w:eastAsia="zh-CN" w:bidi="hi-IN"/>
        </w:rPr>
      </w:pPr>
      <w:r w:rsidRPr="00EE0C8C">
        <w:rPr>
          <w:rFonts w:ascii="Calibri" w:eastAsia="SimSun" w:hAnsi="Calibri" w:cs="Mangal"/>
          <w:kern w:val="3"/>
          <w:lang w:eastAsia="zh-CN" w:bidi="hi-IN"/>
        </w:rPr>
        <w:t>6. Umieszczenie tablic reklamowych w miejscach realizacji inwestycji infrastrukturalnych, informujących o zakresie realizowanych projektów,</w:t>
      </w:r>
    </w:p>
    <w:p w:rsidR="00EE0C8C" w:rsidRPr="00EE0C8C" w:rsidRDefault="00EE0C8C" w:rsidP="00EE0C8C">
      <w:pPr>
        <w:widowControl w:val="0"/>
        <w:suppressAutoHyphens/>
        <w:autoSpaceDN w:val="0"/>
        <w:spacing w:after="0" w:line="240" w:lineRule="auto"/>
        <w:jc w:val="both"/>
        <w:textAlignment w:val="baseline"/>
        <w:rPr>
          <w:rFonts w:ascii="Calibri" w:eastAsia="SimSun" w:hAnsi="Calibri" w:cs="Mangal"/>
          <w:kern w:val="3"/>
          <w:lang w:eastAsia="zh-CN" w:bidi="hi-IN"/>
        </w:rPr>
      </w:pPr>
      <w:r w:rsidRPr="00EE0C8C">
        <w:rPr>
          <w:rFonts w:ascii="Calibri" w:eastAsia="SimSun" w:hAnsi="Calibri" w:cs="Mangal"/>
          <w:kern w:val="3"/>
          <w:lang w:eastAsia="zh-CN" w:bidi="hi-IN"/>
        </w:rPr>
        <w:t>7. Umieszczenie stałej tablicy pamiątkowej w miejscach powszechnie dostępnych, celem pozostawienia trwałej informacji o ewentualnym wsparciu inwestycji ze środków unijnych,</w:t>
      </w:r>
    </w:p>
    <w:p w:rsidR="00EE0C8C" w:rsidRPr="00EE0C8C" w:rsidRDefault="00EE0C8C" w:rsidP="00EE0C8C">
      <w:pPr>
        <w:widowControl w:val="0"/>
        <w:suppressAutoHyphens/>
        <w:autoSpaceDN w:val="0"/>
        <w:spacing w:after="0" w:line="240" w:lineRule="auto"/>
        <w:jc w:val="both"/>
        <w:textAlignment w:val="baseline"/>
        <w:rPr>
          <w:rFonts w:ascii="Calibri" w:eastAsia="SimSun" w:hAnsi="Calibri" w:cs="Mangal"/>
          <w:kern w:val="3"/>
          <w:lang w:eastAsia="zh-CN" w:bidi="hi-IN"/>
        </w:rPr>
      </w:pPr>
      <w:r w:rsidRPr="00EE0C8C">
        <w:rPr>
          <w:rFonts w:ascii="Calibri" w:eastAsia="SimSun" w:hAnsi="Calibri" w:cs="Mangal"/>
          <w:kern w:val="3"/>
          <w:lang w:eastAsia="zh-CN" w:bidi="hi-IN"/>
        </w:rPr>
        <w:t>8. Publikacje w prasie, informacje w radiu i telewizji,</w:t>
      </w:r>
    </w:p>
    <w:p w:rsidR="00EE0C8C" w:rsidRPr="00EE0C8C" w:rsidRDefault="00EE0C8C" w:rsidP="00EE0C8C">
      <w:pPr>
        <w:widowControl w:val="0"/>
        <w:suppressAutoHyphens/>
        <w:autoSpaceDN w:val="0"/>
        <w:spacing w:after="0" w:line="240" w:lineRule="auto"/>
        <w:jc w:val="both"/>
        <w:textAlignment w:val="baseline"/>
        <w:rPr>
          <w:rFonts w:ascii="Calibri" w:eastAsia="SimSun" w:hAnsi="Calibri" w:cs="Mangal"/>
          <w:color w:val="000000"/>
          <w:kern w:val="3"/>
          <w:lang w:eastAsia="zh-CN" w:bidi="hi-IN"/>
        </w:rPr>
      </w:pPr>
      <w:r w:rsidRPr="00EE0C8C">
        <w:rPr>
          <w:rFonts w:ascii="Calibri" w:eastAsia="SimSun" w:hAnsi="Calibri" w:cs="Mangal"/>
          <w:color w:val="000000"/>
          <w:kern w:val="3"/>
          <w:lang w:eastAsia="zh-CN" w:bidi="hi-IN"/>
        </w:rPr>
        <w:t>9. Prowadzenie akcji mailingowej w oparciu o istniejąca bazę teleadresową Urzędu Gminy w Mircu.</w:t>
      </w:r>
    </w:p>
    <w:p w:rsidR="00EE0C8C" w:rsidRPr="00EE0C8C" w:rsidRDefault="00EE0C8C" w:rsidP="00EE0C8C">
      <w:pPr>
        <w:widowControl w:val="0"/>
        <w:suppressAutoHyphens/>
        <w:autoSpaceDN w:val="0"/>
        <w:spacing w:after="0" w:line="240" w:lineRule="auto"/>
        <w:jc w:val="both"/>
        <w:textAlignment w:val="baseline"/>
        <w:rPr>
          <w:rFonts w:ascii="Calibri" w:eastAsia="SimSun" w:hAnsi="Calibri" w:cs="Mangal"/>
          <w:color w:val="000000"/>
          <w:kern w:val="3"/>
          <w:lang w:eastAsia="zh-CN" w:bidi="hi-IN"/>
        </w:rPr>
      </w:pPr>
    </w:p>
    <w:p w:rsidR="00EE0C8C" w:rsidRPr="00EE0C8C" w:rsidRDefault="008903A4" w:rsidP="008903A4">
      <w:pPr>
        <w:pStyle w:val="Nagwek2"/>
        <w:rPr>
          <w:rFonts w:eastAsia="SimSun"/>
          <w:lang w:eastAsia="zh-CN" w:bidi="hi-IN"/>
        </w:rPr>
      </w:pPr>
      <w:bookmarkStart w:id="132" w:name="_Toc439157987"/>
      <w:bookmarkStart w:id="133" w:name="_Toc450562531"/>
      <w:r w:rsidRPr="00EE0C8C">
        <w:rPr>
          <w:rFonts w:eastAsia="SimSun"/>
          <w:lang w:eastAsia="zh-CN" w:bidi="hi-IN"/>
        </w:rPr>
        <w:t>8.1. PODSUMOWANIE KONSULTACJI SPOŁECZNYCH.</w:t>
      </w:r>
      <w:bookmarkEnd w:id="132"/>
      <w:bookmarkEnd w:id="133"/>
    </w:p>
    <w:p w:rsidR="00EE0C8C" w:rsidRPr="00EE0C8C" w:rsidRDefault="00EE0C8C" w:rsidP="00EE0C8C">
      <w:pPr>
        <w:widowControl w:val="0"/>
        <w:suppressAutoHyphens/>
        <w:autoSpaceDN w:val="0"/>
        <w:spacing w:after="0" w:line="240" w:lineRule="auto"/>
        <w:jc w:val="both"/>
        <w:textAlignment w:val="baseline"/>
        <w:rPr>
          <w:rFonts w:ascii="Calibri" w:eastAsia="SimSun" w:hAnsi="Calibri" w:cs="Mangal"/>
          <w:color w:val="000000"/>
          <w:kern w:val="3"/>
          <w:lang w:eastAsia="zh-CN" w:bidi="hi-IN"/>
        </w:rPr>
      </w:pPr>
    </w:p>
    <w:p w:rsidR="00EF4EF2" w:rsidRDefault="00A17B6E" w:rsidP="00A17B6E">
      <w:pPr>
        <w:jc w:val="both"/>
        <w:rPr>
          <w:rFonts w:ascii="Calibri" w:eastAsia="SimSun" w:hAnsi="Calibri" w:cs="Mangal"/>
          <w:color w:val="000000"/>
          <w:kern w:val="3"/>
          <w:lang w:eastAsia="zh-CN" w:bidi="hi-IN"/>
        </w:rPr>
      </w:pPr>
      <w:r>
        <w:rPr>
          <w:rFonts w:ascii="Calibri" w:eastAsia="SimSun" w:hAnsi="Calibri" w:cs="Mangal"/>
          <w:color w:val="000000"/>
          <w:kern w:val="3"/>
          <w:lang w:eastAsia="zh-CN" w:bidi="hi-IN"/>
        </w:rPr>
        <w:t xml:space="preserve">Gminny Program </w:t>
      </w:r>
      <w:r w:rsidR="006A3D8D">
        <w:rPr>
          <w:rFonts w:ascii="Calibri" w:eastAsia="SimSun" w:hAnsi="Calibri" w:cs="Mangal"/>
          <w:color w:val="000000"/>
          <w:kern w:val="3"/>
          <w:lang w:eastAsia="zh-CN" w:bidi="hi-IN"/>
        </w:rPr>
        <w:t>r</w:t>
      </w:r>
      <w:r>
        <w:rPr>
          <w:rFonts w:ascii="Calibri" w:eastAsia="SimSun" w:hAnsi="Calibri" w:cs="Mangal"/>
          <w:color w:val="000000"/>
          <w:kern w:val="3"/>
          <w:lang w:eastAsia="zh-CN" w:bidi="hi-IN"/>
        </w:rPr>
        <w:t xml:space="preserve">ewitalizacji był opracowany metodą transparentności i pomocniczości, gdzie na poziomie merytorycznym istotną rolę odegrał zespół zadaniowy ds. rewitalizacji. Natomiast </w:t>
      </w:r>
      <w:r>
        <w:rPr>
          <w:rFonts w:ascii="Calibri" w:eastAsia="SimSun" w:hAnsi="Calibri" w:cs="Mangal"/>
          <w:color w:val="000000"/>
          <w:kern w:val="3"/>
          <w:lang w:eastAsia="zh-CN" w:bidi="hi-IN"/>
        </w:rPr>
        <w:br/>
        <w:t xml:space="preserve">w przypadku partycypacji społecznej zaangażowanie mieszkańców Gminy Mirzec, a także radnych, sołtysów, lokalnych przedsiębiorców, przedstawicieli organizacji pozarządowych oraz działaczy kultury i liderów opinii publicznej – miało wpływ na skuteczność uczestnictwa interesariuszy w procesie rewitalizacji. </w:t>
      </w:r>
    </w:p>
    <w:p w:rsidR="00EF4EF2" w:rsidRPr="00EF4EF2" w:rsidRDefault="00EF4EF2" w:rsidP="00234BBD">
      <w:pPr>
        <w:pStyle w:val="Akapitzlist"/>
        <w:numPr>
          <w:ilvl w:val="0"/>
          <w:numId w:val="52"/>
        </w:numPr>
        <w:jc w:val="both"/>
        <w:rPr>
          <w:rFonts w:ascii="Calibri" w:eastAsia="SimSun" w:hAnsi="Calibri" w:cs="Mangal"/>
          <w:color w:val="000000"/>
          <w:kern w:val="3"/>
          <w:u w:val="single"/>
          <w:lang w:eastAsia="zh-CN" w:bidi="hi-IN"/>
        </w:rPr>
      </w:pPr>
      <w:r w:rsidRPr="00EF4EF2">
        <w:rPr>
          <w:rFonts w:ascii="Calibri" w:eastAsia="SimSun" w:hAnsi="Calibri" w:cs="Mangal"/>
          <w:color w:val="000000"/>
          <w:kern w:val="3"/>
          <w:u w:val="single"/>
          <w:lang w:eastAsia="zh-CN" w:bidi="hi-IN"/>
        </w:rPr>
        <w:t>Poziom merytoryczny procesu rewitalizacji:</w:t>
      </w:r>
    </w:p>
    <w:p w:rsidR="00EF4EF2" w:rsidRDefault="00EF4EF2" w:rsidP="00A17B6E">
      <w:pPr>
        <w:jc w:val="both"/>
        <w:rPr>
          <w:lang w:eastAsia="zh-CN" w:bidi="hi-IN"/>
        </w:rPr>
      </w:pPr>
      <w:r>
        <w:rPr>
          <w:lang w:eastAsia="zh-CN" w:bidi="hi-IN"/>
        </w:rPr>
        <w:t>- Uchwała nr VII/31/2015 Rady Gminy w Mircu z dnia 27 marca 2015 roku w sprawie przystąpienia do II etapu procesu rewitalizacji centrum Mirca i opracowania Lokalnego Programu Rewitalizacji miejscowości Mirzec na lata 2015-2020,</w:t>
      </w:r>
    </w:p>
    <w:p w:rsidR="00EF4EF2" w:rsidRDefault="00EF4EF2" w:rsidP="00A17B6E">
      <w:pPr>
        <w:jc w:val="both"/>
        <w:rPr>
          <w:lang w:eastAsia="zh-CN" w:bidi="hi-IN"/>
        </w:rPr>
      </w:pPr>
      <w:r>
        <w:rPr>
          <w:lang w:eastAsia="zh-CN" w:bidi="hi-IN"/>
        </w:rPr>
        <w:lastRenderedPageBreak/>
        <w:t>- Zarządzenie Wójta Gminy Mirzec z dnia 13 maja 2015 roku, w sprawie powołania zespołu zadaniowego ds. rewitalizacji (reprezentacja sektora społecznego, publicznego oraz gospodarczego po trzy osoby z danego sektora),</w:t>
      </w:r>
    </w:p>
    <w:p w:rsidR="00EF4EF2" w:rsidRDefault="00EF4EF2" w:rsidP="00A17B6E">
      <w:pPr>
        <w:jc w:val="both"/>
        <w:rPr>
          <w:lang w:eastAsia="zh-CN" w:bidi="hi-IN"/>
        </w:rPr>
      </w:pPr>
      <w:r>
        <w:rPr>
          <w:lang w:eastAsia="zh-CN" w:bidi="hi-IN"/>
        </w:rPr>
        <w:t>- spotkanie wspólnych komisji Radnych Rady Gminy w Mircu z dn. 10.12.2016 roku,</w:t>
      </w:r>
    </w:p>
    <w:p w:rsidR="00EF4EF2" w:rsidRDefault="00EF4EF2" w:rsidP="00A17B6E">
      <w:pPr>
        <w:jc w:val="both"/>
        <w:rPr>
          <w:lang w:eastAsia="zh-CN" w:bidi="hi-IN"/>
        </w:rPr>
      </w:pPr>
      <w:r>
        <w:rPr>
          <w:lang w:eastAsia="zh-CN" w:bidi="hi-IN"/>
        </w:rPr>
        <w:t>- Zarządzenie Wójta Gminy Mirzec z dnia 15 stycznia 2016 roku w sprawie przeprowadzenia konsultacji społecznych, dotyczących projektu Uchwały Rady Gminy Mirzec w sprawie wyznaczenia obszaru zdegradowanego i obszaru rewitalizacji gminy Mirzec,</w:t>
      </w:r>
    </w:p>
    <w:p w:rsidR="00EF4EF2" w:rsidRDefault="009D5EBC" w:rsidP="00A17B6E">
      <w:pPr>
        <w:jc w:val="both"/>
        <w:rPr>
          <w:lang w:eastAsia="zh-CN" w:bidi="hi-IN"/>
        </w:rPr>
      </w:pPr>
      <w:r>
        <w:rPr>
          <w:lang w:eastAsia="zh-CN" w:bidi="hi-IN"/>
        </w:rPr>
        <w:t>- Uchwała Nr XI</w:t>
      </w:r>
      <w:r w:rsidR="00EF4EF2">
        <w:rPr>
          <w:lang w:eastAsia="zh-CN" w:bidi="hi-IN"/>
        </w:rPr>
        <w:t>X/128/2016 Rady Gminy w Mircu z dnia 26 lutego 2016 roku w sprawie wyznaczenia obszaru zdegradowanego i obszaru rewitalizacji gminy Mirzec,</w:t>
      </w:r>
    </w:p>
    <w:p w:rsidR="00EF4EF2" w:rsidRDefault="00EF4EF2" w:rsidP="00A17B6E">
      <w:pPr>
        <w:jc w:val="both"/>
        <w:rPr>
          <w:lang w:eastAsia="zh-CN" w:bidi="hi-IN"/>
        </w:rPr>
      </w:pPr>
      <w:r>
        <w:rPr>
          <w:lang w:eastAsia="zh-CN" w:bidi="hi-IN"/>
        </w:rPr>
        <w:t>- Uchwała nr XIX/129/2016 Rady Gminy w Mircu z dnia 26 lutego 2016 roku w sprawie: zmiany Uchwały Nr VII/31/2015 Rady Gminy w Mircu z dnia 27 marca 2015 roku w sprawie przystąpienia do II etapu procesu rewitalizacji centrum Mirca i opracowania Lokalnego Programu Rewitalizacji miejscowości Mirzec na lata 2015-2020.</w:t>
      </w:r>
    </w:p>
    <w:p w:rsidR="00EF4EF2" w:rsidRPr="00EF4EF2" w:rsidRDefault="00EF4EF2" w:rsidP="00234BBD">
      <w:pPr>
        <w:pStyle w:val="Akapitzlist"/>
        <w:numPr>
          <w:ilvl w:val="0"/>
          <w:numId w:val="52"/>
        </w:numPr>
        <w:jc w:val="both"/>
        <w:rPr>
          <w:u w:val="single"/>
          <w:lang w:eastAsia="zh-CN" w:bidi="hi-IN"/>
        </w:rPr>
      </w:pPr>
      <w:r w:rsidRPr="00EF4EF2">
        <w:rPr>
          <w:u w:val="single"/>
          <w:lang w:eastAsia="zh-CN" w:bidi="hi-IN"/>
        </w:rPr>
        <w:t xml:space="preserve">Partycypacja społeczna: </w:t>
      </w:r>
    </w:p>
    <w:p w:rsidR="00EF4EF2" w:rsidRDefault="00EF4EF2" w:rsidP="00EF4EF2">
      <w:pPr>
        <w:jc w:val="both"/>
        <w:rPr>
          <w:lang w:eastAsia="zh-CN" w:bidi="hi-IN"/>
        </w:rPr>
      </w:pPr>
      <w:r>
        <w:rPr>
          <w:lang w:eastAsia="zh-CN" w:bidi="hi-IN"/>
        </w:rPr>
        <w:t>- ankiety konsultacyjnej – lato 2015r.</w:t>
      </w:r>
    </w:p>
    <w:p w:rsidR="00EF4EF2" w:rsidRDefault="00EF4EF2" w:rsidP="00EF4EF2">
      <w:pPr>
        <w:jc w:val="both"/>
        <w:rPr>
          <w:lang w:eastAsia="zh-CN" w:bidi="hi-IN"/>
        </w:rPr>
      </w:pPr>
      <w:r>
        <w:rPr>
          <w:lang w:eastAsia="zh-CN" w:bidi="hi-IN"/>
        </w:rPr>
        <w:t>- informacje medialne (prasa lokalna, Telewizja Starachowice)</w:t>
      </w:r>
    </w:p>
    <w:p w:rsidR="00EF4EF2" w:rsidRDefault="00EF4EF2" w:rsidP="00EF4EF2">
      <w:pPr>
        <w:jc w:val="both"/>
        <w:rPr>
          <w:lang w:eastAsia="zh-CN" w:bidi="hi-IN"/>
        </w:rPr>
      </w:pPr>
      <w:r>
        <w:rPr>
          <w:lang w:eastAsia="zh-CN" w:bidi="hi-IN"/>
        </w:rPr>
        <w:t>- lekcja obywatelska przeprowadzona w gimnazjum należącym do Zespołu Szkół w Mircu w dn. 28.10.2015r.</w:t>
      </w:r>
    </w:p>
    <w:p w:rsidR="00072FFD" w:rsidRDefault="00EF4EF2" w:rsidP="00EF4EF2">
      <w:pPr>
        <w:jc w:val="both"/>
        <w:rPr>
          <w:lang w:eastAsia="zh-CN" w:bidi="hi-IN"/>
        </w:rPr>
      </w:pPr>
      <w:r>
        <w:rPr>
          <w:lang w:eastAsia="zh-CN" w:bidi="hi-IN"/>
        </w:rPr>
        <w:t>- otwarte konsultacje społeczne w dn. 13.12.2015r.</w:t>
      </w:r>
      <w:r w:rsidR="00072FFD">
        <w:rPr>
          <w:lang w:eastAsia="zh-CN" w:bidi="hi-IN"/>
        </w:rPr>
        <w:t>, nr obszaru rewitalizacji i założeń programu rewitalizacji</w:t>
      </w:r>
    </w:p>
    <w:p w:rsidR="00072FFD" w:rsidRDefault="00072FFD" w:rsidP="00EF4EF2">
      <w:pPr>
        <w:jc w:val="both"/>
        <w:rPr>
          <w:lang w:eastAsia="zh-CN" w:bidi="hi-IN"/>
        </w:rPr>
      </w:pPr>
      <w:r>
        <w:rPr>
          <w:lang w:eastAsia="zh-CN" w:bidi="hi-IN"/>
        </w:rPr>
        <w:t>- otwa</w:t>
      </w:r>
      <w:r w:rsidR="00FF4029">
        <w:rPr>
          <w:lang w:eastAsia="zh-CN" w:bidi="hi-IN"/>
        </w:rPr>
        <w:t xml:space="preserve">rte konsultacje społeczne w dn. </w:t>
      </w:r>
      <w:r>
        <w:rPr>
          <w:lang w:eastAsia="zh-CN" w:bidi="hi-IN"/>
        </w:rPr>
        <w:t>26.01.2015r., dotyczące wyznaczenia obszaru zdegradowanego i obszaru rewitalizacji</w:t>
      </w:r>
    </w:p>
    <w:p w:rsidR="00072FFD" w:rsidRDefault="00072FFD" w:rsidP="00EF4EF2">
      <w:pPr>
        <w:jc w:val="both"/>
        <w:rPr>
          <w:lang w:eastAsia="zh-CN" w:bidi="hi-IN"/>
        </w:rPr>
      </w:pPr>
      <w:r>
        <w:rPr>
          <w:lang w:eastAsia="zh-CN" w:bidi="hi-IN"/>
        </w:rPr>
        <w:t xml:space="preserve">Wszczęcie konsultacji społecznych projektu Gminnego </w:t>
      </w:r>
      <w:r w:rsidR="003E259E">
        <w:rPr>
          <w:lang w:eastAsia="zh-CN" w:bidi="hi-IN"/>
        </w:rPr>
        <w:t xml:space="preserve">programu rewitalizacji </w:t>
      </w:r>
      <w:r>
        <w:rPr>
          <w:lang w:eastAsia="zh-CN" w:bidi="hi-IN"/>
        </w:rPr>
        <w:t xml:space="preserve">dla gminy Mirzec na lata </w:t>
      </w:r>
      <w:r w:rsidR="004A7D6B">
        <w:rPr>
          <w:lang w:eastAsia="zh-CN" w:bidi="hi-IN"/>
        </w:rPr>
        <w:t>2</w:t>
      </w:r>
      <w:r>
        <w:rPr>
          <w:lang w:eastAsia="zh-CN" w:bidi="hi-IN"/>
        </w:rPr>
        <w:t>016-2022 (</w:t>
      </w:r>
      <w:r w:rsidR="004A7D6B">
        <w:rPr>
          <w:lang w:eastAsia="zh-CN" w:bidi="hi-IN"/>
        </w:rPr>
        <w:t>formularz</w:t>
      </w:r>
      <w:r>
        <w:rPr>
          <w:lang w:eastAsia="zh-CN" w:bidi="hi-IN"/>
        </w:rPr>
        <w:t>) – początek kwietnia 2016r.</w:t>
      </w:r>
    </w:p>
    <w:p w:rsidR="00072FFD" w:rsidRDefault="00072FFD" w:rsidP="00EF4EF2">
      <w:pPr>
        <w:jc w:val="both"/>
        <w:rPr>
          <w:lang w:eastAsia="zh-CN" w:bidi="hi-IN"/>
        </w:rPr>
      </w:pPr>
      <w:r>
        <w:rPr>
          <w:lang w:eastAsia="zh-CN" w:bidi="hi-IN"/>
        </w:rPr>
        <w:t>Spotkanie konsultacyjne z zainteresowanymi – II połowa kwietnia 2016 r.</w:t>
      </w:r>
    </w:p>
    <w:p w:rsidR="00EF4EF2" w:rsidRPr="00EF4EF2" w:rsidRDefault="00EE0C8C" w:rsidP="00EF4EF2">
      <w:pPr>
        <w:jc w:val="both"/>
        <w:rPr>
          <w:lang w:eastAsia="zh-CN" w:bidi="hi-IN"/>
        </w:rPr>
      </w:pPr>
      <w:r w:rsidRPr="00EF4EF2">
        <w:rPr>
          <w:u w:val="single"/>
          <w:lang w:eastAsia="zh-CN" w:bidi="hi-IN"/>
        </w:rPr>
        <w:br w:type="page"/>
      </w:r>
    </w:p>
    <w:p w:rsidR="00EE0C8C" w:rsidRPr="00EE0C8C" w:rsidRDefault="00EE0C8C" w:rsidP="00EE0C8C">
      <w:pPr>
        <w:widowControl w:val="0"/>
        <w:suppressAutoHyphens/>
        <w:autoSpaceDN w:val="0"/>
        <w:spacing w:after="0" w:line="240" w:lineRule="auto"/>
        <w:jc w:val="both"/>
        <w:textAlignment w:val="baseline"/>
        <w:rPr>
          <w:rFonts w:ascii="Calibri" w:eastAsia="SimSun" w:hAnsi="Calibri" w:cs="Mangal"/>
          <w:color w:val="000000"/>
          <w:kern w:val="3"/>
          <w:lang w:eastAsia="zh-CN" w:bidi="hi-IN"/>
        </w:rPr>
      </w:pPr>
    </w:p>
    <w:p w:rsidR="00EE0C8C" w:rsidRPr="00EE0C8C" w:rsidRDefault="00EE0C8C" w:rsidP="00EE0C8C">
      <w:r w:rsidRPr="00EE0C8C">
        <w:rPr>
          <w:noProof/>
          <w:lang w:eastAsia="pl-PL"/>
        </w:rPr>
        <w:drawing>
          <wp:inline distT="0" distB="0" distL="0" distR="0">
            <wp:extent cx="5760720" cy="3830320"/>
            <wp:effectExtent l="190500" t="190500" r="182880" b="18923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8.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60720" cy="3830320"/>
                    </a:xfrm>
                    <a:prstGeom prst="rect">
                      <a:avLst/>
                    </a:prstGeom>
                    <a:ln>
                      <a:noFill/>
                    </a:ln>
                    <a:effectLst>
                      <a:outerShdw blurRad="190500" algn="tl" rotWithShape="0">
                        <a:srgbClr val="000000">
                          <a:alpha val="70000"/>
                        </a:srgbClr>
                      </a:outerShdw>
                    </a:effectLst>
                  </pic:spPr>
                </pic:pic>
              </a:graphicData>
            </a:graphic>
          </wp:inline>
        </w:drawing>
      </w:r>
      <w:r w:rsidRPr="00EE0C8C">
        <w:rPr>
          <w:noProof/>
          <w:lang w:eastAsia="pl-PL"/>
        </w:rPr>
        <w:drawing>
          <wp:inline distT="0" distB="0" distL="0" distR="0">
            <wp:extent cx="5760720" cy="3830320"/>
            <wp:effectExtent l="190500" t="190500" r="182880" b="18923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64.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60720" cy="3830320"/>
                    </a:xfrm>
                    <a:prstGeom prst="rect">
                      <a:avLst/>
                    </a:prstGeom>
                    <a:ln>
                      <a:noFill/>
                    </a:ln>
                    <a:effectLst>
                      <a:outerShdw blurRad="190500" algn="tl" rotWithShape="0">
                        <a:srgbClr val="000000">
                          <a:alpha val="70000"/>
                        </a:srgbClr>
                      </a:outerShdw>
                    </a:effectLst>
                  </pic:spPr>
                </pic:pic>
              </a:graphicData>
            </a:graphic>
          </wp:inline>
        </w:drawing>
      </w:r>
    </w:p>
    <w:p w:rsidR="00EE0C8C" w:rsidRPr="00EE0C8C" w:rsidRDefault="00EE0C8C" w:rsidP="00EE0C8C">
      <w:pPr>
        <w:tabs>
          <w:tab w:val="left" w:pos="1103"/>
        </w:tabs>
      </w:pPr>
      <w:r w:rsidRPr="00EE0C8C">
        <w:rPr>
          <w:noProof/>
          <w:lang w:eastAsia="pl-PL"/>
        </w:rPr>
        <w:lastRenderedPageBreak/>
        <w:drawing>
          <wp:inline distT="0" distB="0" distL="0" distR="0">
            <wp:extent cx="5760720" cy="3830320"/>
            <wp:effectExtent l="190500" t="190500" r="182880" b="18923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69.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760720" cy="3830320"/>
                    </a:xfrm>
                    <a:prstGeom prst="rect">
                      <a:avLst/>
                    </a:prstGeom>
                    <a:ln>
                      <a:noFill/>
                    </a:ln>
                    <a:effectLst>
                      <a:outerShdw blurRad="190500" algn="tl" rotWithShape="0">
                        <a:srgbClr val="000000">
                          <a:alpha val="70000"/>
                        </a:srgbClr>
                      </a:outerShdw>
                    </a:effectLst>
                  </pic:spPr>
                </pic:pic>
              </a:graphicData>
            </a:graphic>
          </wp:inline>
        </w:drawing>
      </w:r>
      <w:r w:rsidRPr="00EE0C8C">
        <w:rPr>
          <w:noProof/>
          <w:lang w:eastAsia="pl-PL"/>
        </w:rPr>
        <w:drawing>
          <wp:inline distT="0" distB="0" distL="0" distR="0">
            <wp:extent cx="5760720" cy="3830320"/>
            <wp:effectExtent l="190500" t="190500" r="182880" b="18923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3.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760720" cy="3830320"/>
                    </a:xfrm>
                    <a:prstGeom prst="rect">
                      <a:avLst/>
                    </a:prstGeom>
                    <a:ln>
                      <a:noFill/>
                    </a:ln>
                    <a:effectLst>
                      <a:outerShdw blurRad="190500" algn="tl" rotWithShape="0">
                        <a:srgbClr val="000000">
                          <a:alpha val="70000"/>
                        </a:srgbClr>
                      </a:outerShdw>
                    </a:effectLst>
                  </pic:spPr>
                </pic:pic>
              </a:graphicData>
            </a:graphic>
          </wp:inline>
        </w:drawing>
      </w:r>
      <w:r w:rsidRPr="00EE0C8C">
        <w:br w:type="page"/>
      </w:r>
    </w:p>
    <w:p w:rsidR="00EE0C8C" w:rsidRPr="00EE0C8C" w:rsidRDefault="00EE0C8C" w:rsidP="00EE0C8C">
      <w:r w:rsidRPr="00EE0C8C">
        <w:rPr>
          <w:noProof/>
          <w:lang w:eastAsia="pl-PL"/>
        </w:rPr>
        <w:lastRenderedPageBreak/>
        <w:drawing>
          <wp:anchor distT="0" distB="0" distL="114300" distR="114300" simplePos="0" relativeHeight="251673600" behindDoc="0" locked="0" layoutInCell="1" allowOverlap="1">
            <wp:simplePos x="0" y="0"/>
            <wp:positionH relativeFrom="margin">
              <wp:posOffset>5715</wp:posOffset>
            </wp:positionH>
            <wp:positionV relativeFrom="margin">
              <wp:posOffset>4467225</wp:posOffset>
            </wp:positionV>
            <wp:extent cx="5760720" cy="3830320"/>
            <wp:effectExtent l="190500" t="190500" r="182880" b="189230"/>
            <wp:wrapSquare wrapText="bothSides"/>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9.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60720" cy="3830320"/>
                    </a:xfrm>
                    <a:prstGeom prst="rect">
                      <a:avLst/>
                    </a:prstGeom>
                    <a:ln>
                      <a:noFill/>
                    </a:ln>
                    <a:effectLst>
                      <a:outerShdw blurRad="190500" algn="tl" rotWithShape="0">
                        <a:srgbClr val="000000">
                          <a:alpha val="70000"/>
                        </a:srgbClr>
                      </a:outerShdw>
                    </a:effectLst>
                  </pic:spPr>
                </pic:pic>
              </a:graphicData>
            </a:graphic>
          </wp:anchor>
        </w:drawing>
      </w:r>
      <w:r w:rsidRPr="00EE0C8C">
        <w:rPr>
          <w:noProof/>
          <w:lang w:eastAsia="pl-PL"/>
        </w:rPr>
        <w:drawing>
          <wp:anchor distT="0" distB="0" distL="114300" distR="114300" simplePos="0" relativeHeight="251672576" behindDoc="0" locked="0" layoutInCell="1" allowOverlap="1">
            <wp:simplePos x="0" y="0"/>
            <wp:positionH relativeFrom="margin">
              <wp:align>center</wp:align>
            </wp:positionH>
            <wp:positionV relativeFrom="margin">
              <wp:align>top</wp:align>
            </wp:positionV>
            <wp:extent cx="5760720" cy="3830320"/>
            <wp:effectExtent l="190500" t="190500" r="182880" b="189230"/>
            <wp:wrapSquare wrapText="bothSides"/>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4.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760720" cy="3830320"/>
                    </a:xfrm>
                    <a:prstGeom prst="rect">
                      <a:avLst/>
                    </a:prstGeom>
                    <a:ln>
                      <a:noFill/>
                    </a:ln>
                    <a:effectLst>
                      <a:outerShdw blurRad="190500" algn="tl" rotWithShape="0">
                        <a:srgbClr val="000000">
                          <a:alpha val="70000"/>
                        </a:srgbClr>
                      </a:outerShdw>
                    </a:effectLst>
                  </pic:spPr>
                </pic:pic>
              </a:graphicData>
            </a:graphic>
          </wp:anchor>
        </w:drawing>
      </w:r>
    </w:p>
    <w:p w:rsidR="00072FFD" w:rsidRDefault="00072FFD" w:rsidP="008903A4">
      <w:pPr>
        <w:pStyle w:val="Nagwek2"/>
        <w:rPr>
          <w:sz w:val="56"/>
          <w:u w:val="single"/>
        </w:rPr>
      </w:pPr>
    </w:p>
    <w:p w:rsidR="00072FFD" w:rsidRDefault="00072FFD" w:rsidP="00072FFD">
      <w:pPr>
        <w:rPr>
          <w:rFonts w:ascii="Cambria" w:eastAsia="Times New Roman" w:hAnsi="Cambria" w:cs="Times New Roman"/>
          <w:color w:val="4F81BD"/>
          <w:szCs w:val="26"/>
        </w:rPr>
      </w:pPr>
      <w:r>
        <w:br w:type="page"/>
      </w:r>
    </w:p>
    <w:p w:rsidR="00EE0C8C" w:rsidRPr="008903A4" w:rsidRDefault="00EE0C8C" w:rsidP="008903A4">
      <w:pPr>
        <w:pStyle w:val="Nagwek2"/>
        <w:rPr>
          <w:sz w:val="56"/>
          <w:u w:val="single"/>
        </w:rPr>
      </w:pPr>
      <w:bookmarkStart w:id="134" w:name="_Toc450562532"/>
      <w:r w:rsidRPr="008903A4">
        <w:rPr>
          <w:sz w:val="56"/>
          <w:u w:val="single"/>
        </w:rPr>
        <w:lastRenderedPageBreak/>
        <w:t>ROZDZIAŁ IX</w:t>
      </w:r>
      <w:bookmarkEnd w:id="134"/>
    </w:p>
    <w:p w:rsidR="00EE0C8C" w:rsidRDefault="00EE0C8C" w:rsidP="008903A4">
      <w:pPr>
        <w:pStyle w:val="Nagwek2"/>
      </w:pPr>
      <w:bookmarkStart w:id="135" w:name="_Toc450562533"/>
      <w:r w:rsidRPr="00EC1823">
        <w:t xml:space="preserve">SYSTEM WDRAŻANIA GPR </w:t>
      </w:r>
      <w:r w:rsidR="00B46559">
        <w:t>GMINY</w:t>
      </w:r>
      <w:r w:rsidRPr="00EC1823">
        <w:t>MIRZEC</w:t>
      </w:r>
      <w:bookmarkEnd w:id="135"/>
    </w:p>
    <w:p w:rsidR="008903A4" w:rsidRPr="008903A4" w:rsidRDefault="008903A4" w:rsidP="008903A4"/>
    <w:p w:rsidR="00EE0C8C" w:rsidRPr="00E96426" w:rsidRDefault="00EE0C8C" w:rsidP="00EE0C8C">
      <w:pPr>
        <w:widowControl w:val="0"/>
        <w:suppressAutoHyphens/>
        <w:autoSpaceDN w:val="0"/>
        <w:spacing w:after="0" w:line="240" w:lineRule="auto"/>
        <w:jc w:val="both"/>
        <w:textAlignment w:val="baseline"/>
        <w:rPr>
          <w:rFonts w:ascii="Calibri" w:eastAsia="SimSun" w:hAnsi="Calibri" w:cs="Mangal"/>
          <w:kern w:val="3"/>
          <w:lang w:eastAsia="zh-CN" w:bidi="hi-IN"/>
        </w:rPr>
      </w:pPr>
      <w:r w:rsidRPr="00E96426">
        <w:rPr>
          <w:rFonts w:ascii="Calibri" w:eastAsia="SimSun" w:hAnsi="Calibri" w:cs="Times New Roman"/>
          <w:kern w:val="3"/>
          <w:lang w:eastAsia="zh-CN" w:bidi="hi-IN"/>
        </w:rPr>
        <w:t>Jednym z głównych zadań Programu Rewitalizacji miejscowości Mirzec jest powołanie do funkcjonowania Zespołu odpowiedzialnego za koordynowanie i zarządzanie rewitalizacją w ramach struktur Urzędu Gminy w Mircu. Zespół ten będzie musiała podjąć następujące działania:</w:t>
      </w:r>
    </w:p>
    <w:p w:rsidR="00EE0C8C" w:rsidRPr="00E96426" w:rsidRDefault="00EE0C8C" w:rsidP="00234BBD">
      <w:pPr>
        <w:widowControl w:val="0"/>
        <w:numPr>
          <w:ilvl w:val="0"/>
          <w:numId w:val="47"/>
        </w:numPr>
        <w:suppressAutoHyphens/>
        <w:autoSpaceDN w:val="0"/>
        <w:spacing w:after="0" w:line="240" w:lineRule="auto"/>
        <w:jc w:val="both"/>
        <w:textAlignment w:val="baseline"/>
        <w:rPr>
          <w:rFonts w:ascii="Calibri" w:eastAsia="SimSun" w:hAnsi="Calibri" w:cs="Mangal"/>
          <w:kern w:val="3"/>
          <w:lang w:eastAsia="zh-CN" w:bidi="hi-IN"/>
        </w:rPr>
      </w:pPr>
      <w:r w:rsidRPr="00E96426">
        <w:rPr>
          <w:rFonts w:ascii="Calibri" w:eastAsia="SimSun" w:hAnsi="Calibri" w:cs="Times New Roman"/>
          <w:kern w:val="3"/>
          <w:lang w:eastAsia="zh-CN" w:bidi="hi-IN"/>
        </w:rPr>
        <w:t>zorganizowanie systemu sterowania i zarządzania procesem,</w:t>
      </w:r>
    </w:p>
    <w:p w:rsidR="00EE0C8C" w:rsidRPr="00E96426" w:rsidRDefault="00EE0C8C" w:rsidP="00234BBD">
      <w:pPr>
        <w:widowControl w:val="0"/>
        <w:numPr>
          <w:ilvl w:val="0"/>
          <w:numId w:val="47"/>
        </w:numPr>
        <w:suppressAutoHyphens/>
        <w:autoSpaceDN w:val="0"/>
        <w:spacing w:after="0" w:line="240" w:lineRule="auto"/>
        <w:jc w:val="both"/>
        <w:textAlignment w:val="baseline"/>
        <w:rPr>
          <w:rFonts w:ascii="Calibri" w:eastAsia="SimSun" w:hAnsi="Calibri" w:cs="Mangal"/>
          <w:kern w:val="3"/>
          <w:lang w:eastAsia="zh-CN" w:bidi="hi-IN"/>
        </w:rPr>
      </w:pPr>
      <w:r w:rsidRPr="00E96426">
        <w:rPr>
          <w:rFonts w:ascii="Calibri" w:eastAsia="SimSun" w:hAnsi="Calibri" w:cs="Times New Roman"/>
          <w:kern w:val="3"/>
          <w:lang w:eastAsia="zh-CN" w:bidi="hi-IN"/>
        </w:rPr>
        <w:t>prowadzenie akcji promocyjnej rewitalizacji,</w:t>
      </w:r>
    </w:p>
    <w:p w:rsidR="00EE0C8C" w:rsidRPr="00E96426" w:rsidRDefault="00EE0C8C" w:rsidP="00234BBD">
      <w:pPr>
        <w:widowControl w:val="0"/>
        <w:numPr>
          <w:ilvl w:val="0"/>
          <w:numId w:val="47"/>
        </w:numPr>
        <w:suppressAutoHyphens/>
        <w:autoSpaceDN w:val="0"/>
        <w:spacing w:after="0" w:line="240" w:lineRule="auto"/>
        <w:jc w:val="both"/>
        <w:textAlignment w:val="baseline"/>
        <w:rPr>
          <w:rFonts w:ascii="Calibri" w:eastAsia="SimSun" w:hAnsi="Calibri" w:cs="Mangal"/>
          <w:kern w:val="3"/>
          <w:lang w:eastAsia="zh-CN" w:bidi="hi-IN"/>
        </w:rPr>
      </w:pPr>
      <w:r w:rsidRPr="00E96426">
        <w:rPr>
          <w:rFonts w:ascii="Calibri" w:eastAsia="SimSun" w:hAnsi="Calibri" w:cs="Times New Roman"/>
          <w:kern w:val="3"/>
          <w:lang w:eastAsia="zh-CN" w:bidi="hi-IN"/>
        </w:rPr>
        <w:t>składanie wniosków i pozyskiwanie środków zewnętrznych oraz zapewnienie środków w budżecie gminy,</w:t>
      </w:r>
    </w:p>
    <w:p w:rsidR="00EE0C8C" w:rsidRPr="00E96426" w:rsidRDefault="00EE0C8C" w:rsidP="00234BBD">
      <w:pPr>
        <w:widowControl w:val="0"/>
        <w:numPr>
          <w:ilvl w:val="0"/>
          <w:numId w:val="47"/>
        </w:numPr>
        <w:suppressAutoHyphens/>
        <w:autoSpaceDN w:val="0"/>
        <w:spacing w:after="0" w:line="240" w:lineRule="auto"/>
        <w:jc w:val="both"/>
        <w:textAlignment w:val="baseline"/>
        <w:rPr>
          <w:rFonts w:ascii="Calibri" w:eastAsia="SimSun" w:hAnsi="Calibri" w:cs="Mangal"/>
          <w:kern w:val="3"/>
          <w:lang w:eastAsia="zh-CN" w:bidi="hi-IN"/>
        </w:rPr>
      </w:pPr>
      <w:r w:rsidRPr="00E96426">
        <w:rPr>
          <w:rFonts w:ascii="Calibri" w:eastAsia="SimSun" w:hAnsi="Calibri" w:cs="Times New Roman"/>
          <w:kern w:val="3"/>
          <w:lang w:eastAsia="zh-CN" w:bidi="hi-IN"/>
        </w:rPr>
        <w:t>stworzenie struktur organizacyjnych umożliwiających współpracę pomiędzy partnerami Programu Rewitalizacji,</w:t>
      </w:r>
    </w:p>
    <w:p w:rsidR="00EE0C8C" w:rsidRPr="00E96426" w:rsidRDefault="00EE0C8C" w:rsidP="00234BBD">
      <w:pPr>
        <w:widowControl w:val="0"/>
        <w:numPr>
          <w:ilvl w:val="0"/>
          <w:numId w:val="47"/>
        </w:numPr>
        <w:suppressAutoHyphens/>
        <w:autoSpaceDN w:val="0"/>
        <w:spacing w:after="0" w:line="240" w:lineRule="auto"/>
        <w:jc w:val="both"/>
        <w:textAlignment w:val="baseline"/>
        <w:rPr>
          <w:rFonts w:ascii="Calibri" w:eastAsia="SimSun" w:hAnsi="Calibri" w:cs="Mangal"/>
          <w:kern w:val="3"/>
          <w:lang w:eastAsia="zh-CN" w:bidi="hi-IN"/>
        </w:rPr>
      </w:pPr>
      <w:r w:rsidRPr="00E96426">
        <w:rPr>
          <w:rFonts w:ascii="Calibri" w:eastAsia="SimSun" w:hAnsi="Calibri" w:cs="Times New Roman"/>
          <w:kern w:val="3"/>
          <w:lang w:eastAsia="zh-CN" w:bidi="hi-IN"/>
        </w:rPr>
        <w:t>opracowanie systemu monitorowania Programu Rewitalizacji przez społeczność lokalną.</w:t>
      </w:r>
    </w:p>
    <w:p w:rsidR="00EE0C8C" w:rsidRPr="00EC1823" w:rsidRDefault="00EE0C8C" w:rsidP="00234BBD">
      <w:pPr>
        <w:pStyle w:val="Akapitzlist"/>
        <w:widowControl w:val="0"/>
        <w:numPr>
          <w:ilvl w:val="0"/>
          <w:numId w:val="47"/>
        </w:numPr>
        <w:suppressAutoHyphens/>
        <w:autoSpaceDN w:val="0"/>
        <w:spacing w:after="0" w:line="240" w:lineRule="auto"/>
        <w:jc w:val="both"/>
        <w:textAlignment w:val="baseline"/>
        <w:rPr>
          <w:rFonts w:ascii="Calibri" w:eastAsia="SimSun" w:hAnsi="Calibri" w:cs="Mangal"/>
          <w:kern w:val="3"/>
          <w:lang w:eastAsia="zh-CN" w:bidi="hi-IN"/>
        </w:rPr>
      </w:pPr>
      <w:r w:rsidRPr="00EC1823">
        <w:rPr>
          <w:rFonts w:ascii="Calibri" w:eastAsia="SimSun" w:hAnsi="Calibri" w:cs="Times New Roman"/>
          <w:kern w:val="3"/>
          <w:lang w:eastAsia="zh-CN" w:bidi="hi-IN"/>
        </w:rPr>
        <w:t>Kolejnym etapom Programu Rewitalizacji powinna towarzyszyć transparentność dla stworzenia przestrzeni wymiany informacji oraz opinii o poszczególnych działaniach i prowadzonych akcjach (w formie spotkań, publikacji w miejscowej prasie, stworzeniu platformy internetowej).</w:t>
      </w:r>
    </w:p>
    <w:p w:rsidR="00EE0C8C" w:rsidRPr="00EC1823" w:rsidRDefault="00EE0C8C" w:rsidP="00234BBD">
      <w:pPr>
        <w:pStyle w:val="Akapitzlist"/>
        <w:widowControl w:val="0"/>
        <w:numPr>
          <w:ilvl w:val="0"/>
          <w:numId w:val="47"/>
        </w:numPr>
        <w:suppressAutoHyphens/>
        <w:autoSpaceDN w:val="0"/>
        <w:spacing w:after="0" w:line="240" w:lineRule="auto"/>
        <w:jc w:val="both"/>
        <w:textAlignment w:val="baseline"/>
        <w:rPr>
          <w:rFonts w:ascii="Calibri" w:eastAsia="SimSun" w:hAnsi="Calibri" w:cs="Mangal"/>
          <w:color w:val="000000"/>
          <w:kern w:val="3"/>
          <w:lang w:eastAsia="zh-CN" w:bidi="hi-IN"/>
        </w:rPr>
      </w:pPr>
      <w:r w:rsidRPr="00EC1823">
        <w:rPr>
          <w:rFonts w:ascii="Calibri" w:eastAsia="SimSun" w:hAnsi="Calibri" w:cs="Times New Roman"/>
          <w:color w:val="000000"/>
          <w:kern w:val="3"/>
          <w:lang w:eastAsia="zh-CN" w:bidi="hi-IN"/>
        </w:rPr>
        <w:t>Zespół koordynujący Program Rewitalizacji powinien umożliwić prowadzenie:</w:t>
      </w:r>
    </w:p>
    <w:p w:rsidR="00EE0C8C" w:rsidRPr="00E96426" w:rsidRDefault="00EE0C8C" w:rsidP="00234BBD">
      <w:pPr>
        <w:widowControl w:val="0"/>
        <w:numPr>
          <w:ilvl w:val="0"/>
          <w:numId w:val="47"/>
        </w:numPr>
        <w:suppressAutoHyphens/>
        <w:autoSpaceDN w:val="0"/>
        <w:spacing w:after="0" w:line="240" w:lineRule="auto"/>
        <w:jc w:val="both"/>
        <w:textAlignment w:val="baseline"/>
        <w:rPr>
          <w:rFonts w:ascii="Calibri" w:eastAsia="SimSun" w:hAnsi="Calibri" w:cs="Mangal"/>
          <w:kern w:val="3"/>
          <w:lang w:eastAsia="zh-CN" w:bidi="hi-IN"/>
        </w:rPr>
      </w:pPr>
      <w:r w:rsidRPr="00E96426">
        <w:rPr>
          <w:rFonts w:ascii="Calibri" w:eastAsia="SimSun" w:hAnsi="Calibri" w:cs="Times New Roman"/>
          <w:kern w:val="3"/>
          <w:lang w:eastAsia="zh-CN" w:bidi="hi-IN"/>
        </w:rPr>
        <w:t>doradztwa dla właścicieli prywatnych i zbiorowych;</w:t>
      </w:r>
    </w:p>
    <w:p w:rsidR="00EE0C8C" w:rsidRPr="00E96426" w:rsidRDefault="00EE0C8C" w:rsidP="00234BBD">
      <w:pPr>
        <w:widowControl w:val="0"/>
        <w:numPr>
          <w:ilvl w:val="0"/>
          <w:numId w:val="47"/>
        </w:numPr>
        <w:suppressAutoHyphens/>
        <w:autoSpaceDN w:val="0"/>
        <w:spacing w:after="0" w:line="240" w:lineRule="auto"/>
        <w:jc w:val="both"/>
        <w:textAlignment w:val="baseline"/>
        <w:rPr>
          <w:rFonts w:ascii="Calibri" w:eastAsia="SimSun" w:hAnsi="Calibri" w:cs="Mangal"/>
          <w:kern w:val="3"/>
          <w:lang w:eastAsia="zh-CN" w:bidi="hi-IN"/>
        </w:rPr>
      </w:pPr>
      <w:r w:rsidRPr="00E96426">
        <w:rPr>
          <w:rFonts w:ascii="Calibri" w:eastAsia="SimSun" w:hAnsi="Calibri" w:cs="Times New Roman"/>
          <w:kern w:val="3"/>
          <w:lang w:eastAsia="zh-CN" w:bidi="hi-IN"/>
        </w:rPr>
        <w:t>warsztatów włączających w proces decyzyjny społeczność lokalną i fachowców różnych dziedzin;</w:t>
      </w:r>
    </w:p>
    <w:p w:rsidR="00EE0C8C" w:rsidRPr="00E96426" w:rsidRDefault="00EE0C8C" w:rsidP="00234BBD">
      <w:pPr>
        <w:widowControl w:val="0"/>
        <w:numPr>
          <w:ilvl w:val="0"/>
          <w:numId w:val="47"/>
        </w:numPr>
        <w:suppressAutoHyphens/>
        <w:autoSpaceDN w:val="0"/>
        <w:spacing w:after="0" w:line="240" w:lineRule="auto"/>
        <w:jc w:val="both"/>
        <w:textAlignment w:val="baseline"/>
        <w:rPr>
          <w:rFonts w:ascii="Calibri" w:eastAsia="SimSun" w:hAnsi="Calibri" w:cs="Mangal"/>
          <w:kern w:val="3"/>
          <w:lang w:eastAsia="zh-CN" w:bidi="hi-IN"/>
        </w:rPr>
      </w:pPr>
      <w:r w:rsidRPr="00E96426">
        <w:rPr>
          <w:rFonts w:ascii="Calibri" w:eastAsia="SimSun" w:hAnsi="Calibri" w:cs="Times New Roman"/>
          <w:kern w:val="3"/>
          <w:lang w:eastAsia="zh-CN" w:bidi="hi-IN"/>
        </w:rPr>
        <w:t>budowania tożsamości lokalnej z Programem Rewitalizacji.</w:t>
      </w:r>
    </w:p>
    <w:p w:rsidR="00EE0C8C" w:rsidRDefault="00EE0C8C" w:rsidP="00EE0C8C">
      <w:pPr>
        <w:widowControl w:val="0"/>
        <w:suppressAutoHyphens/>
        <w:autoSpaceDN w:val="0"/>
        <w:spacing w:after="0" w:line="240" w:lineRule="auto"/>
        <w:jc w:val="both"/>
        <w:textAlignment w:val="baseline"/>
        <w:rPr>
          <w:rFonts w:ascii="Calibri" w:eastAsia="SimSun" w:hAnsi="Calibri" w:cs="Times New Roman"/>
          <w:kern w:val="3"/>
          <w:lang w:eastAsia="zh-CN" w:bidi="hi-IN"/>
        </w:rPr>
      </w:pPr>
    </w:p>
    <w:p w:rsidR="00EE0C8C" w:rsidRPr="00E96426" w:rsidRDefault="00EE0C8C" w:rsidP="00EE0C8C">
      <w:pPr>
        <w:widowControl w:val="0"/>
        <w:suppressAutoHyphens/>
        <w:autoSpaceDN w:val="0"/>
        <w:spacing w:after="0" w:line="240" w:lineRule="auto"/>
        <w:jc w:val="both"/>
        <w:textAlignment w:val="baseline"/>
        <w:rPr>
          <w:rFonts w:ascii="Calibri" w:eastAsia="SimSun" w:hAnsi="Calibri" w:cs="Mangal"/>
          <w:kern w:val="3"/>
          <w:lang w:eastAsia="zh-CN" w:bidi="hi-IN"/>
        </w:rPr>
      </w:pPr>
      <w:r w:rsidRPr="00E96426">
        <w:rPr>
          <w:rFonts w:ascii="Calibri" w:eastAsia="SimSun" w:hAnsi="Calibri" w:cs="Times New Roman"/>
          <w:kern w:val="3"/>
          <w:lang w:eastAsia="zh-CN" w:bidi="hi-IN"/>
        </w:rPr>
        <w:t>Oddziaływanie Programu Rewitalizacji powinno spełniać nie tylko działania merytoryczne, ale również podnosić społeczne utożsamianie się z kierunkami i działaniami prowadzonymi przez Zespół koordynujący samym procesem.</w:t>
      </w:r>
    </w:p>
    <w:p w:rsidR="00EE0C8C" w:rsidRDefault="00EE0C8C" w:rsidP="00EE0C8C">
      <w:pPr>
        <w:widowControl w:val="0"/>
        <w:suppressAutoHyphens/>
        <w:autoSpaceDN w:val="0"/>
        <w:spacing w:after="0" w:line="240" w:lineRule="auto"/>
        <w:jc w:val="both"/>
        <w:textAlignment w:val="baseline"/>
        <w:rPr>
          <w:rFonts w:ascii="Calibri" w:eastAsia="SimSun" w:hAnsi="Calibri" w:cs="Times New Roman"/>
          <w:kern w:val="3"/>
          <w:lang w:eastAsia="zh-CN" w:bidi="hi-IN"/>
        </w:rPr>
      </w:pPr>
    </w:p>
    <w:p w:rsidR="00EE0C8C" w:rsidRPr="00E96426" w:rsidRDefault="00EE0C8C" w:rsidP="00EE0C8C">
      <w:pPr>
        <w:widowControl w:val="0"/>
        <w:suppressAutoHyphens/>
        <w:autoSpaceDN w:val="0"/>
        <w:spacing w:after="0" w:line="240" w:lineRule="auto"/>
        <w:jc w:val="both"/>
        <w:textAlignment w:val="baseline"/>
        <w:rPr>
          <w:rFonts w:ascii="Calibri" w:eastAsia="SimSun" w:hAnsi="Calibri" w:cs="Mangal"/>
          <w:kern w:val="3"/>
          <w:lang w:eastAsia="zh-CN" w:bidi="hi-IN"/>
        </w:rPr>
      </w:pPr>
      <w:r w:rsidRPr="00E96426">
        <w:rPr>
          <w:rFonts w:ascii="Calibri" w:eastAsia="SimSun" w:hAnsi="Calibri" w:cs="Times New Roman"/>
          <w:kern w:val="3"/>
          <w:lang w:eastAsia="zh-CN" w:bidi="hi-IN"/>
        </w:rPr>
        <w:t>Program Rewitalizacji zmienia dotychczasowe myślenie w kategoriach oni i my. Trudnym wydaje się transferowanie tego zagadnienia na myślenie w kategoriach jedności działania i określenia procesów przewidywania oddziaływania kolejnych dokonań.</w:t>
      </w:r>
    </w:p>
    <w:p w:rsidR="00EE0C8C" w:rsidRDefault="00EE0C8C" w:rsidP="00EE0C8C">
      <w:pPr>
        <w:widowControl w:val="0"/>
        <w:suppressAutoHyphens/>
        <w:autoSpaceDN w:val="0"/>
        <w:spacing w:after="0" w:line="240" w:lineRule="auto"/>
        <w:jc w:val="both"/>
        <w:textAlignment w:val="baseline"/>
        <w:rPr>
          <w:rFonts w:ascii="Calibri" w:eastAsia="SimSun" w:hAnsi="Calibri" w:cs="Times New Roman"/>
          <w:kern w:val="3"/>
          <w:lang w:eastAsia="zh-CN" w:bidi="hi-IN"/>
        </w:rPr>
      </w:pPr>
    </w:p>
    <w:p w:rsidR="00EE0C8C" w:rsidRPr="00E96426" w:rsidRDefault="00EE0C8C" w:rsidP="00EE0C8C">
      <w:pPr>
        <w:widowControl w:val="0"/>
        <w:suppressAutoHyphens/>
        <w:autoSpaceDN w:val="0"/>
        <w:spacing w:after="0" w:line="240" w:lineRule="auto"/>
        <w:jc w:val="both"/>
        <w:textAlignment w:val="baseline"/>
        <w:rPr>
          <w:rFonts w:ascii="Calibri" w:eastAsia="SimSun" w:hAnsi="Calibri" w:cs="Mangal"/>
          <w:kern w:val="3"/>
          <w:lang w:eastAsia="zh-CN" w:bidi="hi-IN"/>
        </w:rPr>
      </w:pPr>
      <w:r w:rsidRPr="00E96426">
        <w:rPr>
          <w:rFonts w:ascii="Calibri" w:eastAsia="SimSun" w:hAnsi="Calibri" w:cs="Times New Roman"/>
          <w:kern w:val="3"/>
          <w:lang w:eastAsia="zh-CN" w:bidi="hi-IN"/>
        </w:rPr>
        <w:t xml:space="preserve">Planowane zadania będące pojedynczymi elementami układać się muszą w kolejne kroki, </w:t>
      </w:r>
      <w:r w:rsidRPr="00E96426">
        <w:rPr>
          <w:rFonts w:ascii="Calibri" w:eastAsia="SimSun" w:hAnsi="Calibri" w:cs="Times New Roman"/>
          <w:kern w:val="3"/>
          <w:lang w:eastAsia="zh-CN" w:bidi="hi-IN"/>
        </w:rPr>
        <w:br/>
        <w:t>które doprowadzić mają do polepszenia życia mieszkańców i stworzenia nowej przestrzennej wartości gminy.</w:t>
      </w:r>
    </w:p>
    <w:p w:rsidR="00EE0C8C" w:rsidRDefault="00EE0C8C" w:rsidP="00EE0C8C">
      <w:pPr>
        <w:widowControl w:val="0"/>
        <w:suppressAutoHyphens/>
        <w:autoSpaceDN w:val="0"/>
        <w:spacing w:after="0" w:line="240" w:lineRule="auto"/>
        <w:jc w:val="both"/>
        <w:textAlignment w:val="baseline"/>
        <w:rPr>
          <w:rFonts w:ascii="Calibri" w:eastAsia="SimSun" w:hAnsi="Calibri" w:cs="Times New Roman"/>
          <w:color w:val="000000"/>
          <w:kern w:val="3"/>
          <w:lang w:eastAsia="zh-CN" w:bidi="hi-IN"/>
        </w:rPr>
      </w:pPr>
    </w:p>
    <w:p w:rsidR="00EE0C8C" w:rsidRPr="00E96426" w:rsidRDefault="00EE0C8C" w:rsidP="00EE0C8C">
      <w:pPr>
        <w:widowControl w:val="0"/>
        <w:suppressAutoHyphens/>
        <w:autoSpaceDN w:val="0"/>
        <w:spacing w:after="0" w:line="240" w:lineRule="auto"/>
        <w:jc w:val="both"/>
        <w:textAlignment w:val="baseline"/>
        <w:rPr>
          <w:rFonts w:ascii="Calibri" w:eastAsia="SimSun" w:hAnsi="Calibri" w:cs="Mangal"/>
          <w:color w:val="000000"/>
          <w:kern w:val="3"/>
          <w:lang w:eastAsia="zh-CN" w:bidi="hi-IN"/>
        </w:rPr>
      </w:pPr>
      <w:r w:rsidRPr="00E96426">
        <w:rPr>
          <w:rFonts w:ascii="Calibri" w:eastAsia="SimSun" w:hAnsi="Calibri" w:cs="Times New Roman"/>
          <w:color w:val="000000"/>
          <w:kern w:val="3"/>
          <w:lang w:eastAsia="zh-CN" w:bidi="hi-IN"/>
        </w:rPr>
        <w:t>Ponieważ finansowanie koncepcji obszaru operacyjnego</w:t>
      </w:r>
      <w:r w:rsidR="00C255D3">
        <w:rPr>
          <w:rFonts w:ascii="Calibri" w:eastAsia="SimSun" w:hAnsi="Calibri" w:cs="Times New Roman"/>
          <w:color w:val="000000"/>
          <w:kern w:val="3"/>
          <w:lang w:eastAsia="zh-CN" w:bidi="hi-IN"/>
        </w:rPr>
        <w:t xml:space="preserve"> gminy</w:t>
      </w:r>
      <w:r w:rsidRPr="00E96426">
        <w:rPr>
          <w:rFonts w:ascii="Calibri" w:eastAsia="SimSun" w:hAnsi="Calibri" w:cs="Times New Roman"/>
          <w:color w:val="000000"/>
          <w:kern w:val="3"/>
          <w:lang w:eastAsia="zh-CN" w:bidi="hi-IN"/>
        </w:rPr>
        <w:t xml:space="preserve"> Mirzec nie pokryje wszystkich potrzeb, konieczne będzie w następnym etapie programowania rewitalizacji przygotowanie realnego programu finansowania, w tym kompleksowego pakietu finansowego z różnych puli programów pomocowych i własnych, tak aby możliwe stało się zrealizowanie zamierzonych przedsięwzięć. Przewiduje się źródła wsparcia finansowego rewitalizacji z różnych środków – funduszy strukturalnych UE 2014-2020, PPP, budżetu gminy, regionu, pożyczek i kredytów, obligacji, a także środków własnych lokalnych partnerów, których projekty zostały ujęte w programie. Bezwzględny priorytet w realizacji otrzymają projekty dofinansowane z funduszy strukturalnych Unii Europejskiej 2014-2020, dotacji i środków zewnętrznych. Dla skutecznego monitorowania należy:</w:t>
      </w:r>
    </w:p>
    <w:p w:rsidR="00EE0C8C" w:rsidRPr="00E96426" w:rsidRDefault="00EE0C8C" w:rsidP="00234BBD">
      <w:pPr>
        <w:widowControl w:val="0"/>
        <w:numPr>
          <w:ilvl w:val="0"/>
          <w:numId w:val="46"/>
        </w:numPr>
        <w:suppressAutoHyphens/>
        <w:autoSpaceDN w:val="0"/>
        <w:spacing w:after="0" w:line="240" w:lineRule="auto"/>
        <w:ind w:left="720" w:hanging="360"/>
        <w:jc w:val="both"/>
        <w:textAlignment w:val="baseline"/>
        <w:rPr>
          <w:rFonts w:ascii="Calibri" w:eastAsia="SimSun" w:hAnsi="Calibri" w:cs="Mangal"/>
          <w:kern w:val="3"/>
          <w:lang w:eastAsia="zh-CN" w:bidi="hi-IN"/>
        </w:rPr>
      </w:pPr>
      <w:r w:rsidRPr="00E96426">
        <w:rPr>
          <w:rFonts w:ascii="Calibri" w:eastAsia="SimSun" w:hAnsi="Calibri" w:cs="Times New Roman"/>
          <w:kern w:val="3"/>
          <w:lang w:eastAsia="zh-CN" w:bidi="hi-IN"/>
        </w:rPr>
        <w:t>Określić wskaźniki zasadnicze dla rewitalizacji gminy. Dzięki temu uzyskamy parametry początkowe, od których będzie można rozpocząć przygotowanie bazy danych pierwotnych, umożliwiających określenie wskaźników kontroli skuteczności realizacji,</w:t>
      </w:r>
    </w:p>
    <w:p w:rsidR="00EE0C8C" w:rsidRPr="00E96426" w:rsidRDefault="00EE0C8C" w:rsidP="00234BBD">
      <w:pPr>
        <w:widowControl w:val="0"/>
        <w:numPr>
          <w:ilvl w:val="0"/>
          <w:numId w:val="46"/>
        </w:numPr>
        <w:suppressAutoHyphens/>
        <w:autoSpaceDN w:val="0"/>
        <w:spacing w:after="0" w:line="240" w:lineRule="auto"/>
        <w:ind w:left="720" w:hanging="360"/>
        <w:jc w:val="both"/>
        <w:textAlignment w:val="baseline"/>
        <w:rPr>
          <w:rFonts w:ascii="Calibri" w:eastAsia="SimSun" w:hAnsi="Calibri" w:cs="Mangal"/>
          <w:kern w:val="3"/>
          <w:lang w:eastAsia="zh-CN" w:bidi="hi-IN"/>
        </w:rPr>
      </w:pPr>
      <w:r w:rsidRPr="00E96426">
        <w:rPr>
          <w:rFonts w:ascii="Calibri" w:eastAsia="SimSun" w:hAnsi="Calibri" w:cs="Times New Roman"/>
          <w:kern w:val="3"/>
          <w:lang w:eastAsia="zh-CN" w:bidi="hi-IN"/>
        </w:rPr>
        <w:lastRenderedPageBreak/>
        <w:t>Zarejestrować pierwotny obraz struktury funkcjonalno-przestrzennej gminy, aby zobrazować przemiany jakie zajdą w trakcie rewitalizacji. Stanowić on będzie podstawę określenia wskaźników pomiaru rozwoju rewitalizacji.</w:t>
      </w:r>
    </w:p>
    <w:p w:rsidR="00EE0C8C" w:rsidRDefault="00EE0C8C" w:rsidP="00EE0C8C">
      <w:pPr>
        <w:widowControl w:val="0"/>
        <w:suppressAutoHyphens/>
        <w:autoSpaceDN w:val="0"/>
        <w:spacing w:after="0" w:line="240" w:lineRule="auto"/>
        <w:jc w:val="both"/>
        <w:textAlignment w:val="baseline"/>
        <w:rPr>
          <w:rFonts w:ascii="Calibri" w:eastAsia="SimSun" w:hAnsi="Calibri" w:cs="Times New Roman"/>
          <w:kern w:val="3"/>
          <w:lang w:eastAsia="zh-CN" w:bidi="hi-IN"/>
        </w:rPr>
      </w:pPr>
    </w:p>
    <w:p w:rsidR="00EE0C8C" w:rsidRPr="00E96426" w:rsidRDefault="00EE0C8C" w:rsidP="00EE0C8C">
      <w:pPr>
        <w:widowControl w:val="0"/>
        <w:suppressAutoHyphens/>
        <w:autoSpaceDN w:val="0"/>
        <w:spacing w:after="0" w:line="240" w:lineRule="auto"/>
        <w:jc w:val="both"/>
        <w:textAlignment w:val="baseline"/>
        <w:rPr>
          <w:rFonts w:ascii="Liberation Serif" w:eastAsia="SimSun" w:hAnsi="Liberation Serif" w:cs="Mangal"/>
          <w:kern w:val="3"/>
          <w:sz w:val="24"/>
          <w:szCs w:val="24"/>
          <w:lang w:eastAsia="zh-CN" w:bidi="hi-IN"/>
        </w:rPr>
      </w:pPr>
      <w:r w:rsidRPr="00E96426">
        <w:rPr>
          <w:rFonts w:ascii="Calibri" w:eastAsia="SimSun" w:hAnsi="Calibri" w:cs="Times New Roman"/>
          <w:kern w:val="3"/>
          <w:lang w:eastAsia="zh-CN" w:bidi="hi-IN"/>
        </w:rPr>
        <w:t>W celu efektywnego przeprowadzenia działań rewitalizacyjnych w miejscowości Mirzec, monitorowane będą wydatki, jak i efekty rzeczowe przedsięwzięć przez realizatorów projektów.</w:t>
      </w:r>
      <w:r w:rsidRPr="00E96426">
        <w:rPr>
          <w:rFonts w:ascii="Liberation Serif" w:eastAsia="SimSun" w:hAnsi="Liberation Serif" w:cs="Times New Roman"/>
          <w:kern w:val="3"/>
          <w:sz w:val="24"/>
          <w:szCs w:val="24"/>
          <w:lang w:eastAsia="zh-CN" w:bidi="hi-IN"/>
        </w:rPr>
        <w:t xml:space="preserve"> </w:t>
      </w:r>
      <w:r w:rsidRPr="00E96426">
        <w:rPr>
          <w:rFonts w:ascii="Calibri" w:eastAsia="SimSun" w:hAnsi="Calibri" w:cs="Times New Roman"/>
          <w:kern w:val="3"/>
          <w:lang w:eastAsia="zh-CN" w:bidi="hi-IN"/>
        </w:rPr>
        <w:t xml:space="preserve">Monitorowanie to winno obejmować zbieranie, raportowanie i interpretowanie danych opisujących postęp i efekty realizowanego projektu. Monitoring finansów pozwoli na zebranie informacji </w:t>
      </w:r>
      <w:r w:rsidRPr="00E96426">
        <w:rPr>
          <w:rFonts w:ascii="Calibri" w:eastAsia="SimSun" w:hAnsi="Calibri" w:cs="Times New Roman"/>
          <w:kern w:val="3"/>
          <w:lang w:eastAsia="zh-CN" w:bidi="hi-IN"/>
        </w:rPr>
        <w:br/>
        <w:t>o finansowych aspektach realizacji programu. Ponadto przynajmniej raz w roku powinna być dokonywana kontrola społeczna będąca monitoringiem społecznym nad przebiegiem działań rewitalizacyjnych.</w:t>
      </w:r>
    </w:p>
    <w:p w:rsidR="00EE0C8C" w:rsidRDefault="00EE0C8C" w:rsidP="00EE0C8C">
      <w:pPr>
        <w:widowControl w:val="0"/>
        <w:suppressAutoHyphens/>
        <w:autoSpaceDN w:val="0"/>
        <w:spacing w:after="0" w:line="240" w:lineRule="auto"/>
        <w:jc w:val="both"/>
        <w:textAlignment w:val="baseline"/>
        <w:rPr>
          <w:rFonts w:ascii="Calibri" w:eastAsia="SimSun" w:hAnsi="Calibri" w:cs="Times New Roman"/>
          <w:kern w:val="3"/>
          <w:lang w:eastAsia="zh-CN" w:bidi="hi-IN"/>
        </w:rPr>
      </w:pPr>
    </w:p>
    <w:p w:rsidR="00EE0C8C" w:rsidRPr="00E96426" w:rsidRDefault="00EE0C8C" w:rsidP="00EE0C8C">
      <w:pPr>
        <w:widowControl w:val="0"/>
        <w:suppressAutoHyphens/>
        <w:autoSpaceDN w:val="0"/>
        <w:spacing w:after="0" w:line="240" w:lineRule="auto"/>
        <w:jc w:val="both"/>
        <w:textAlignment w:val="baseline"/>
        <w:rPr>
          <w:rFonts w:ascii="Calibri" w:eastAsia="SimSun" w:hAnsi="Calibri" w:cs="Mangal"/>
          <w:kern w:val="3"/>
          <w:lang w:eastAsia="zh-CN" w:bidi="hi-IN"/>
        </w:rPr>
      </w:pPr>
      <w:r w:rsidRPr="00E96426">
        <w:rPr>
          <w:rFonts w:ascii="Calibri" w:eastAsia="SimSun" w:hAnsi="Calibri" w:cs="Times New Roman"/>
          <w:kern w:val="3"/>
          <w:lang w:eastAsia="zh-CN" w:bidi="hi-IN"/>
        </w:rPr>
        <w:t>W ramach promocji zostaną wykorzystane następujące s</w:t>
      </w:r>
      <w:r w:rsidR="00C255D3">
        <w:rPr>
          <w:rFonts w:ascii="Calibri" w:eastAsia="SimSun" w:hAnsi="Calibri" w:cs="Times New Roman"/>
          <w:kern w:val="3"/>
          <w:lang w:eastAsia="zh-CN" w:bidi="hi-IN"/>
        </w:rPr>
        <w:t>posoby przekazywania informacji:</w:t>
      </w:r>
    </w:p>
    <w:p w:rsidR="00EE0C8C" w:rsidRPr="00E96426" w:rsidRDefault="00EE0C8C" w:rsidP="00234BBD">
      <w:pPr>
        <w:widowControl w:val="0"/>
        <w:numPr>
          <w:ilvl w:val="0"/>
          <w:numId w:val="45"/>
        </w:numPr>
        <w:suppressAutoHyphens/>
        <w:autoSpaceDN w:val="0"/>
        <w:spacing w:after="0" w:line="240" w:lineRule="auto"/>
        <w:ind w:left="360" w:hanging="360"/>
        <w:jc w:val="both"/>
        <w:textAlignment w:val="baseline"/>
        <w:rPr>
          <w:rFonts w:ascii="Calibri" w:eastAsia="SimSun" w:hAnsi="Calibri" w:cs="Mangal"/>
          <w:kern w:val="3"/>
          <w:lang w:eastAsia="zh-CN" w:bidi="hi-IN"/>
        </w:rPr>
      </w:pPr>
      <w:r w:rsidRPr="00E96426">
        <w:rPr>
          <w:rFonts w:ascii="Calibri" w:eastAsia="SimSun" w:hAnsi="Calibri" w:cs="Times New Roman"/>
          <w:kern w:val="3"/>
          <w:lang w:eastAsia="zh-CN" w:bidi="hi-IN"/>
        </w:rPr>
        <w:t xml:space="preserve">strona internetowa Urzędu Gminy w Mircu; zawierająca informacje o </w:t>
      </w:r>
      <w:r>
        <w:rPr>
          <w:rFonts w:ascii="Calibri" w:eastAsia="SimSun" w:hAnsi="Calibri" w:cs="Times New Roman"/>
          <w:kern w:val="3"/>
          <w:lang w:eastAsia="zh-CN" w:bidi="hi-IN"/>
        </w:rPr>
        <w:t>GPR</w:t>
      </w:r>
      <w:r w:rsidRPr="00E96426">
        <w:rPr>
          <w:rFonts w:ascii="Calibri" w:eastAsia="SimSun" w:hAnsi="Calibri" w:cs="Times New Roman"/>
          <w:kern w:val="3"/>
          <w:lang w:eastAsia="zh-CN" w:bidi="hi-IN"/>
        </w:rPr>
        <w:t>, ujętych w nim projektach, wkładzie Unii Europejskiej w realizowane przedsięwzięcia,</w:t>
      </w:r>
    </w:p>
    <w:p w:rsidR="00EE0C8C" w:rsidRPr="00E96426" w:rsidRDefault="00EE0C8C" w:rsidP="00234BBD">
      <w:pPr>
        <w:widowControl w:val="0"/>
        <w:numPr>
          <w:ilvl w:val="0"/>
          <w:numId w:val="45"/>
        </w:numPr>
        <w:suppressAutoHyphens/>
        <w:autoSpaceDN w:val="0"/>
        <w:spacing w:after="0" w:line="240" w:lineRule="auto"/>
        <w:ind w:left="360" w:hanging="360"/>
        <w:jc w:val="both"/>
        <w:textAlignment w:val="baseline"/>
        <w:rPr>
          <w:rFonts w:ascii="Calibri" w:eastAsia="SimSun" w:hAnsi="Calibri" w:cs="Mangal"/>
          <w:kern w:val="3"/>
          <w:lang w:eastAsia="zh-CN" w:bidi="hi-IN"/>
        </w:rPr>
      </w:pPr>
      <w:r w:rsidRPr="00E96426">
        <w:rPr>
          <w:rFonts w:ascii="Calibri" w:eastAsia="SimSun" w:hAnsi="Calibri" w:cs="Times New Roman"/>
          <w:kern w:val="3"/>
          <w:lang w:eastAsia="zh-CN" w:bidi="hi-IN"/>
        </w:rPr>
        <w:t>plakaty w Urzędzie Gminy w Mircu,</w:t>
      </w:r>
    </w:p>
    <w:p w:rsidR="00EE0C8C" w:rsidRPr="00E96426" w:rsidRDefault="00EE0C8C" w:rsidP="00234BBD">
      <w:pPr>
        <w:widowControl w:val="0"/>
        <w:numPr>
          <w:ilvl w:val="0"/>
          <w:numId w:val="45"/>
        </w:numPr>
        <w:suppressAutoHyphens/>
        <w:autoSpaceDN w:val="0"/>
        <w:spacing w:after="0" w:line="240" w:lineRule="auto"/>
        <w:ind w:left="360" w:hanging="360"/>
        <w:jc w:val="both"/>
        <w:textAlignment w:val="baseline"/>
        <w:rPr>
          <w:rFonts w:ascii="Calibri" w:eastAsia="SimSun" w:hAnsi="Calibri" w:cs="Mangal"/>
          <w:kern w:val="3"/>
          <w:lang w:eastAsia="zh-CN" w:bidi="hi-IN"/>
        </w:rPr>
      </w:pPr>
      <w:r w:rsidRPr="00E96426">
        <w:rPr>
          <w:rFonts w:ascii="Calibri" w:eastAsia="SimSun" w:hAnsi="Calibri" w:cs="Times New Roman"/>
          <w:kern w:val="3"/>
          <w:lang w:eastAsia="zh-CN" w:bidi="hi-IN"/>
        </w:rPr>
        <w:t>biuletyny i foldery o wykonywaniu konkretnych zadań,</w:t>
      </w:r>
    </w:p>
    <w:p w:rsidR="00EE0C8C" w:rsidRPr="00E96426" w:rsidRDefault="00EE0C8C" w:rsidP="00234BBD">
      <w:pPr>
        <w:widowControl w:val="0"/>
        <w:numPr>
          <w:ilvl w:val="0"/>
          <w:numId w:val="45"/>
        </w:numPr>
        <w:suppressAutoHyphens/>
        <w:autoSpaceDN w:val="0"/>
        <w:spacing w:after="0" w:line="240" w:lineRule="auto"/>
        <w:ind w:left="360" w:hanging="360"/>
        <w:jc w:val="both"/>
        <w:textAlignment w:val="baseline"/>
        <w:rPr>
          <w:rFonts w:ascii="Calibri" w:eastAsia="SimSun" w:hAnsi="Calibri" w:cs="Mangal"/>
          <w:kern w:val="3"/>
          <w:lang w:eastAsia="zh-CN" w:bidi="hi-IN"/>
        </w:rPr>
      </w:pPr>
      <w:r w:rsidRPr="00E96426">
        <w:rPr>
          <w:rFonts w:ascii="Calibri" w:eastAsia="SimSun" w:hAnsi="Calibri" w:cs="Times New Roman"/>
          <w:kern w:val="3"/>
          <w:lang w:eastAsia="zh-CN" w:bidi="hi-IN"/>
        </w:rPr>
        <w:t>kontakty z lokalną prasą i telewizją,</w:t>
      </w:r>
    </w:p>
    <w:p w:rsidR="00EE0C8C" w:rsidRPr="00E96426" w:rsidRDefault="00EE0C8C" w:rsidP="00234BBD">
      <w:pPr>
        <w:widowControl w:val="0"/>
        <w:numPr>
          <w:ilvl w:val="0"/>
          <w:numId w:val="45"/>
        </w:numPr>
        <w:suppressAutoHyphens/>
        <w:autoSpaceDN w:val="0"/>
        <w:spacing w:after="0" w:line="240" w:lineRule="auto"/>
        <w:ind w:left="360" w:hanging="360"/>
        <w:jc w:val="both"/>
        <w:textAlignment w:val="baseline"/>
        <w:rPr>
          <w:rFonts w:ascii="Calibri" w:eastAsia="SimSun" w:hAnsi="Calibri" w:cs="Mangal"/>
          <w:color w:val="000000"/>
          <w:kern w:val="3"/>
          <w:lang w:eastAsia="zh-CN" w:bidi="hi-IN"/>
        </w:rPr>
      </w:pPr>
      <w:r w:rsidRPr="00E96426">
        <w:rPr>
          <w:rFonts w:ascii="Calibri" w:eastAsia="SimSun" w:hAnsi="Calibri" w:cs="Times New Roman"/>
          <w:color w:val="000000"/>
          <w:kern w:val="3"/>
          <w:lang w:eastAsia="zh-CN" w:bidi="hi-IN"/>
        </w:rPr>
        <w:t>spotkania z potencjalnymi partnerami społeczno-gospodarczymi w projektach.</w:t>
      </w:r>
    </w:p>
    <w:p w:rsidR="00EE0C8C" w:rsidRPr="00EC1823" w:rsidRDefault="00EE0C8C" w:rsidP="00EE0C8C">
      <w:pPr>
        <w:rPr>
          <w:b/>
        </w:rPr>
      </w:pPr>
    </w:p>
    <w:p w:rsidR="00EE0C8C" w:rsidRDefault="00EE0C8C" w:rsidP="00A6085B">
      <w:pPr>
        <w:jc w:val="both"/>
        <w:rPr>
          <w:rFonts w:eastAsiaTheme="minorEastAsia"/>
          <w:b/>
          <w:bCs/>
          <w:iCs/>
          <w:color w:val="4F81BD" w:themeColor="accent1"/>
          <w:sz w:val="28"/>
          <w:szCs w:val="28"/>
          <w:lang w:eastAsia="pl-PL"/>
        </w:rPr>
      </w:pPr>
    </w:p>
    <w:p w:rsidR="00EE0C8C" w:rsidRDefault="00EE0C8C" w:rsidP="00EE0C8C">
      <w:pPr>
        <w:rPr>
          <w:lang w:eastAsia="pl-PL"/>
        </w:rPr>
      </w:pPr>
      <w:r>
        <w:rPr>
          <w:lang w:eastAsia="pl-PL"/>
        </w:rPr>
        <w:br w:type="page"/>
      </w:r>
    </w:p>
    <w:p w:rsidR="00EE0C8C" w:rsidRPr="008903A4" w:rsidRDefault="00EE0C8C" w:rsidP="008903A4">
      <w:pPr>
        <w:pStyle w:val="Nagwek2"/>
        <w:rPr>
          <w:sz w:val="56"/>
          <w:u w:val="single"/>
        </w:rPr>
      </w:pPr>
      <w:bookmarkStart w:id="136" w:name="_Toc450562534"/>
      <w:r w:rsidRPr="008903A4">
        <w:rPr>
          <w:sz w:val="56"/>
          <w:u w:val="single"/>
        </w:rPr>
        <w:lastRenderedPageBreak/>
        <w:t>ROZDZIAŁ X</w:t>
      </w:r>
      <w:bookmarkEnd w:id="136"/>
    </w:p>
    <w:p w:rsidR="00EE0C8C" w:rsidRDefault="00EE0C8C" w:rsidP="008903A4">
      <w:pPr>
        <w:pStyle w:val="Nagwek2"/>
      </w:pPr>
      <w:bookmarkStart w:id="137" w:name="_Toc450562535"/>
      <w:r>
        <w:t>ZARZĄDZANIE, MONITORING, EWALUACJA I GPR MIRZEC</w:t>
      </w:r>
      <w:bookmarkEnd w:id="137"/>
    </w:p>
    <w:p w:rsidR="00EE0C8C" w:rsidRDefault="00EE0C8C" w:rsidP="00EE0C8C">
      <w:pPr>
        <w:rPr>
          <w:b/>
        </w:rPr>
      </w:pPr>
    </w:p>
    <w:p w:rsidR="00EE0C8C" w:rsidRPr="0006030D" w:rsidRDefault="00EE0C8C" w:rsidP="00EE0C8C">
      <w:r>
        <w:t>Zarządzanie programem rewitalizacji obejmuje 5 poziomów, które pokazuje Schemat nr 1.</w:t>
      </w:r>
    </w:p>
    <w:p w:rsidR="00EE0C8C" w:rsidRDefault="00EE0C8C" w:rsidP="00EE0C8C"/>
    <w:p w:rsidR="00EE0C8C" w:rsidRDefault="00EE0C8C" w:rsidP="00EE0C8C">
      <w:r>
        <w:br w:type="page"/>
      </w:r>
    </w:p>
    <w:p w:rsidR="00EE0C8C" w:rsidRPr="00E96426" w:rsidRDefault="00EE0C8C" w:rsidP="00EE0C8C">
      <w:pPr>
        <w:widowControl w:val="0"/>
        <w:suppressAutoHyphens/>
        <w:autoSpaceDN w:val="0"/>
        <w:spacing w:after="0" w:line="240" w:lineRule="auto"/>
        <w:textAlignment w:val="baseline"/>
        <w:rPr>
          <w:rFonts w:ascii="Calibri" w:eastAsia="SimSun" w:hAnsi="Calibri" w:cs="Mangal"/>
          <w:kern w:val="3"/>
          <w:lang w:eastAsia="zh-CN" w:bidi="hi-IN"/>
        </w:rPr>
      </w:pPr>
      <w:r w:rsidRPr="00E96426">
        <w:rPr>
          <w:rFonts w:ascii="Calibri" w:eastAsia="Calibri" w:hAnsi="Calibri" w:cs="Times New Roman"/>
          <w:i/>
          <w:kern w:val="3"/>
          <w:u w:val="single"/>
          <w:lang w:eastAsia="zh-CN" w:bidi="hi-IN"/>
        </w:rPr>
        <w:lastRenderedPageBreak/>
        <w:t>Poziom Pierwszy:</w:t>
      </w:r>
    </w:p>
    <w:p w:rsidR="00EE0C8C" w:rsidRPr="00E96426" w:rsidRDefault="00EE0C8C" w:rsidP="00EE0C8C">
      <w:pPr>
        <w:widowControl w:val="0"/>
        <w:suppressAutoHyphens/>
        <w:autoSpaceDN w:val="0"/>
        <w:spacing w:after="0" w:line="240" w:lineRule="auto"/>
        <w:jc w:val="both"/>
        <w:textAlignment w:val="baseline"/>
        <w:rPr>
          <w:rFonts w:ascii="Calibri" w:eastAsia="SimSun" w:hAnsi="Calibri" w:cs="Mangal"/>
          <w:kern w:val="3"/>
          <w:lang w:eastAsia="zh-CN" w:bidi="hi-IN"/>
        </w:rPr>
      </w:pPr>
      <w:r w:rsidRPr="00E96426">
        <w:rPr>
          <w:rFonts w:ascii="Calibri" w:eastAsia="Calibri" w:hAnsi="Calibri" w:cs="Times New Roman"/>
          <w:kern w:val="3"/>
          <w:lang w:eastAsia="zh-CN" w:bidi="hi-IN"/>
        </w:rPr>
        <w:t>Przygotowanie programu rewitalizacji przy udziale jak największej partycypacji społecznej.</w:t>
      </w:r>
      <w:r>
        <w:rPr>
          <w:rFonts w:ascii="Calibri" w:eastAsia="Calibri" w:hAnsi="Calibri" w:cs="Times New Roman"/>
          <w:kern w:val="3"/>
          <w:lang w:eastAsia="zh-CN" w:bidi="hi-IN"/>
        </w:rPr>
        <w:t xml:space="preserve"> </w:t>
      </w:r>
      <w:r w:rsidRPr="00E96426">
        <w:rPr>
          <w:rFonts w:ascii="Calibri" w:eastAsia="Calibri" w:hAnsi="Calibri" w:cs="Times New Roman"/>
          <w:kern w:val="3"/>
          <w:lang w:eastAsia="zh-CN" w:bidi="hi-IN"/>
        </w:rPr>
        <w:t>Na tym poziomie wójt gminy powołuje Komitet Rewitalizacji składający się z radnych, sołtysów, pracowników urzędu gminy, właścicieli nieruchomości oraz liderów opinii publicznej. Wybiera także firmę zewnętrzną, która pełni funkcję doradczą i koordynuje pracę zespołu ds. rewitalizacji, przeprowadza konsultacje społeczne połączone z badaniami ankietowymi liderów opinii publicznej i beneficjentów rewitalizacji oraz zbiera i weryfikuje zadania inwestycyjne i społeczne oraz redaguje projekt planu rewitalizacji.</w:t>
      </w:r>
    </w:p>
    <w:p w:rsidR="00EE0C8C" w:rsidRPr="00E96426" w:rsidRDefault="00EE0C8C" w:rsidP="00EE0C8C">
      <w:pPr>
        <w:widowControl w:val="0"/>
        <w:suppressAutoHyphens/>
        <w:autoSpaceDN w:val="0"/>
        <w:spacing w:after="0" w:line="240" w:lineRule="auto"/>
        <w:jc w:val="both"/>
        <w:textAlignment w:val="baseline"/>
        <w:rPr>
          <w:rFonts w:ascii="Calibri" w:eastAsia="SimSun" w:hAnsi="Calibri" w:cs="Mangal"/>
          <w:kern w:val="3"/>
          <w:lang w:eastAsia="zh-CN" w:bidi="hi-IN"/>
        </w:rPr>
      </w:pPr>
    </w:p>
    <w:p w:rsidR="00EE0C8C" w:rsidRPr="00E96426" w:rsidRDefault="00EE0C8C" w:rsidP="00EE0C8C">
      <w:pPr>
        <w:widowControl w:val="0"/>
        <w:suppressAutoHyphens/>
        <w:autoSpaceDN w:val="0"/>
        <w:spacing w:after="0" w:line="240" w:lineRule="auto"/>
        <w:jc w:val="both"/>
        <w:textAlignment w:val="baseline"/>
        <w:rPr>
          <w:rFonts w:ascii="Calibri" w:eastAsia="SimSun" w:hAnsi="Calibri" w:cs="Mangal"/>
          <w:kern w:val="3"/>
          <w:lang w:eastAsia="zh-CN" w:bidi="hi-IN"/>
        </w:rPr>
      </w:pPr>
      <w:r w:rsidRPr="00E96426">
        <w:rPr>
          <w:rFonts w:ascii="Calibri" w:eastAsia="Calibri" w:hAnsi="Calibri" w:cs="Times New Roman"/>
          <w:i/>
          <w:kern w:val="3"/>
          <w:u w:val="single"/>
          <w:lang w:eastAsia="zh-CN" w:bidi="hi-IN"/>
        </w:rPr>
        <w:t>Poziom Drugi:</w:t>
      </w:r>
    </w:p>
    <w:p w:rsidR="00EE0C8C" w:rsidRPr="00E96426" w:rsidRDefault="00EE0C8C" w:rsidP="00EE0C8C">
      <w:pPr>
        <w:widowControl w:val="0"/>
        <w:suppressAutoHyphens/>
        <w:autoSpaceDN w:val="0"/>
        <w:spacing w:after="0" w:line="240" w:lineRule="auto"/>
        <w:jc w:val="both"/>
        <w:textAlignment w:val="baseline"/>
        <w:rPr>
          <w:rFonts w:ascii="Calibri" w:eastAsia="SimSun" w:hAnsi="Calibri" w:cs="Mangal"/>
          <w:kern w:val="3"/>
          <w:lang w:eastAsia="zh-CN" w:bidi="hi-IN"/>
        </w:rPr>
      </w:pPr>
      <w:r w:rsidRPr="00E96426">
        <w:rPr>
          <w:rFonts w:ascii="Calibri" w:eastAsia="Calibri" w:hAnsi="Calibri" w:cs="Times New Roman"/>
          <w:kern w:val="3"/>
          <w:lang w:eastAsia="zh-CN" w:bidi="hi-IN"/>
        </w:rPr>
        <w:t>Dotyczy podjęcia uchwał:</w:t>
      </w:r>
    </w:p>
    <w:p w:rsidR="00EE0C8C" w:rsidRPr="00E96426" w:rsidRDefault="00EE0C8C" w:rsidP="00EE0C8C">
      <w:pPr>
        <w:widowControl w:val="0"/>
        <w:suppressAutoHyphens/>
        <w:autoSpaceDN w:val="0"/>
        <w:spacing w:after="0" w:line="240" w:lineRule="auto"/>
        <w:jc w:val="both"/>
        <w:textAlignment w:val="baseline"/>
        <w:rPr>
          <w:rFonts w:ascii="Calibri" w:eastAsia="SimSun" w:hAnsi="Calibri" w:cs="Mangal"/>
          <w:kern w:val="3"/>
          <w:lang w:eastAsia="zh-CN" w:bidi="hi-IN"/>
        </w:rPr>
      </w:pPr>
      <w:r w:rsidRPr="00E96426">
        <w:rPr>
          <w:rFonts w:ascii="Calibri" w:eastAsia="Calibri" w:hAnsi="Calibri" w:cs="Times New Roman"/>
          <w:kern w:val="3"/>
          <w:lang w:eastAsia="zh-CN" w:bidi="hi-IN"/>
        </w:rPr>
        <w:t>1. o ustaleniu obszaru rewitalizacji,</w:t>
      </w:r>
    </w:p>
    <w:p w:rsidR="00EE0C8C" w:rsidRPr="00E96426" w:rsidRDefault="00EE0C8C" w:rsidP="00EE0C8C">
      <w:pPr>
        <w:widowControl w:val="0"/>
        <w:suppressAutoHyphens/>
        <w:autoSpaceDN w:val="0"/>
        <w:spacing w:after="0" w:line="240" w:lineRule="auto"/>
        <w:jc w:val="both"/>
        <w:textAlignment w:val="baseline"/>
        <w:rPr>
          <w:rFonts w:ascii="Calibri" w:eastAsia="SimSun" w:hAnsi="Calibri" w:cs="Mangal"/>
          <w:kern w:val="3"/>
          <w:lang w:eastAsia="zh-CN" w:bidi="hi-IN"/>
        </w:rPr>
      </w:pPr>
      <w:r w:rsidRPr="00E96426">
        <w:rPr>
          <w:rFonts w:ascii="Calibri" w:eastAsia="Calibri" w:hAnsi="Calibri" w:cs="Times New Roman"/>
          <w:kern w:val="3"/>
          <w:lang w:eastAsia="zh-CN" w:bidi="hi-IN"/>
        </w:rPr>
        <w:t xml:space="preserve">2. o zatwierdzeniu do realizacji </w:t>
      </w:r>
      <w:r w:rsidR="00072FFD">
        <w:rPr>
          <w:rFonts w:ascii="Calibri" w:eastAsia="Calibri" w:hAnsi="Calibri" w:cs="Times New Roman"/>
          <w:kern w:val="3"/>
          <w:lang w:eastAsia="zh-CN" w:bidi="hi-IN"/>
        </w:rPr>
        <w:t>Gminnego</w:t>
      </w:r>
      <w:r w:rsidRPr="00E96426">
        <w:rPr>
          <w:rFonts w:ascii="Calibri" w:eastAsia="Calibri" w:hAnsi="Calibri" w:cs="Times New Roman"/>
          <w:kern w:val="3"/>
          <w:lang w:eastAsia="zh-CN" w:bidi="hi-IN"/>
        </w:rPr>
        <w:t xml:space="preserve"> </w:t>
      </w:r>
      <w:r w:rsidR="003E259E">
        <w:rPr>
          <w:rFonts w:ascii="Calibri" w:eastAsia="Calibri" w:hAnsi="Calibri" w:cs="Times New Roman"/>
          <w:kern w:val="3"/>
          <w:lang w:eastAsia="zh-CN" w:bidi="hi-IN"/>
        </w:rPr>
        <w:t>p</w:t>
      </w:r>
      <w:r w:rsidRPr="00E96426">
        <w:rPr>
          <w:rFonts w:ascii="Calibri" w:eastAsia="Calibri" w:hAnsi="Calibri" w:cs="Times New Roman"/>
          <w:kern w:val="3"/>
          <w:lang w:eastAsia="zh-CN" w:bidi="hi-IN"/>
        </w:rPr>
        <w:t xml:space="preserve">rogramu </w:t>
      </w:r>
      <w:r w:rsidR="003E259E">
        <w:rPr>
          <w:rFonts w:ascii="Calibri" w:eastAsia="Calibri" w:hAnsi="Calibri" w:cs="Times New Roman"/>
          <w:kern w:val="3"/>
          <w:lang w:eastAsia="zh-CN" w:bidi="hi-IN"/>
        </w:rPr>
        <w:t>r</w:t>
      </w:r>
      <w:r w:rsidRPr="00E96426">
        <w:rPr>
          <w:rFonts w:ascii="Calibri" w:eastAsia="Calibri" w:hAnsi="Calibri" w:cs="Times New Roman"/>
          <w:kern w:val="3"/>
          <w:lang w:eastAsia="zh-CN" w:bidi="hi-IN"/>
        </w:rPr>
        <w:t xml:space="preserve">ewitalizacji </w:t>
      </w:r>
      <w:r w:rsidR="0048644A">
        <w:rPr>
          <w:rFonts w:ascii="Calibri" w:eastAsia="Calibri" w:hAnsi="Calibri" w:cs="Times New Roman"/>
          <w:kern w:val="3"/>
          <w:lang w:eastAsia="zh-CN" w:bidi="hi-IN"/>
        </w:rPr>
        <w:t>dla gminy</w:t>
      </w:r>
      <w:r w:rsidRPr="00E96426">
        <w:rPr>
          <w:rFonts w:ascii="Calibri" w:eastAsia="Calibri" w:hAnsi="Calibri" w:cs="Times New Roman"/>
          <w:kern w:val="3"/>
          <w:lang w:eastAsia="zh-CN" w:bidi="hi-IN"/>
        </w:rPr>
        <w:t xml:space="preserve"> Mirzec na lata </w:t>
      </w:r>
      <w:r w:rsidRPr="00E96426">
        <w:rPr>
          <w:rFonts w:ascii="Calibri" w:eastAsia="Calibri" w:hAnsi="Calibri" w:cs="Times New Roman"/>
          <w:kern w:val="3"/>
          <w:lang w:eastAsia="zh-CN" w:bidi="hi-IN"/>
        </w:rPr>
        <w:br/>
        <w:t>201</w:t>
      </w:r>
      <w:r w:rsidR="00072FFD">
        <w:rPr>
          <w:rFonts w:ascii="Calibri" w:eastAsia="Calibri" w:hAnsi="Calibri" w:cs="Times New Roman"/>
          <w:kern w:val="3"/>
          <w:lang w:eastAsia="zh-CN" w:bidi="hi-IN"/>
        </w:rPr>
        <w:t>6</w:t>
      </w:r>
      <w:r w:rsidRPr="00E96426">
        <w:rPr>
          <w:rFonts w:ascii="Calibri" w:eastAsia="Calibri" w:hAnsi="Calibri" w:cs="Times New Roman"/>
          <w:kern w:val="3"/>
          <w:lang w:eastAsia="zh-CN" w:bidi="hi-IN"/>
        </w:rPr>
        <w:t>-202</w:t>
      </w:r>
      <w:r w:rsidR="00072FFD">
        <w:rPr>
          <w:rFonts w:ascii="Calibri" w:eastAsia="Calibri" w:hAnsi="Calibri" w:cs="Times New Roman"/>
          <w:kern w:val="3"/>
          <w:lang w:eastAsia="zh-CN" w:bidi="hi-IN"/>
        </w:rPr>
        <w:t>2</w:t>
      </w:r>
      <w:r w:rsidRPr="00E96426">
        <w:rPr>
          <w:rFonts w:ascii="Calibri" w:eastAsia="Calibri" w:hAnsi="Calibri" w:cs="Times New Roman"/>
          <w:kern w:val="3"/>
          <w:lang w:eastAsia="zh-CN" w:bidi="hi-IN"/>
        </w:rPr>
        <w:t>,</w:t>
      </w:r>
    </w:p>
    <w:p w:rsidR="00EE0C8C" w:rsidRPr="00E96426" w:rsidRDefault="00EE0C8C" w:rsidP="00EE0C8C">
      <w:pPr>
        <w:widowControl w:val="0"/>
        <w:suppressAutoHyphens/>
        <w:autoSpaceDN w:val="0"/>
        <w:spacing w:after="0" w:line="240" w:lineRule="auto"/>
        <w:jc w:val="both"/>
        <w:textAlignment w:val="baseline"/>
        <w:rPr>
          <w:rFonts w:ascii="Calibri" w:eastAsia="SimSun" w:hAnsi="Calibri" w:cs="Mangal"/>
          <w:kern w:val="3"/>
          <w:lang w:eastAsia="zh-CN" w:bidi="hi-IN"/>
        </w:rPr>
      </w:pPr>
      <w:r w:rsidRPr="00E96426">
        <w:rPr>
          <w:rFonts w:ascii="Calibri" w:eastAsia="Calibri" w:hAnsi="Calibri" w:cs="Times New Roman"/>
          <w:kern w:val="3"/>
          <w:lang w:eastAsia="zh-CN" w:bidi="hi-IN"/>
        </w:rPr>
        <w:t>3. o powołaniu Komitetu Rewitalizacji,</w:t>
      </w:r>
    </w:p>
    <w:p w:rsidR="00EE0C8C" w:rsidRPr="00E96426" w:rsidRDefault="00EE0C8C" w:rsidP="00EE0C8C">
      <w:pPr>
        <w:widowControl w:val="0"/>
        <w:suppressAutoHyphens/>
        <w:autoSpaceDN w:val="0"/>
        <w:spacing w:after="0" w:line="240" w:lineRule="auto"/>
        <w:jc w:val="both"/>
        <w:textAlignment w:val="baseline"/>
        <w:rPr>
          <w:rFonts w:ascii="Calibri" w:eastAsia="SimSun" w:hAnsi="Calibri" w:cs="Mangal"/>
          <w:kern w:val="3"/>
          <w:lang w:eastAsia="zh-CN" w:bidi="hi-IN"/>
        </w:rPr>
      </w:pPr>
      <w:r w:rsidRPr="00E96426">
        <w:rPr>
          <w:rFonts w:ascii="Calibri" w:eastAsia="Calibri" w:hAnsi="Calibri" w:cs="Times New Roman"/>
          <w:kern w:val="3"/>
          <w:lang w:eastAsia="zh-CN" w:bidi="hi-IN"/>
        </w:rPr>
        <w:t>4. o przyjęciu zmian w Strategii Rozwoju Gminy Mirzec i zobowiązania wójta do ich wdrożenia. Wójt Gminy Mirzec powołuje Komitet Rewitalizacji ds. zarządzania, wdrożenia, monitoringu i ewaluacji programu rewitalizacji, którego zadaniem będzie koordynacja wszystkich działań objętych programem rewitalizacji w latach 201</w:t>
      </w:r>
      <w:r w:rsidR="00072FFD">
        <w:rPr>
          <w:rFonts w:ascii="Calibri" w:eastAsia="Calibri" w:hAnsi="Calibri" w:cs="Times New Roman"/>
          <w:kern w:val="3"/>
          <w:lang w:eastAsia="zh-CN" w:bidi="hi-IN"/>
        </w:rPr>
        <w:t>6</w:t>
      </w:r>
      <w:r w:rsidRPr="00E96426">
        <w:rPr>
          <w:rFonts w:ascii="Calibri" w:eastAsia="Calibri" w:hAnsi="Calibri" w:cs="Times New Roman"/>
          <w:kern w:val="3"/>
          <w:lang w:eastAsia="zh-CN" w:bidi="hi-IN"/>
        </w:rPr>
        <w:t>-202</w:t>
      </w:r>
      <w:r w:rsidR="00072FFD">
        <w:rPr>
          <w:rFonts w:ascii="Calibri" w:eastAsia="Calibri" w:hAnsi="Calibri" w:cs="Times New Roman"/>
          <w:kern w:val="3"/>
          <w:lang w:eastAsia="zh-CN" w:bidi="hi-IN"/>
        </w:rPr>
        <w:t>2</w:t>
      </w:r>
      <w:r w:rsidRPr="00E96426">
        <w:rPr>
          <w:rFonts w:ascii="Calibri" w:eastAsia="Calibri" w:hAnsi="Calibri" w:cs="Times New Roman"/>
          <w:kern w:val="3"/>
          <w:lang w:eastAsia="zh-CN" w:bidi="hi-IN"/>
        </w:rPr>
        <w:t>, współpraca z beneficjentami programu, nadzór nad wdrożonymi projektami inwestycyjnymi i społecznymi oraz monitoring i ewaluacja uzyskiwanych wskaźników produktu, rezultatu i oddziaływania jakie realizacja programu rewitalizacji winna przynieść dla Gminy Mirzec.</w:t>
      </w:r>
    </w:p>
    <w:p w:rsidR="00EE0C8C" w:rsidRPr="00E96426" w:rsidRDefault="00EE0C8C" w:rsidP="00EE0C8C">
      <w:pPr>
        <w:widowControl w:val="0"/>
        <w:suppressAutoHyphens/>
        <w:autoSpaceDN w:val="0"/>
        <w:spacing w:after="0" w:line="240" w:lineRule="auto"/>
        <w:jc w:val="both"/>
        <w:textAlignment w:val="baseline"/>
        <w:rPr>
          <w:rFonts w:ascii="Calibri" w:eastAsia="SimSun" w:hAnsi="Calibri" w:cs="Mangal"/>
          <w:kern w:val="3"/>
          <w:lang w:eastAsia="zh-CN" w:bidi="hi-IN"/>
        </w:rPr>
      </w:pPr>
    </w:p>
    <w:p w:rsidR="00EE0C8C" w:rsidRPr="00E96426" w:rsidRDefault="00EE0C8C" w:rsidP="00EE0C8C">
      <w:pPr>
        <w:widowControl w:val="0"/>
        <w:suppressAutoHyphens/>
        <w:autoSpaceDN w:val="0"/>
        <w:spacing w:after="0" w:line="240" w:lineRule="auto"/>
        <w:jc w:val="both"/>
        <w:textAlignment w:val="baseline"/>
        <w:rPr>
          <w:rFonts w:ascii="Calibri" w:eastAsia="SimSun" w:hAnsi="Calibri" w:cs="Mangal"/>
          <w:kern w:val="3"/>
          <w:lang w:eastAsia="zh-CN" w:bidi="hi-IN"/>
        </w:rPr>
      </w:pPr>
      <w:r w:rsidRPr="00E96426">
        <w:rPr>
          <w:rFonts w:ascii="Calibri" w:eastAsia="Calibri" w:hAnsi="Calibri" w:cs="Times New Roman"/>
          <w:i/>
          <w:kern w:val="3"/>
          <w:u w:val="single"/>
          <w:lang w:eastAsia="zh-CN" w:bidi="hi-IN"/>
        </w:rPr>
        <w:t>Poziom Trzeci:</w:t>
      </w:r>
    </w:p>
    <w:p w:rsidR="00EE0C8C" w:rsidRPr="00E96426" w:rsidRDefault="00EE0C8C" w:rsidP="00EE0C8C">
      <w:pPr>
        <w:widowControl w:val="0"/>
        <w:suppressAutoHyphens/>
        <w:autoSpaceDN w:val="0"/>
        <w:spacing w:after="0" w:line="240" w:lineRule="auto"/>
        <w:jc w:val="both"/>
        <w:textAlignment w:val="baseline"/>
        <w:rPr>
          <w:rFonts w:ascii="Calibri" w:eastAsia="SimSun" w:hAnsi="Calibri" w:cs="Mangal"/>
          <w:kern w:val="3"/>
          <w:lang w:eastAsia="zh-CN" w:bidi="hi-IN"/>
        </w:rPr>
      </w:pPr>
      <w:r w:rsidRPr="00E96426">
        <w:rPr>
          <w:rFonts w:ascii="Calibri" w:eastAsia="Calibri" w:hAnsi="Calibri" w:cs="Times New Roman"/>
          <w:kern w:val="3"/>
          <w:lang w:eastAsia="zh-CN" w:bidi="hi-IN"/>
        </w:rPr>
        <w:t xml:space="preserve">Związany jest z wdrożeniem i realizacją programu rewitalizacji. Na tym poziomie realizowane są określone w programie rewitalizacji projekty inwestycyjne oraz zgodnie z zasadą finansowania krzyżowego równolegle projekty społeczne. Aby zrealizować przyjęte w programie rewitalizacji projekty inwestycyjne i społeczne niezbędne jest pozyskanie zewnętrznych środków finansowych </w:t>
      </w:r>
      <w:r>
        <w:rPr>
          <w:rFonts w:ascii="Calibri" w:eastAsia="Calibri" w:hAnsi="Calibri" w:cs="Times New Roman"/>
          <w:kern w:val="3"/>
          <w:lang w:eastAsia="zh-CN" w:bidi="hi-IN"/>
        </w:rPr>
        <w:br/>
      </w:r>
      <w:r w:rsidRPr="00E96426">
        <w:rPr>
          <w:rFonts w:ascii="Calibri" w:eastAsia="Calibri" w:hAnsi="Calibri" w:cs="Times New Roman"/>
          <w:kern w:val="3"/>
          <w:lang w:eastAsia="zh-CN" w:bidi="hi-IN"/>
        </w:rPr>
        <w:t>z funduszy strukturalnych UE 2014-2020, krajowych i zagranicznych środków publicznych lub realizacja przedsięwzięć inwestycyjnych przy wykorzystaniu innych instrumentów finansowych takich jak Partnerstwo Publiczno-Prywatne (PPP), projekty hybrydowe, emisja obligacji komunalnych lub funduszy inwestycyjnych.</w:t>
      </w:r>
    </w:p>
    <w:p w:rsidR="00EE0C8C" w:rsidRPr="00E96426" w:rsidRDefault="00EE0C8C" w:rsidP="00EE0C8C">
      <w:pPr>
        <w:widowControl w:val="0"/>
        <w:suppressAutoHyphens/>
        <w:autoSpaceDN w:val="0"/>
        <w:spacing w:after="0" w:line="240" w:lineRule="auto"/>
        <w:jc w:val="both"/>
        <w:textAlignment w:val="baseline"/>
        <w:rPr>
          <w:rFonts w:ascii="Calibri" w:eastAsia="SimSun" w:hAnsi="Calibri" w:cs="Mangal"/>
          <w:kern w:val="3"/>
          <w:lang w:eastAsia="zh-CN" w:bidi="hi-IN"/>
        </w:rPr>
      </w:pPr>
    </w:p>
    <w:p w:rsidR="00EE0C8C" w:rsidRPr="00E96426" w:rsidRDefault="00EE0C8C" w:rsidP="00EE0C8C">
      <w:pPr>
        <w:widowControl w:val="0"/>
        <w:suppressAutoHyphens/>
        <w:autoSpaceDN w:val="0"/>
        <w:spacing w:after="0" w:line="240" w:lineRule="auto"/>
        <w:jc w:val="both"/>
        <w:textAlignment w:val="baseline"/>
        <w:rPr>
          <w:rFonts w:ascii="Calibri" w:eastAsia="SimSun" w:hAnsi="Calibri" w:cs="Mangal"/>
          <w:kern w:val="3"/>
          <w:lang w:eastAsia="zh-CN" w:bidi="hi-IN"/>
        </w:rPr>
      </w:pPr>
      <w:r w:rsidRPr="00E96426">
        <w:rPr>
          <w:rFonts w:ascii="Calibri" w:eastAsia="Calibri" w:hAnsi="Calibri" w:cs="Times New Roman"/>
          <w:i/>
          <w:kern w:val="3"/>
          <w:u w:val="single"/>
          <w:lang w:eastAsia="zh-CN" w:bidi="hi-IN"/>
        </w:rPr>
        <w:t>Poziom Czwarty:</w:t>
      </w:r>
    </w:p>
    <w:p w:rsidR="00EE0C8C" w:rsidRPr="00E96426" w:rsidRDefault="00EE0C8C" w:rsidP="00EE0C8C">
      <w:pPr>
        <w:widowControl w:val="0"/>
        <w:suppressAutoHyphens/>
        <w:autoSpaceDN w:val="0"/>
        <w:spacing w:after="0" w:line="240" w:lineRule="auto"/>
        <w:jc w:val="both"/>
        <w:textAlignment w:val="baseline"/>
        <w:rPr>
          <w:rFonts w:ascii="Calibri" w:eastAsia="SimSun" w:hAnsi="Calibri" w:cs="Mangal"/>
          <w:kern w:val="3"/>
          <w:lang w:eastAsia="zh-CN" w:bidi="hi-IN"/>
        </w:rPr>
      </w:pPr>
      <w:r w:rsidRPr="00E96426">
        <w:rPr>
          <w:rFonts w:ascii="Calibri" w:eastAsia="Calibri" w:hAnsi="Calibri" w:cs="Times New Roman"/>
          <w:kern w:val="3"/>
          <w:lang w:eastAsia="zh-CN" w:bidi="hi-IN"/>
        </w:rPr>
        <w:t>Związany jest z monitoringiem i ewaluacją programu rewitalizacji. Monitoring stanowi integralną część codziennego zarządzania programem rewitalizacji. Aby stał się skutecznym narzędziem w procesie wdrażania i realizacji programu rewitalizacji powinien cechować się następującymi zasadami: wiarygodność, aktualność, rzetelność, transparentność. Instrumentem wspierającym monitoring jest ewaluacja, czyli ocena i pomiar efektywności realizowanych zadań inwestycyjnych i społecznych osiąganych wskaźników produktu, rezultatu i oddziaływania</w:t>
      </w:r>
      <w:r w:rsidR="00896A64">
        <w:rPr>
          <w:rFonts w:ascii="Calibri" w:eastAsia="Calibri" w:hAnsi="Calibri" w:cs="Times New Roman"/>
          <w:kern w:val="3"/>
          <w:lang w:eastAsia="zh-CN" w:bidi="hi-IN"/>
        </w:rPr>
        <w:t>,</w:t>
      </w:r>
      <w:r w:rsidRPr="00E96426">
        <w:rPr>
          <w:rFonts w:ascii="Calibri" w:eastAsia="Calibri" w:hAnsi="Calibri" w:cs="Times New Roman"/>
          <w:kern w:val="3"/>
          <w:lang w:eastAsia="zh-CN" w:bidi="hi-IN"/>
        </w:rPr>
        <w:t xml:space="preserve"> a przede wszystkim rzeczywistego wymiaru wpływu programu rewitalizacji na jakość i komfort życia mieszkańców Gminy Mirzec. Zgodnie z wytycznymi Komisji Europejskiej jest 6 podstawowych kryteriów, które decydują o wynikach ewaluacji:</w:t>
      </w:r>
    </w:p>
    <w:p w:rsidR="00EE0C8C" w:rsidRPr="00E96426" w:rsidRDefault="00EE0C8C" w:rsidP="00234BBD">
      <w:pPr>
        <w:widowControl w:val="0"/>
        <w:numPr>
          <w:ilvl w:val="0"/>
          <w:numId w:val="50"/>
        </w:numPr>
        <w:tabs>
          <w:tab w:val="left" w:pos="426"/>
        </w:tabs>
        <w:suppressAutoHyphens/>
        <w:autoSpaceDN w:val="0"/>
        <w:spacing w:after="0" w:line="240" w:lineRule="auto"/>
        <w:ind w:left="360" w:hanging="360"/>
        <w:jc w:val="both"/>
        <w:textAlignment w:val="baseline"/>
        <w:rPr>
          <w:rFonts w:ascii="Calibri" w:eastAsia="SimSun" w:hAnsi="Calibri" w:cs="Mangal"/>
          <w:kern w:val="3"/>
          <w:lang w:eastAsia="zh-CN" w:bidi="hi-IN"/>
        </w:rPr>
      </w:pPr>
      <w:r w:rsidRPr="00E96426">
        <w:rPr>
          <w:rFonts w:ascii="Calibri" w:eastAsia="Calibri" w:hAnsi="Calibri" w:cs="Times New Roman"/>
          <w:b/>
          <w:bCs/>
          <w:kern w:val="3"/>
          <w:lang w:eastAsia="zh-CN" w:bidi="hi-IN"/>
        </w:rPr>
        <w:t>Odpowiedniość</w:t>
      </w:r>
      <w:r w:rsidR="00896A64">
        <w:rPr>
          <w:rFonts w:ascii="Calibri" w:eastAsia="Calibri" w:hAnsi="Calibri" w:cs="Times New Roman"/>
          <w:kern w:val="3"/>
          <w:lang w:eastAsia="zh-CN" w:bidi="hi-IN"/>
        </w:rPr>
        <w:t xml:space="preserve"> – </w:t>
      </w:r>
      <w:r w:rsidRPr="00E96426">
        <w:rPr>
          <w:rFonts w:ascii="Calibri" w:eastAsia="Calibri" w:hAnsi="Calibri" w:cs="Times New Roman"/>
          <w:kern w:val="3"/>
          <w:lang w:eastAsia="zh-CN" w:bidi="hi-IN"/>
        </w:rPr>
        <w:t xml:space="preserve">odpowiedniość celów rewitalizacji w stosunku do problemów, </w:t>
      </w:r>
      <w:r w:rsidRPr="00E96426">
        <w:rPr>
          <w:rFonts w:ascii="Calibri" w:eastAsia="Calibri" w:hAnsi="Calibri" w:cs="Times New Roman"/>
          <w:kern w:val="3"/>
          <w:lang w:eastAsia="zh-CN" w:bidi="hi-IN"/>
        </w:rPr>
        <w:br/>
        <w:t>jakie rewitalizacja miała rozwiązać.</w:t>
      </w:r>
    </w:p>
    <w:p w:rsidR="00EE0C8C" w:rsidRPr="00E96426" w:rsidRDefault="00EE0C8C" w:rsidP="00234BBD">
      <w:pPr>
        <w:widowControl w:val="0"/>
        <w:numPr>
          <w:ilvl w:val="0"/>
          <w:numId w:val="48"/>
        </w:numPr>
        <w:tabs>
          <w:tab w:val="left" w:pos="426"/>
        </w:tabs>
        <w:suppressAutoHyphens/>
        <w:autoSpaceDN w:val="0"/>
        <w:spacing w:after="0" w:line="240" w:lineRule="auto"/>
        <w:ind w:left="360" w:hanging="360"/>
        <w:jc w:val="both"/>
        <w:textAlignment w:val="baseline"/>
        <w:rPr>
          <w:rFonts w:ascii="Calibri" w:eastAsia="SimSun" w:hAnsi="Calibri" w:cs="Mangal"/>
          <w:kern w:val="3"/>
          <w:lang w:eastAsia="zh-CN" w:bidi="hi-IN"/>
        </w:rPr>
      </w:pPr>
      <w:r w:rsidRPr="00E96426">
        <w:rPr>
          <w:rFonts w:ascii="Calibri" w:eastAsia="Calibri" w:hAnsi="Calibri" w:cs="Times New Roman"/>
          <w:b/>
          <w:bCs/>
          <w:kern w:val="3"/>
          <w:lang w:eastAsia="zh-CN" w:bidi="hi-IN"/>
        </w:rPr>
        <w:t>Przygotowanie strategii</w:t>
      </w:r>
      <w:r w:rsidRPr="00E96426">
        <w:rPr>
          <w:rFonts w:ascii="Calibri" w:eastAsia="Calibri" w:hAnsi="Calibri" w:cs="Times New Roman"/>
          <w:kern w:val="3"/>
          <w:lang w:eastAsia="zh-CN" w:bidi="hi-IN"/>
        </w:rPr>
        <w:t xml:space="preserve"> – logika i kompletność procesu planowania rewitalizacji oraz wewnętrzna logika i spójność dokumentu.</w:t>
      </w:r>
    </w:p>
    <w:p w:rsidR="00EE0C8C" w:rsidRPr="00E96426" w:rsidRDefault="00EE0C8C" w:rsidP="00234BBD">
      <w:pPr>
        <w:widowControl w:val="0"/>
        <w:numPr>
          <w:ilvl w:val="0"/>
          <w:numId w:val="48"/>
        </w:numPr>
        <w:tabs>
          <w:tab w:val="left" w:pos="426"/>
        </w:tabs>
        <w:suppressAutoHyphens/>
        <w:autoSpaceDN w:val="0"/>
        <w:spacing w:after="0" w:line="240" w:lineRule="auto"/>
        <w:ind w:left="360" w:hanging="360"/>
        <w:jc w:val="both"/>
        <w:textAlignment w:val="baseline"/>
        <w:rPr>
          <w:rFonts w:ascii="Calibri" w:eastAsia="SimSun" w:hAnsi="Calibri" w:cs="Mangal"/>
          <w:kern w:val="3"/>
          <w:lang w:eastAsia="zh-CN" w:bidi="hi-IN"/>
        </w:rPr>
      </w:pPr>
      <w:r w:rsidRPr="00E96426">
        <w:rPr>
          <w:rFonts w:ascii="Calibri" w:eastAsia="Calibri" w:hAnsi="Calibri" w:cs="Times New Roman"/>
          <w:b/>
          <w:bCs/>
          <w:kern w:val="3"/>
          <w:lang w:eastAsia="zh-CN" w:bidi="hi-IN"/>
        </w:rPr>
        <w:t>Efektywność</w:t>
      </w:r>
      <w:r w:rsidR="00896A64">
        <w:rPr>
          <w:rFonts w:ascii="Calibri" w:eastAsia="Calibri" w:hAnsi="Calibri" w:cs="Times New Roman"/>
          <w:kern w:val="3"/>
          <w:lang w:eastAsia="zh-CN" w:bidi="hi-IN"/>
        </w:rPr>
        <w:t xml:space="preserve"> – </w:t>
      </w:r>
      <w:r w:rsidRPr="00E96426">
        <w:rPr>
          <w:rFonts w:ascii="Calibri" w:eastAsia="Calibri" w:hAnsi="Calibri" w:cs="Times New Roman"/>
          <w:kern w:val="3"/>
          <w:lang w:eastAsia="zh-CN" w:bidi="hi-IN"/>
        </w:rPr>
        <w:t>koszty, szybkość i efektywność zarządzania, przy wykorzystaniu, których wkład i działania zostały przekształcone w wyniki.</w:t>
      </w:r>
    </w:p>
    <w:p w:rsidR="00EE0C8C" w:rsidRPr="00E96426" w:rsidRDefault="00EE0C8C" w:rsidP="00234BBD">
      <w:pPr>
        <w:widowControl w:val="0"/>
        <w:numPr>
          <w:ilvl w:val="0"/>
          <w:numId w:val="48"/>
        </w:numPr>
        <w:tabs>
          <w:tab w:val="left" w:pos="426"/>
        </w:tabs>
        <w:suppressAutoHyphens/>
        <w:autoSpaceDN w:val="0"/>
        <w:spacing w:after="0" w:line="240" w:lineRule="auto"/>
        <w:ind w:left="360" w:hanging="360"/>
        <w:jc w:val="both"/>
        <w:textAlignment w:val="baseline"/>
        <w:rPr>
          <w:rFonts w:ascii="Calibri" w:eastAsia="SimSun" w:hAnsi="Calibri" w:cs="Mangal"/>
          <w:kern w:val="3"/>
          <w:lang w:eastAsia="zh-CN" w:bidi="hi-IN"/>
        </w:rPr>
      </w:pPr>
      <w:r w:rsidRPr="00E96426">
        <w:rPr>
          <w:rFonts w:ascii="Calibri" w:eastAsia="Calibri" w:hAnsi="Calibri" w:cs="Times New Roman"/>
          <w:b/>
          <w:kern w:val="3"/>
          <w:lang w:eastAsia="zh-CN" w:bidi="hi-IN"/>
        </w:rPr>
        <w:t>S</w:t>
      </w:r>
      <w:r w:rsidRPr="00E96426">
        <w:rPr>
          <w:rFonts w:ascii="Calibri" w:eastAsia="Calibri" w:hAnsi="Calibri" w:cs="Times New Roman"/>
          <w:b/>
          <w:bCs/>
          <w:kern w:val="3"/>
          <w:lang w:eastAsia="zh-CN" w:bidi="hi-IN"/>
        </w:rPr>
        <w:t>kuteczność</w:t>
      </w:r>
      <w:r w:rsidR="00896A64">
        <w:rPr>
          <w:rFonts w:ascii="Calibri" w:eastAsia="Calibri" w:hAnsi="Calibri" w:cs="Times New Roman"/>
          <w:kern w:val="3"/>
          <w:lang w:eastAsia="zh-CN" w:bidi="hi-IN"/>
        </w:rPr>
        <w:t xml:space="preserve"> – </w:t>
      </w:r>
      <w:r w:rsidRPr="00E96426">
        <w:rPr>
          <w:rFonts w:ascii="Calibri" w:eastAsia="Calibri" w:hAnsi="Calibri" w:cs="Times New Roman"/>
          <w:kern w:val="3"/>
          <w:lang w:eastAsia="zh-CN" w:bidi="hi-IN"/>
        </w:rPr>
        <w:t>ocena wkładu osiągniętego dzięki wynikom w stosunku do osiągnięcia celów rewitalizacji, oraz tego, jaki wpływ miały założenia na osiągnięcia rewitalizacji.</w:t>
      </w:r>
    </w:p>
    <w:p w:rsidR="00EE0C8C" w:rsidRPr="00E96426" w:rsidRDefault="00EE0C8C" w:rsidP="00234BBD">
      <w:pPr>
        <w:widowControl w:val="0"/>
        <w:numPr>
          <w:ilvl w:val="0"/>
          <w:numId w:val="48"/>
        </w:numPr>
        <w:tabs>
          <w:tab w:val="left" w:pos="426"/>
        </w:tabs>
        <w:suppressAutoHyphens/>
        <w:autoSpaceDN w:val="0"/>
        <w:spacing w:after="0" w:line="240" w:lineRule="auto"/>
        <w:ind w:left="360" w:hanging="360"/>
        <w:jc w:val="both"/>
        <w:textAlignment w:val="baseline"/>
        <w:rPr>
          <w:rFonts w:ascii="Calibri" w:eastAsia="SimSun" w:hAnsi="Calibri" w:cs="Mangal"/>
          <w:kern w:val="3"/>
          <w:lang w:eastAsia="zh-CN" w:bidi="hi-IN"/>
        </w:rPr>
      </w:pPr>
      <w:r w:rsidRPr="00E96426">
        <w:rPr>
          <w:rFonts w:ascii="Calibri" w:eastAsia="Calibri" w:hAnsi="Calibri" w:cs="Times New Roman"/>
          <w:b/>
          <w:bCs/>
          <w:kern w:val="3"/>
          <w:lang w:eastAsia="zh-CN" w:bidi="hi-IN"/>
        </w:rPr>
        <w:lastRenderedPageBreak/>
        <w:t>Wpływ</w:t>
      </w:r>
      <w:r w:rsidRPr="00E96426">
        <w:rPr>
          <w:rFonts w:ascii="Calibri" w:eastAsia="Calibri" w:hAnsi="Calibri" w:cs="Times New Roman"/>
          <w:kern w:val="3"/>
          <w:lang w:eastAsia="zh-CN" w:bidi="hi-IN"/>
        </w:rPr>
        <w:t xml:space="preserve"> – </w:t>
      </w:r>
      <w:r w:rsidRPr="00E96426">
        <w:rPr>
          <w:rFonts w:ascii="Calibri" w:eastAsia="Calibri" w:hAnsi="Calibri" w:cs="Times New Roman"/>
          <w:b/>
          <w:bCs/>
          <w:kern w:val="3"/>
          <w:lang w:eastAsia="zh-CN" w:bidi="hi-IN"/>
        </w:rPr>
        <w:t>skutek</w:t>
      </w:r>
      <w:r w:rsidRPr="00E96426">
        <w:rPr>
          <w:rFonts w:ascii="Calibri" w:eastAsia="Calibri" w:hAnsi="Calibri" w:cs="Times New Roman"/>
          <w:kern w:val="3"/>
          <w:lang w:eastAsia="zh-CN" w:bidi="hi-IN"/>
        </w:rPr>
        <w:t xml:space="preserve"> - jaki wywiera rewitalizacja w szerszym środowisku, oraz jej wkład </w:t>
      </w:r>
      <w:r w:rsidRPr="00E96426">
        <w:rPr>
          <w:rFonts w:ascii="Calibri" w:eastAsia="Calibri" w:hAnsi="Calibri" w:cs="Times New Roman"/>
          <w:kern w:val="3"/>
          <w:lang w:eastAsia="zh-CN" w:bidi="hi-IN"/>
        </w:rPr>
        <w:br/>
        <w:t>w rozwój i podniesienie konkurencyjności.</w:t>
      </w:r>
    </w:p>
    <w:p w:rsidR="00EE0C8C" w:rsidRPr="00E96426" w:rsidRDefault="00EE0C8C" w:rsidP="00234BBD">
      <w:pPr>
        <w:widowControl w:val="0"/>
        <w:numPr>
          <w:ilvl w:val="0"/>
          <w:numId w:val="48"/>
        </w:numPr>
        <w:tabs>
          <w:tab w:val="left" w:pos="426"/>
        </w:tabs>
        <w:suppressAutoHyphens/>
        <w:autoSpaceDN w:val="0"/>
        <w:spacing w:after="0" w:line="240" w:lineRule="auto"/>
        <w:ind w:left="360" w:hanging="360"/>
        <w:jc w:val="both"/>
        <w:textAlignment w:val="baseline"/>
        <w:rPr>
          <w:rFonts w:ascii="Calibri" w:eastAsia="SimSun" w:hAnsi="Calibri" w:cs="Mangal"/>
          <w:kern w:val="3"/>
          <w:lang w:eastAsia="zh-CN" w:bidi="hi-IN"/>
        </w:rPr>
      </w:pPr>
      <w:r w:rsidRPr="00E96426">
        <w:rPr>
          <w:rFonts w:ascii="Calibri" w:eastAsia="Calibri" w:hAnsi="Calibri" w:cs="Times New Roman"/>
          <w:b/>
          <w:bCs/>
          <w:kern w:val="3"/>
          <w:lang w:eastAsia="zh-CN" w:bidi="hi-IN"/>
        </w:rPr>
        <w:t xml:space="preserve">Trwałość </w:t>
      </w:r>
      <w:r w:rsidRPr="00E96426">
        <w:rPr>
          <w:rFonts w:ascii="Calibri" w:eastAsia="Calibri" w:hAnsi="Calibri" w:cs="Times New Roman"/>
          <w:kern w:val="3"/>
          <w:lang w:eastAsia="zh-CN" w:bidi="hi-IN"/>
        </w:rPr>
        <w:t>– prawdopodobieństwo, że strumień korzyści wynikających z rewitalizacji będzie „płynął” nadal, szczególnie kontynuacja działań w ramach rewitalizacji i osiąganie wyników, ze szczególnym uwzględnieniem czynników rozwojowych wsparcia ze strony polityki, czynników ekonomicznych i finansowych, aspektów społeczno-kulturowych oraz zdolności instytucjonalnych.</w:t>
      </w:r>
    </w:p>
    <w:p w:rsidR="00EE0C8C" w:rsidRDefault="00EE0C8C" w:rsidP="00EE0C8C">
      <w:pPr>
        <w:widowControl w:val="0"/>
        <w:suppressAutoHyphens/>
        <w:autoSpaceDN w:val="0"/>
        <w:spacing w:after="0" w:line="240" w:lineRule="auto"/>
        <w:jc w:val="both"/>
        <w:textAlignment w:val="baseline"/>
        <w:rPr>
          <w:rFonts w:ascii="Calibri" w:eastAsia="Calibri" w:hAnsi="Calibri" w:cs="Times New Roman"/>
          <w:kern w:val="3"/>
          <w:lang w:eastAsia="zh-CN" w:bidi="hi-IN"/>
        </w:rPr>
      </w:pPr>
    </w:p>
    <w:p w:rsidR="00EE0C8C" w:rsidRPr="00E96426" w:rsidRDefault="00EE0C8C" w:rsidP="00EE0C8C">
      <w:pPr>
        <w:widowControl w:val="0"/>
        <w:suppressAutoHyphens/>
        <w:autoSpaceDN w:val="0"/>
        <w:spacing w:after="0" w:line="240" w:lineRule="auto"/>
        <w:jc w:val="both"/>
        <w:textAlignment w:val="baseline"/>
        <w:rPr>
          <w:rFonts w:ascii="Calibri" w:eastAsia="SimSun" w:hAnsi="Calibri" w:cs="Mangal"/>
          <w:kern w:val="3"/>
          <w:lang w:eastAsia="zh-CN" w:bidi="hi-IN"/>
        </w:rPr>
      </w:pPr>
      <w:r w:rsidRPr="00E96426">
        <w:rPr>
          <w:rFonts w:ascii="Calibri" w:eastAsia="Calibri" w:hAnsi="Calibri" w:cs="Times New Roman"/>
          <w:kern w:val="3"/>
          <w:lang w:eastAsia="zh-CN" w:bidi="hi-IN"/>
        </w:rPr>
        <w:t>Aby ewaluacja mogła w pełni spełniać te kryteria musi być oparta o określone wskaźniki, których osiągnięcie będzie oznaczało spełnienie oczekiwań jakie mieszkańcy Gminy Mirzec mieli w stosunku do Programu Rewitalizacji. Wskaźniki te są określone w odniesieniu do problemów, które zostały zaplanowane do rozwiązania w ramach Programu Rewitalizacji w czterech sferach:</w:t>
      </w:r>
    </w:p>
    <w:p w:rsidR="00EE0C8C" w:rsidRPr="00E96426" w:rsidRDefault="00EE0C8C" w:rsidP="00EE0C8C">
      <w:pPr>
        <w:widowControl w:val="0"/>
        <w:suppressAutoHyphens/>
        <w:autoSpaceDN w:val="0"/>
        <w:spacing w:after="0" w:line="240" w:lineRule="auto"/>
        <w:textAlignment w:val="baseline"/>
        <w:rPr>
          <w:rFonts w:ascii="Calibri" w:eastAsia="SimSun" w:hAnsi="Calibri" w:cs="Mangal"/>
          <w:kern w:val="3"/>
          <w:lang w:eastAsia="zh-CN" w:bidi="hi-IN"/>
        </w:rPr>
      </w:pPr>
      <w:r w:rsidRPr="00E96426">
        <w:rPr>
          <w:rFonts w:ascii="Calibri" w:eastAsia="Calibri" w:hAnsi="Calibri" w:cs="Times New Roman"/>
          <w:kern w:val="3"/>
          <w:lang w:eastAsia="zh-CN" w:bidi="hi-IN"/>
        </w:rPr>
        <w:t>1) sfera zagospodarowania przestrzennego,</w:t>
      </w:r>
    </w:p>
    <w:p w:rsidR="00EE0C8C" w:rsidRPr="00E96426" w:rsidRDefault="00EE0C8C" w:rsidP="00EE0C8C">
      <w:pPr>
        <w:widowControl w:val="0"/>
        <w:suppressAutoHyphens/>
        <w:autoSpaceDN w:val="0"/>
        <w:spacing w:after="0" w:line="240" w:lineRule="auto"/>
        <w:textAlignment w:val="baseline"/>
        <w:rPr>
          <w:rFonts w:ascii="Calibri" w:eastAsia="SimSun" w:hAnsi="Calibri" w:cs="Mangal"/>
          <w:kern w:val="3"/>
          <w:lang w:eastAsia="zh-CN" w:bidi="hi-IN"/>
        </w:rPr>
      </w:pPr>
      <w:r w:rsidRPr="00E96426">
        <w:rPr>
          <w:rFonts w:ascii="Calibri" w:eastAsia="Calibri" w:hAnsi="Calibri" w:cs="Times New Roman"/>
          <w:kern w:val="3"/>
          <w:lang w:eastAsia="zh-CN" w:bidi="hi-IN"/>
        </w:rPr>
        <w:t>2) sfera techniczna obiektów, zagospodarowanie terenów i infrastruktury,</w:t>
      </w:r>
    </w:p>
    <w:p w:rsidR="00EE0C8C" w:rsidRPr="00E96426" w:rsidRDefault="00EE0C8C" w:rsidP="00EE0C8C">
      <w:pPr>
        <w:widowControl w:val="0"/>
        <w:suppressAutoHyphens/>
        <w:autoSpaceDN w:val="0"/>
        <w:spacing w:after="0" w:line="240" w:lineRule="auto"/>
        <w:textAlignment w:val="baseline"/>
        <w:rPr>
          <w:rFonts w:ascii="Calibri" w:eastAsia="SimSun" w:hAnsi="Calibri" w:cs="Mangal"/>
          <w:kern w:val="3"/>
          <w:lang w:eastAsia="zh-CN" w:bidi="hi-IN"/>
        </w:rPr>
      </w:pPr>
      <w:r w:rsidRPr="00E96426">
        <w:rPr>
          <w:rFonts w:ascii="Calibri" w:eastAsia="Calibri" w:hAnsi="Calibri" w:cs="Times New Roman"/>
          <w:kern w:val="3"/>
          <w:lang w:eastAsia="zh-CN" w:bidi="hi-IN"/>
        </w:rPr>
        <w:t>3) sfera ekonomiczna,</w:t>
      </w:r>
    </w:p>
    <w:p w:rsidR="00EE0C8C" w:rsidRPr="00E96426" w:rsidRDefault="00EE0C8C" w:rsidP="00EE0C8C">
      <w:pPr>
        <w:widowControl w:val="0"/>
        <w:suppressAutoHyphens/>
        <w:autoSpaceDN w:val="0"/>
        <w:spacing w:after="0" w:line="240" w:lineRule="auto"/>
        <w:textAlignment w:val="baseline"/>
        <w:rPr>
          <w:rFonts w:ascii="Calibri" w:eastAsia="SimSun" w:hAnsi="Calibri" w:cs="Mangal"/>
          <w:kern w:val="3"/>
          <w:lang w:eastAsia="zh-CN" w:bidi="hi-IN"/>
        </w:rPr>
      </w:pPr>
      <w:r w:rsidRPr="00E96426">
        <w:rPr>
          <w:rFonts w:ascii="Calibri" w:eastAsia="Calibri" w:hAnsi="Calibri" w:cs="Times New Roman"/>
          <w:kern w:val="3"/>
          <w:lang w:eastAsia="zh-CN" w:bidi="hi-IN"/>
        </w:rPr>
        <w:t>4) sfera ekologii.</w:t>
      </w:r>
    </w:p>
    <w:p w:rsidR="00EE0C8C" w:rsidRPr="00E96426" w:rsidRDefault="00EE0C8C" w:rsidP="00EE0C8C">
      <w:pPr>
        <w:widowControl w:val="0"/>
        <w:suppressAutoHyphens/>
        <w:autoSpaceDN w:val="0"/>
        <w:spacing w:after="0" w:line="240" w:lineRule="auto"/>
        <w:textAlignment w:val="baseline"/>
        <w:rPr>
          <w:rFonts w:ascii="Calibri" w:eastAsia="SimSun" w:hAnsi="Calibri" w:cs="Mangal"/>
          <w:kern w:val="3"/>
          <w:lang w:eastAsia="zh-CN" w:bidi="hi-IN"/>
        </w:rPr>
      </w:pPr>
      <w:r w:rsidRPr="00E96426">
        <w:rPr>
          <w:rFonts w:ascii="Calibri" w:eastAsia="Calibri" w:hAnsi="Calibri" w:cs="Times New Roman"/>
          <w:kern w:val="3"/>
          <w:lang w:eastAsia="zh-CN" w:bidi="hi-IN"/>
        </w:rPr>
        <w:t>Wskaźniki  te dotyczą generalnie następujących zagadnień:</w:t>
      </w:r>
    </w:p>
    <w:p w:rsidR="00EE0C8C" w:rsidRPr="00E96426" w:rsidRDefault="00EE0C8C" w:rsidP="00234BBD">
      <w:pPr>
        <w:widowControl w:val="0"/>
        <w:numPr>
          <w:ilvl w:val="0"/>
          <w:numId w:val="49"/>
        </w:numPr>
        <w:suppressAutoHyphens/>
        <w:autoSpaceDN w:val="0"/>
        <w:spacing w:after="0" w:line="240" w:lineRule="auto"/>
        <w:ind w:left="720" w:hanging="360"/>
        <w:textAlignment w:val="baseline"/>
        <w:rPr>
          <w:rFonts w:ascii="Calibri" w:eastAsia="SimSun" w:hAnsi="Calibri" w:cs="Mangal"/>
          <w:kern w:val="3"/>
          <w:lang w:eastAsia="zh-CN" w:bidi="hi-IN"/>
        </w:rPr>
      </w:pPr>
      <w:r w:rsidRPr="00E96426">
        <w:rPr>
          <w:rFonts w:ascii="Calibri" w:eastAsia="Calibri" w:hAnsi="Calibri" w:cs="Times New Roman"/>
          <w:kern w:val="3"/>
          <w:lang w:eastAsia="zh-CN" w:bidi="hi-IN"/>
        </w:rPr>
        <w:t>zatrudnienia</w:t>
      </w:r>
    </w:p>
    <w:p w:rsidR="00EE0C8C" w:rsidRPr="00E96426" w:rsidRDefault="00EE0C8C" w:rsidP="00234BBD">
      <w:pPr>
        <w:widowControl w:val="0"/>
        <w:numPr>
          <w:ilvl w:val="0"/>
          <w:numId w:val="49"/>
        </w:numPr>
        <w:suppressAutoHyphens/>
        <w:autoSpaceDN w:val="0"/>
        <w:spacing w:after="0" w:line="240" w:lineRule="auto"/>
        <w:ind w:left="720" w:hanging="360"/>
        <w:textAlignment w:val="baseline"/>
        <w:rPr>
          <w:rFonts w:ascii="Calibri" w:eastAsia="SimSun" w:hAnsi="Calibri" w:cs="Mangal"/>
          <w:kern w:val="3"/>
          <w:lang w:eastAsia="zh-CN" w:bidi="hi-IN"/>
        </w:rPr>
      </w:pPr>
      <w:r w:rsidRPr="00E96426">
        <w:rPr>
          <w:rFonts w:ascii="Calibri" w:eastAsia="Calibri" w:hAnsi="Calibri" w:cs="Times New Roman"/>
          <w:kern w:val="3"/>
          <w:lang w:eastAsia="zh-CN" w:bidi="hi-IN"/>
        </w:rPr>
        <w:t>bezpieczeństwa publicznego</w:t>
      </w:r>
    </w:p>
    <w:p w:rsidR="00EE0C8C" w:rsidRPr="00E96426" w:rsidRDefault="00EE0C8C" w:rsidP="00234BBD">
      <w:pPr>
        <w:widowControl w:val="0"/>
        <w:numPr>
          <w:ilvl w:val="0"/>
          <w:numId w:val="49"/>
        </w:numPr>
        <w:suppressAutoHyphens/>
        <w:autoSpaceDN w:val="0"/>
        <w:spacing w:after="0" w:line="240" w:lineRule="auto"/>
        <w:ind w:left="720" w:hanging="360"/>
        <w:textAlignment w:val="baseline"/>
        <w:rPr>
          <w:rFonts w:ascii="Calibri" w:eastAsia="SimSun" w:hAnsi="Calibri" w:cs="Mangal"/>
          <w:kern w:val="3"/>
          <w:lang w:eastAsia="zh-CN" w:bidi="hi-IN"/>
        </w:rPr>
      </w:pPr>
      <w:r w:rsidRPr="00E96426">
        <w:rPr>
          <w:rFonts w:ascii="Calibri" w:eastAsia="Calibri" w:hAnsi="Calibri" w:cs="Times New Roman"/>
          <w:kern w:val="3"/>
          <w:lang w:eastAsia="zh-CN" w:bidi="hi-IN"/>
        </w:rPr>
        <w:t>ochrony dziedzictwa kulturowego</w:t>
      </w:r>
    </w:p>
    <w:p w:rsidR="00EE0C8C" w:rsidRPr="00E96426" w:rsidRDefault="00EE0C8C" w:rsidP="00234BBD">
      <w:pPr>
        <w:widowControl w:val="0"/>
        <w:numPr>
          <w:ilvl w:val="0"/>
          <w:numId w:val="49"/>
        </w:numPr>
        <w:suppressAutoHyphens/>
        <w:autoSpaceDN w:val="0"/>
        <w:spacing w:after="0" w:line="240" w:lineRule="auto"/>
        <w:ind w:left="720" w:hanging="360"/>
        <w:textAlignment w:val="baseline"/>
        <w:rPr>
          <w:rFonts w:ascii="Calibri" w:eastAsia="SimSun" w:hAnsi="Calibri" w:cs="Mangal"/>
          <w:kern w:val="3"/>
          <w:lang w:eastAsia="zh-CN" w:bidi="hi-IN"/>
        </w:rPr>
      </w:pPr>
      <w:r w:rsidRPr="00E96426">
        <w:rPr>
          <w:rFonts w:ascii="Calibri" w:eastAsia="Calibri" w:hAnsi="Calibri" w:cs="Times New Roman"/>
          <w:kern w:val="3"/>
          <w:lang w:eastAsia="zh-CN" w:bidi="hi-IN"/>
        </w:rPr>
        <w:t>edukacji, kształcenia zawodowego</w:t>
      </w:r>
    </w:p>
    <w:p w:rsidR="00EE0C8C" w:rsidRPr="00E96426" w:rsidRDefault="00EE0C8C" w:rsidP="00234BBD">
      <w:pPr>
        <w:widowControl w:val="0"/>
        <w:numPr>
          <w:ilvl w:val="0"/>
          <w:numId w:val="49"/>
        </w:numPr>
        <w:suppressAutoHyphens/>
        <w:autoSpaceDN w:val="0"/>
        <w:spacing w:after="0" w:line="240" w:lineRule="auto"/>
        <w:ind w:left="720" w:hanging="360"/>
        <w:textAlignment w:val="baseline"/>
        <w:rPr>
          <w:rFonts w:ascii="Calibri" w:eastAsia="SimSun" w:hAnsi="Calibri" w:cs="Mangal"/>
          <w:kern w:val="3"/>
          <w:lang w:eastAsia="zh-CN" w:bidi="hi-IN"/>
        </w:rPr>
      </w:pPr>
      <w:r w:rsidRPr="00E96426">
        <w:rPr>
          <w:rFonts w:ascii="Calibri" w:eastAsia="Calibri" w:hAnsi="Calibri" w:cs="Times New Roman"/>
          <w:kern w:val="3"/>
          <w:lang w:eastAsia="zh-CN" w:bidi="hi-IN"/>
        </w:rPr>
        <w:t>infrastruktury społecznej</w:t>
      </w:r>
    </w:p>
    <w:p w:rsidR="00EE0C8C" w:rsidRPr="00E96426" w:rsidRDefault="00EE0C8C" w:rsidP="00234BBD">
      <w:pPr>
        <w:widowControl w:val="0"/>
        <w:numPr>
          <w:ilvl w:val="0"/>
          <w:numId w:val="49"/>
        </w:numPr>
        <w:suppressAutoHyphens/>
        <w:autoSpaceDN w:val="0"/>
        <w:spacing w:after="0" w:line="240" w:lineRule="auto"/>
        <w:ind w:left="720" w:hanging="360"/>
        <w:textAlignment w:val="baseline"/>
        <w:rPr>
          <w:rFonts w:ascii="Calibri" w:eastAsia="SimSun" w:hAnsi="Calibri" w:cs="Mangal"/>
          <w:kern w:val="3"/>
          <w:lang w:eastAsia="zh-CN" w:bidi="hi-IN"/>
        </w:rPr>
      </w:pPr>
      <w:r w:rsidRPr="00E96426">
        <w:rPr>
          <w:rFonts w:ascii="Calibri" w:eastAsia="Calibri" w:hAnsi="Calibri" w:cs="Times New Roman"/>
          <w:kern w:val="3"/>
          <w:lang w:eastAsia="zh-CN" w:bidi="hi-IN"/>
        </w:rPr>
        <w:t>zdrowia</w:t>
      </w:r>
    </w:p>
    <w:p w:rsidR="00EE0C8C" w:rsidRPr="00E96426" w:rsidRDefault="00EE0C8C" w:rsidP="00234BBD">
      <w:pPr>
        <w:widowControl w:val="0"/>
        <w:numPr>
          <w:ilvl w:val="0"/>
          <w:numId w:val="49"/>
        </w:numPr>
        <w:suppressAutoHyphens/>
        <w:autoSpaceDN w:val="0"/>
        <w:spacing w:after="0" w:line="240" w:lineRule="auto"/>
        <w:ind w:left="720" w:hanging="360"/>
        <w:textAlignment w:val="baseline"/>
        <w:rPr>
          <w:rFonts w:ascii="Calibri" w:eastAsia="SimSun" w:hAnsi="Calibri" w:cs="Mangal"/>
          <w:kern w:val="3"/>
          <w:lang w:eastAsia="zh-CN" w:bidi="hi-IN"/>
        </w:rPr>
      </w:pPr>
      <w:r w:rsidRPr="00E96426">
        <w:rPr>
          <w:rFonts w:ascii="Calibri" w:eastAsia="Calibri" w:hAnsi="Calibri" w:cs="Times New Roman"/>
          <w:kern w:val="3"/>
          <w:lang w:eastAsia="zh-CN" w:bidi="hi-IN"/>
        </w:rPr>
        <w:t>transportu i środowiska</w:t>
      </w:r>
    </w:p>
    <w:p w:rsidR="00EE0C8C" w:rsidRPr="00E96426" w:rsidRDefault="00EE0C8C" w:rsidP="00234BBD">
      <w:pPr>
        <w:widowControl w:val="0"/>
        <w:numPr>
          <w:ilvl w:val="0"/>
          <w:numId w:val="49"/>
        </w:numPr>
        <w:suppressAutoHyphens/>
        <w:autoSpaceDN w:val="0"/>
        <w:spacing w:after="0" w:line="240" w:lineRule="auto"/>
        <w:ind w:left="720" w:hanging="360"/>
        <w:textAlignment w:val="baseline"/>
        <w:rPr>
          <w:rFonts w:ascii="Calibri" w:eastAsia="SimSun" w:hAnsi="Calibri" w:cs="Mangal"/>
          <w:kern w:val="3"/>
          <w:lang w:eastAsia="zh-CN" w:bidi="hi-IN"/>
        </w:rPr>
      </w:pPr>
      <w:r w:rsidRPr="00E96426">
        <w:rPr>
          <w:rFonts w:ascii="Calibri" w:eastAsia="Calibri" w:hAnsi="Calibri" w:cs="Times New Roman"/>
          <w:kern w:val="3"/>
          <w:lang w:eastAsia="zh-CN" w:bidi="hi-IN"/>
        </w:rPr>
        <w:t>aktywności kulturalnej</w:t>
      </w:r>
    </w:p>
    <w:p w:rsidR="00EE0C8C" w:rsidRPr="00E96426" w:rsidRDefault="00EE0C8C" w:rsidP="00234BBD">
      <w:pPr>
        <w:widowControl w:val="0"/>
        <w:numPr>
          <w:ilvl w:val="0"/>
          <w:numId w:val="49"/>
        </w:numPr>
        <w:suppressAutoHyphens/>
        <w:autoSpaceDN w:val="0"/>
        <w:spacing w:after="0" w:line="240" w:lineRule="auto"/>
        <w:ind w:left="720" w:hanging="360"/>
        <w:textAlignment w:val="baseline"/>
        <w:rPr>
          <w:rFonts w:ascii="Calibri" w:eastAsia="SimSun" w:hAnsi="Calibri" w:cs="Mangal"/>
          <w:kern w:val="3"/>
          <w:lang w:eastAsia="zh-CN" w:bidi="hi-IN"/>
        </w:rPr>
      </w:pPr>
      <w:r w:rsidRPr="00E96426">
        <w:rPr>
          <w:rFonts w:ascii="Calibri" w:eastAsia="Calibri" w:hAnsi="Calibri" w:cs="Times New Roman"/>
          <w:kern w:val="3"/>
          <w:lang w:eastAsia="zh-CN" w:bidi="hi-IN"/>
        </w:rPr>
        <w:t>sportu i rekreacji</w:t>
      </w:r>
    </w:p>
    <w:p w:rsidR="00EE0C8C" w:rsidRPr="00E96426" w:rsidRDefault="00EE0C8C" w:rsidP="00234BBD">
      <w:pPr>
        <w:widowControl w:val="0"/>
        <w:numPr>
          <w:ilvl w:val="0"/>
          <w:numId w:val="49"/>
        </w:numPr>
        <w:suppressAutoHyphens/>
        <w:autoSpaceDN w:val="0"/>
        <w:spacing w:after="0" w:line="240" w:lineRule="auto"/>
        <w:ind w:left="720" w:hanging="360"/>
        <w:textAlignment w:val="baseline"/>
        <w:rPr>
          <w:rFonts w:ascii="Calibri" w:eastAsia="SimSun" w:hAnsi="Calibri" w:cs="Mangal"/>
          <w:kern w:val="3"/>
          <w:lang w:eastAsia="zh-CN" w:bidi="hi-IN"/>
        </w:rPr>
      </w:pPr>
      <w:r w:rsidRPr="00E96426">
        <w:rPr>
          <w:rFonts w:ascii="Calibri" w:eastAsia="Calibri" w:hAnsi="Calibri" w:cs="Times New Roman"/>
          <w:kern w:val="3"/>
          <w:lang w:eastAsia="zh-CN" w:bidi="hi-IN"/>
        </w:rPr>
        <w:t>integracji różnych grup społecznych i etnicznych</w:t>
      </w:r>
    </w:p>
    <w:p w:rsidR="00EE0C8C" w:rsidRPr="00E96426" w:rsidRDefault="00EE0C8C" w:rsidP="00234BBD">
      <w:pPr>
        <w:widowControl w:val="0"/>
        <w:numPr>
          <w:ilvl w:val="0"/>
          <w:numId w:val="49"/>
        </w:numPr>
        <w:suppressAutoHyphens/>
        <w:autoSpaceDN w:val="0"/>
        <w:spacing w:after="0" w:line="240" w:lineRule="auto"/>
        <w:ind w:left="720" w:hanging="360"/>
        <w:textAlignment w:val="baseline"/>
        <w:rPr>
          <w:rFonts w:ascii="Calibri" w:eastAsia="SimSun" w:hAnsi="Calibri" w:cs="Mangal"/>
          <w:kern w:val="3"/>
          <w:lang w:eastAsia="zh-CN" w:bidi="hi-IN"/>
        </w:rPr>
      </w:pPr>
      <w:r w:rsidRPr="00E96426">
        <w:rPr>
          <w:rFonts w:ascii="Calibri" w:eastAsia="Calibri" w:hAnsi="Calibri" w:cs="Times New Roman"/>
          <w:kern w:val="3"/>
          <w:lang w:eastAsia="zh-CN" w:bidi="hi-IN"/>
        </w:rPr>
        <w:t>rynku mieszkań, problemów mieszkaniowych</w:t>
      </w:r>
    </w:p>
    <w:p w:rsidR="00EE0C8C" w:rsidRPr="00E96426" w:rsidRDefault="00EE0C8C" w:rsidP="00234BBD">
      <w:pPr>
        <w:widowControl w:val="0"/>
        <w:numPr>
          <w:ilvl w:val="0"/>
          <w:numId w:val="49"/>
        </w:numPr>
        <w:suppressAutoHyphens/>
        <w:autoSpaceDN w:val="0"/>
        <w:spacing w:after="0" w:line="240" w:lineRule="auto"/>
        <w:ind w:left="720" w:hanging="360"/>
        <w:textAlignment w:val="baseline"/>
        <w:rPr>
          <w:rFonts w:ascii="Calibri" w:eastAsia="SimSun" w:hAnsi="Calibri" w:cs="Mangal"/>
          <w:kern w:val="3"/>
          <w:lang w:eastAsia="zh-CN" w:bidi="hi-IN"/>
        </w:rPr>
      </w:pPr>
      <w:r w:rsidRPr="00E96426">
        <w:rPr>
          <w:rFonts w:ascii="Calibri" w:eastAsia="Calibri" w:hAnsi="Calibri" w:cs="Times New Roman"/>
          <w:kern w:val="3"/>
          <w:lang w:eastAsia="zh-CN" w:bidi="hi-IN"/>
        </w:rPr>
        <w:t xml:space="preserve">środowiska zamieszkania i przestrzeni publicznej  </w:t>
      </w:r>
    </w:p>
    <w:p w:rsidR="00EE0C8C" w:rsidRPr="00E96426" w:rsidRDefault="00EE0C8C" w:rsidP="00234BBD">
      <w:pPr>
        <w:widowControl w:val="0"/>
        <w:numPr>
          <w:ilvl w:val="0"/>
          <w:numId w:val="49"/>
        </w:numPr>
        <w:suppressAutoHyphens/>
        <w:autoSpaceDN w:val="0"/>
        <w:spacing w:after="0" w:line="240" w:lineRule="auto"/>
        <w:ind w:left="720" w:hanging="360"/>
        <w:textAlignment w:val="baseline"/>
        <w:rPr>
          <w:rFonts w:ascii="Calibri" w:eastAsia="SimSun" w:hAnsi="Calibri" w:cs="Mangal"/>
          <w:kern w:val="3"/>
          <w:lang w:eastAsia="zh-CN" w:bidi="hi-IN"/>
        </w:rPr>
      </w:pPr>
      <w:r w:rsidRPr="00E96426">
        <w:rPr>
          <w:rFonts w:ascii="Calibri" w:eastAsia="Calibri" w:hAnsi="Calibri" w:cs="Times New Roman"/>
          <w:kern w:val="3"/>
          <w:lang w:eastAsia="zh-CN" w:bidi="hi-IN"/>
        </w:rPr>
        <w:t>poprawy wizerunku Gminy Mirzec</w:t>
      </w:r>
    </w:p>
    <w:p w:rsidR="00EE0C8C" w:rsidRPr="00E96426" w:rsidRDefault="00EE0C8C" w:rsidP="00234BBD">
      <w:pPr>
        <w:widowControl w:val="0"/>
        <w:numPr>
          <w:ilvl w:val="0"/>
          <w:numId w:val="49"/>
        </w:numPr>
        <w:suppressAutoHyphens/>
        <w:autoSpaceDN w:val="0"/>
        <w:spacing w:after="0" w:line="240" w:lineRule="auto"/>
        <w:ind w:left="720" w:hanging="360"/>
        <w:textAlignment w:val="baseline"/>
        <w:rPr>
          <w:rFonts w:ascii="Calibri" w:eastAsia="SimSun" w:hAnsi="Calibri" w:cs="Mangal"/>
          <w:kern w:val="3"/>
          <w:lang w:eastAsia="zh-CN" w:bidi="hi-IN"/>
        </w:rPr>
      </w:pPr>
      <w:r w:rsidRPr="00E96426">
        <w:rPr>
          <w:rFonts w:ascii="Calibri" w:eastAsia="Calibri" w:hAnsi="Calibri" w:cs="Times New Roman"/>
          <w:kern w:val="3"/>
          <w:lang w:eastAsia="zh-CN" w:bidi="hi-IN"/>
        </w:rPr>
        <w:t>jakości i komfortu życia społeczności lokalnej</w:t>
      </w:r>
    </w:p>
    <w:p w:rsidR="00EE0C8C" w:rsidRPr="00E96426" w:rsidRDefault="00EE0C8C" w:rsidP="00EE0C8C">
      <w:pPr>
        <w:widowControl w:val="0"/>
        <w:suppressAutoHyphens/>
        <w:autoSpaceDN w:val="0"/>
        <w:spacing w:after="0" w:line="240" w:lineRule="auto"/>
        <w:textAlignment w:val="baseline"/>
        <w:rPr>
          <w:rFonts w:ascii="Calibri" w:eastAsia="SimSun" w:hAnsi="Calibri" w:cs="Mangal"/>
          <w:kern w:val="3"/>
          <w:lang w:eastAsia="zh-CN" w:bidi="hi-IN"/>
        </w:rPr>
      </w:pPr>
    </w:p>
    <w:p w:rsidR="00EE0C8C" w:rsidRPr="00E96426" w:rsidRDefault="00EE0C8C" w:rsidP="00EE0C8C">
      <w:pPr>
        <w:widowControl w:val="0"/>
        <w:suppressAutoHyphens/>
        <w:autoSpaceDN w:val="0"/>
        <w:spacing w:after="0" w:line="240" w:lineRule="auto"/>
        <w:textAlignment w:val="baseline"/>
        <w:rPr>
          <w:rFonts w:ascii="Calibri" w:eastAsia="SimSun" w:hAnsi="Calibri" w:cs="Mangal"/>
          <w:kern w:val="3"/>
          <w:lang w:eastAsia="zh-CN" w:bidi="hi-IN"/>
        </w:rPr>
      </w:pPr>
      <w:r w:rsidRPr="00E96426">
        <w:rPr>
          <w:rFonts w:ascii="Calibri" w:eastAsia="Calibri" w:hAnsi="Calibri" w:cs="Times New Roman"/>
          <w:i/>
          <w:kern w:val="3"/>
          <w:u w:val="single"/>
          <w:lang w:eastAsia="zh-CN" w:bidi="hi-IN"/>
        </w:rPr>
        <w:t>Poziom Piąty:</w:t>
      </w:r>
    </w:p>
    <w:p w:rsidR="00EE0C8C" w:rsidRPr="00E96426" w:rsidRDefault="00EE0C8C" w:rsidP="00EE0C8C">
      <w:pPr>
        <w:widowControl w:val="0"/>
        <w:suppressAutoHyphens/>
        <w:autoSpaceDN w:val="0"/>
        <w:spacing w:after="0" w:line="240" w:lineRule="auto"/>
        <w:jc w:val="both"/>
        <w:textAlignment w:val="baseline"/>
        <w:rPr>
          <w:rFonts w:ascii="Calibri" w:eastAsia="SimSun" w:hAnsi="Calibri" w:cs="Mangal"/>
          <w:kern w:val="3"/>
          <w:lang w:eastAsia="zh-CN" w:bidi="hi-IN"/>
        </w:rPr>
      </w:pPr>
      <w:r w:rsidRPr="00E96426">
        <w:rPr>
          <w:rFonts w:ascii="Calibri" w:eastAsia="Calibri" w:hAnsi="Calibri" w:cs="Times New Roman"/>
          <w:kern w:val="3"/>
          <w:lang w:eastAsia="zh-CN" w:bidi="hi-IN"/>
        </w:rPr>
        <w:t>Związany z zakończeniem Programu Rewitalizacji i dokonaniem ewaluacji ex-post dotyczącej całego Programu Rewitalizacji realizowanego w latach 201</w:t>
      </w:r>
      <w:r w:rsidR="00072FFD">
        <w:rPr>
          <w:rFonts w:ascii="Calibri" w:eastAsia="Calibri" w:hAnsi="Calibri" w:cs="Times New Roman"/>
          <w:kern w:val="3"/>
          <w:lang w:eastAsia="zh-CN" w:bidi="hi-IN"/>
        </w:rPr>
        <w:t>6</w:t>
      </w:r>
      <w:r w:rsidRPr="00E96426">
        <w:rPr>
          <w:rFonts w:ascii="Calibri" w:eastAsia="Calibri" w:hAnsi="Calibri" w:cs="Times New Roman"/>
          <w:kern w:val="3"/>
          <w:lang w:eastAsia="zh-CN" w:bidi="hi-IN"/>
        </w:rPr>
        <w:t>-202</w:t>
      </w:r>
      <w:r w:rsidR="00072FFD">
        <w:rPr>
          <w:rFonts w:ascii="Calibri" w:eastAsia="Calibri" w:hAnsi="Calibri" w:cs="Times New Roman"/>
          <w:kern w:val="3"/>
          <w:lang w:eastAsia="zh-CN" w:bidi="hi-IN"/>
        </w:rPr>
        <w:t>2</w:t>
      </w:r>
      <w:r w:rsidRPr="00E96426">
        <w:rPr>
          <w:rFonts w:ascii="Calibri" w:eastAsia="Calibri" w:hAnsi="Calibri" w:cs="Times New Roman"/>
          <w:kern w:val="3"/>
          <w:lang w:eastAsia="zh-CN" w:bidi="hi-IN"/>
        </w:rPr>
        <w:t>.</w:t>
      </w:r>
    </w:p>
    <w:p w:rsidR="00EE0C8C" w:rsidRPr="00E96426" w:rsidRDefault="00EE0C8C" w:rsidP="00EE0C8C">
      <w:pPr>
        <w:widowControl w:val="0"/>
        <w:suppressAutoHyphens/>
        <w:autoSpaceDN w:val="0"/>
        <w:spacing w:after="0" w:line="240" w:lineRule="auto"/>
        <w:jc w:val="both"/>
        <w:textAlignment w:val="baseline"/>
        <w:rPr>
          <w:rFonts w:ascii="Calibri" w:eastAsia="SimSun" w:hAnsi="Calibri" w:cs="Mangal"/>
          <w:kern w:val="3"/>
          <w:lang w:eastAsia="zh-CN" w:bidi="hi-IN"/>
        </w:rPr>
      </w:pPr>
      <w:r w:rsidRPr="00E96426">
        <w:rPr>
          <w:rFonts w:ascii="Calibri" w:eastAsia="Calibri" w:hAnsi="Calibri" w:cs="Times New Roman"/>
          <w:kern w:val="3"/>
          <w:lang w:eastAsia="zh-CN" w:bidi="hi-IN"/>
        </w:rPr>
        <w:t xml:space="preserve">Zarządzanie, monitoring, i ewaluacja przy uwzględnieniu wzajemnych zależności oddziaływania  </w:t>
      </w:r>
      <w:r w:rsidRPr="00E96426">
        <w:rPr>
          <w:rFonts w:ascii="Calibri" w:eastAsia="Calibri" w:hAnsi="Calibri" w:cs="Times New Roman"/>
          <w:kern w:val="3"/>
          <w:lang w:eastAsia="zh-CN" w:bidi="hi-IN"/>
        </w:rPr>
        <w:br/>
        <w:t>i transparentności działań podejmowanych zarówno przez Zespół ds</w:t>
      </w:r>
      <w:r w:rsidRPr="00E96426">
        <w:rPr>
          <w:rFonts w:ascii="Calibri" w:eastAsia="SimSun" w:hAnsi="Calibri" w:cs="Times New Roman"/>
          <w:kern w:val="3"/>
          <w:lang w:eastAsia="zh-CN" w:bidi="hi-IN"/>
        </w:rPr>
        <w:t>. rewitalizacji powołany przez Wójta Gminy Mirzec</w:t>
      </w:r>
      <w:r w:rsidRPr="00E96426">
        <w:rPr>
          <w:rFonts w:ascii="Calibri" w:eastAsia="Calibri" w:hAnsi="Calibri" w:cs="Times New Roman"/>
          <w:kern w:val="3"/>
          <w:lang w:eastAsia="zh-CN" w:bidi="hi-IN"/>
        </w:rPr>
        <w:t>, jak i wszystkich pozostałych beneficjentów programu rewitalizacji winno przyczynić się do osiągnięcia wszystkich celów założonych w rewitalizacji, co sumarycznie winno doprowadzić do cywilizacyjnego wzrostu Gminy</w:t>
      </w:r>
      <w:r w:rsidRPr="00E96426">
        <w:rPr>
          <w:rFonts w:ascii="Calibri" w:eastAsia="SimSun" w:hAnsi="Calibri" w:cs="Times New Roman"/>
          <w:kern w:val="3"/>
          <w:lang w:eastAsia="zh-CN" w:bidi="hi-IN"/>
        </w:rPr>
        <w:t xml:space="preserve"> Mirzec</w:t>
      </w:r>
      <w:r w:rsidRPr="00E96426">
        <w:rPr>
          <w:rFonts w:ascii="Calibri" w:eastAsia="Calibri" w:hAnsi="Calibri" w:cs="Times New Roman"/>
          <w:kern w:val="3"/>
          <w:lang w:eastAsia="zh-CN" w:bidi="hi-IN"/>
        </w:rPr>
        <w:t xml:space="preserve"> i podniesienia jakości i komfortu życia mieszkańców. Zgodnie bowiem z dewizą św. Augustyna: </w:t>
      </w:r>
      <w:r w:rsidRPr="00E96426">
        <w:rPr>
          <w:rFonts w:ascii="Calibri" w:eastAsia="Calibri" w:hAnsi="Calibri" w:cs="Times New Roman"/>
          <w:i/>
          <w:kern w:val="3"/>
          <w:lang w:eastAsia="zh-CN" w:bidi="hi-IN"/>
        </w:rPr>
        <w:t xml:space="preserve">„ Miasta to nie tylko ulice i domy ale ludzie </w:t>
      </w:r>
      <w:r>
        <w:rPr>
          <w:rFonts w:ascii="Calibri" w:eastAsia="Calibri" w:hAnsi="Calibri" w:cs="Times New Roman"/>
          <w:i/>
          <w:kern w:val="3"/>
          <w:lang w:eastAsia="zh-CN" w:bidi="hi-IN"/>
        </w:rPr>
        <w:br/>
      </w:r>
      <w:r w:rsidRPr="00E96426">
        <w:rPr>
          <w:rFonts w:ascii="Calibri" w:eastAsia="Calibri" w:hAnsi="Calibri" w:cs="Times New Roman"/>
          <w:i/>
          <w:kern w:val="3"/>
          <w:lang w:eastAsia="zh-CN" w:bidi="hi-IN"/>
        </w:rPr>
        <w:t>i ich marzenia”.</w:t>
      </w:r>
    </w:p>
    <w:p w:rsidR="00EE0C8C" w:rsidRPr="00E96426" w:rsidRDefault="00EE0C8C" w:rsidP="00EE0C8C">
      <w:pPr>
        <w:widowControl w:val="0"/>
        <w:suppressAutoHyphens/>
        <w:autoSpaceDN w:val="0"/>
        <w:spacing w:after="0" w:line="240" w:lineRule="auto"/>
        <w:jc w:val="both"/>
        <w:textAlignment w:val="baseline"/>
        <w:rPr>
          <w:rFonts w:ascii="Calibri" w:eastAsia="SimSun" w:hAnsi="Calibri" w:cs="Mangal"/>
          <w:kern w:val="3"/>
          <w:lang w:eastAsia="zh-CN" w:bidi="hi-IN"/>
        </w:rPr>
      </w:pPr>
      <w:r w:rsidRPr="00E96426">
        <w:rPr>
          <w:rFonts w:ascii="Calibri" w:eastAsia="Calibri" w:hAnsi="Calibri" w:cs="Times New Roman"/>
          <w:kern w:val="3"/>
          <w:lang w:eastAsia="zh-CN" w:bidi="hi-IN"/>
        </w:rPr>
        <w:t xml:space="preserve">Znakomicie koresponduje z tą dewizą stwierdzenie Seneki Starszego: </w:t>
      </w:r>
      <w:r w:rsidRPr="00E96426">
        <w:rPr>
          <w:rFonts w:ascii="Calibri" w:eastAsia="Calibri" w:hAnsi="Calibri" w:cs="Times New Roman"/>
          <w:i/>
          <w:kern w:val="3"/>
          <w:lang w:eastAsia="zh-CN" w:bidi="hi-IN"/>
        </w:rPr>
        <w:t>„Jeżeli nie wiesz do jakiego portu płyniesz, żaden wiatr nie będzie właściwy”.</w:t>
      </w:r>
    </w:p>
    <w:p w:rsidR="00EE0C8C" w:rsidRDefault="00896A64" w:rsidP="00EE0C8C">
      <w:pPr>
        <w:widowControl w:val="0"/>
        <w:tabs>
          <w:tab w:val="left" w:pos="-621"/>
        </w:tabs>
        <w:suppressAutoHyphens/>
        <w:autoSpaceDN w:val="0"/>
        <w:spacing w:after="0" w:line="240" w:lineRule="auto"/>
        <w:jc w:val="both"/>
        <w:textAlignment w:val="baseline"/>
        <w:rPr>
          <w:rFonts w:ascii="Calibri" w:eastAsia="Calibri" w:hAnsi="Calibri" w:cs="Times New Roman"/>
          <w:color w:val="000000"/>
          <w:kern w:val="3"/>
          <w:lang w:eastAsia="zh-CN" w:bidi="hi-IN"/>
        </w:rPr>
      </w:pPr>
      <w:r>
        <w:rPr>
          <w:rFonts w:ascii="Calibri" w:eastAsia="Calibri" w:hAnsi="Calibri" w:cs="Times New Roman"/>
          <w:color w:val="000000"/>
          <w:kern w:val="3"/>
          <w:lang w:eastAsia="zh-CN" w:bidi="hi-IN"/>
        </w:rPr>
        <w:t>Gminny</w:t>
      </w:r>
      <w:r w:rsidR="00EE0C8C" w:rsidRPr="00E96426">
        <w:rPr>
          <w:rFonts w:ascii="Calibri" w:eastAsia="Calibri" w:hAnsi="Calibri" w:cs="Times New Roman"/>
          <w:color w:val="000000"/>
          <w:kern w:val="3"/>
          <w:lang w:eastAsia="zh-CN" w:bidi="hi-IN"/>
        </w:rPr>
        <w:t xml:space="preserve"> Program </w:t>
      </w:r>
      <w:r w:rsidR="006A3D8D">
        <w:rPr>
          <w:rFonts w:ascii="Calibri" w:eastAsia="Calibri" w:hAnsi="Calibri" w:cs="Times New Roman"/>
          <w:color w:val="000000"/>
          <w:kern w:val="3"/>
          <w:lang w:eastAsia="zh-CN" w:bidi="hi-IN"/>
        </w:rPr>
        <w:t>r</w:t>
      </w:r>
      <w:r w:rsidR="00EE0C8C" w:rsidRPr="00E96426">
        <w:rPr>
          <w:rFonts w:ascii="Calibri" w:eastAsia="Calibri" w:hAnsi="Calibri" w:cs="Times New Roman"/>
          <w:color w:val="000000"/>
          <w:kern w:val="3"/>
          <w:lang w:eastAsia="zh-CN" w:bidi="hi-IN"/>
        </w:rPr>
        <w:t xml:space="preserve">ewitalizacji służyć winien zatem władzom gminy jako nawigacja służąca realizacji zadań i pozyskiwania niezbędnych środków finansowych, aby mieszkańcy Gminy Mirzec czuli, </w:t>
      </w:r>
      <w:r w:rsidR="00EE0C8C" w:rsidRPr="00E96426">
        <w:rPr>
          <w:rFonts w:ascii="Calibri" w:eastAsia="Calibri" w:hAnsi="Calibri" w:cs="Times New Roman"/>
          <w:color w:val="000000"/>
          <w:kern w:val="3"/>
          <w:lang w:eastAsia="zh-CN" w:bidi="hi-IN"/>
        </w:rPr>
        <w:br/>
        <w:t xml:space="preserve">iż żyją w coraz „piękniejszym świecie”, dobrze zarządzanym, a ich głos jest współdecydującym </w:t>
      </w:r>
      <w:r w:rsidR="00EE0C8C" w:rsidRPr="00E96426">
        <w:rPr>
          <w:rFonts w:ascii="Calibri" w:eastAsia="Calibri" w:hAnsi="Calibri" w:cs="Times New Roman"/>
          <w:color w:val="000000"/>
          <w:kern w:val="3"/>
          <w:lang w:eastAsia="zh-CN" w:bidi="hi-IN"/>
        </w:rPr>
        <w:br/>
        <w:t xml:space="preserve">w kreowaniu standardów rozwojowych i cywilizacyjnych Gminy Mirzec w perspektywie do roku 2020 </w:t>
      </w:r>
      <w:r w:rsidR="00EE0C8C">
        <w:rPr>
          <w:rFonts w:ascii="Calibri" w:eastAsia="Calibri" w:hAnsi="Calibri" w:cs="Times New Roman"/>
          <w:color w:val="000000"/>
          <w:kern w:val="3"/>
          <w:lang w:eastAsia="zh-CN" w:bidi="hi-IN"/>
        </w:rPr>
        <w:br/>
      </w:r>
      <w:r w:rsidR="00EE0C8C" w:rsidRPr="00E96426">
        <w:rPr>
          <w:rFonts w:ascii="Calibri" w:eastAsia="Calibri" w:hAnsi="Calibri" w:cs="Times New Roman"/>
          <w:color w:val="000000"/>
          <w:kern w:val="3"/>
          <w:lang w:eastAsia="zh-CN" w:bidi="hi-IN"/>
        </w:rPr>
        <w:t>i w kolejnych latach.</w:t>
      </w:r>
    </w:p>
    <w:p w:rsidR="00EE0C8C" w:rsidRDefault="00EE0C8C" w:rsidP="00EE0C8C"/>
    <w:p w:rsidR="00EE0C8C" w:rsidRDefault="00EE0C8C" w:rsidP="00A6085B">
      <w:pPr>
        <w:jc w:val="both"/>
        <w:rPr>
          <w:rFonts w:eastAsiaTheme="minorEastAsia"/>
          <w:b/>
          <w:bCs/>
          <w:iCs/>
          <w:color w:val="4F81BD" w:themeColor="accent1"/>
          <w:sz w:val="28"/>
          <w:szCs w:val="28"/>
          <w:lang w:eastAsia="pl-PL"/>
        </w:rPr>
      </w:pPr>
    </w:p>
    <w:p w:rsidR="00EE0C8C" w:rsidRDefault="00EE0C8C" w:rsidP="00EE0C8C">
      <w:pPr>
        <w:rPr>
          <w:lang w:eastAsia="pl-PL"/>
        </w:rPr>
      </w:pPr>
      <w:r>
        <w:rPr>
          <w:lang w:eastAsia="pl-PL"/>
        </w:rPr>
        <w:lastRenderedPageBreak/>
        <w:br w:type="page"/>
      </w:r>
    </w:p>
    <w:p w:rsidR="00EE0C8C" w:rsidRDefault="00EE0C8C" w:rsidP="008903A4">
      <w:pPr>
        <w:pStyle w:val="Nagwek2"/>
        <w:rPr>
          <w:rFonts w:eastAsiaTheme="majorEastAsia"/>
          <w:sz w:val="56"/>
          <w:u w:val="single"/>
        </w:rPr>
      </w:pPr>
      <w:bookmarkStart w:id="138" w:name="_Toc450562536"/>
      <w:r w:rsidRPr="008903A4">
        <w:rPr>
          <w:rFonts w:eastAsiaTheme="majorEastAsia"/>
          <w:sz w:val="56"/>
          <w:u w:val="single"/>
        </w:rPr>
        <w:lastRenderedPageBreak/>
        <w:t>BIBLIOGRAFIA</w:t>
      </w:r>
      <w:bookmarkEnd w:id="138"/>
    </w:p>
    <w:p w:rsidR="008903A4" w:rsidRPr="008903A4" w:rsidRDefault="008903A4" w:rsidP="008903A4"/>
    <w:p w:rsidR="00EE0C8C" w:rsidRPr="00EE0C8C" w:rsidRDefault="00EE0C8C" w:rsidP="00234BBD">
      <w:pPr>
        <w:widowControl w:val="0"/>
        <w:numPr>
          <w:ilvl w:val="0"/>
          <w:numId w:val="51"/>
        </w:numPr>
        <w:tabs>
          <w:tab w:val="left" w:pos="142"/>
        </w:tabs>
        <w:suppressAutoHyphens/>
        <w:autoSpaceDN w:val="0"/>
        <w:spacing w:after="0" w:line="240" w:lineRule="auto"/>
        <w:contextualSpacing/>
        <w:jc w:val="both"/>
        <w:textAlignment w:val="baseline"/>
        <w:rPr>
          <w:rFonts w:eastAsia="SimSun" w:cs="Mangal"/>
          <w:kern w:val="3"/>
          <w:lang w:eastAsia="zh-CN" w:bidi="hi-IN"/>
        </w:rPr>
      </w:pPr>
      <w:r w:rsidRPr="00EE0C8C">
        <w:rPr>
          <w:rFonts w:eastAsia="SimSun" w:cs="Times New Roman"/>
          <w:color w:val="000000"/>
          <w:kern w:val="3"/>
          <w:lang w:eastAsia="zh-CN" w:bidi="hi-IN"/>
        </w:rPr>
        <w:t>Polska 2030. Trzecia fala nowoczesności. Długookresowa Strategia Rozwoju Kraju</w:t>
      </w:r>
    </w:p>
    <w:p w:rsidR="00EE0C8C" w:rsidRPr="00EE0C8C" w:rsidRDefault="00EE0C8C" w:rsidP="00234BBD">
      <w:pPr>
        <w:widowControl w:val="0"/>
        <w:numPr>
          <w:ilvl w:val="0"/>
          <w:numId w:val="51"/>
        </w:numPr>
        <w:tabs>
          <w:tab w:val="left" w:pos="142"/>
        </w:tabs>
        <w:suppressAutoHyphens/>
        <w:autoSpaceDN w:val="0"/>
        <w:spacing w:after="0" w:line="240" w:lineRule="auto"/>
        <w:contextualSpacing/>
        <w:jc w:val="both"/>
        <w:textAlignment w:val="baseline"/>
        <w:rPr>
          <w:rFonts w:eastAsia="SimSun" w:cs="Mangal"/>
          <w:kern w:val="3"/>
          <w:lang w:eastAsia="zh-CN" w:bidi="hi-IN"/>
        </w:rPr>
      </w:pPr>
      <w:r w:rsidRPr="00EE0C8C">
        <w:rPr>
          <w:rFonts w:eastAsia="SimSun" w:cs="Times New Roman"/>
          <w:color w:val="000000"/>
          <w:kern w:val="3"/>
          <w:lang w:eastAsia="zh-CN" w:bidi="hi-IN"/>
        </w:rPr>
        <w:t>Krajowa Strategia Rozwoju Regionalnego 2010-2020: Regiony, Miasta, Obszary Wiejskie</w:t>
      </w:r>
    </w:p>
    <w:p w:rsidR="00EE0C8C" w:rsidRPr="00EE0C8C" w:rsidRDefault="00EE0C8C" w:rsidP="00234BBD">
      <w:pPr>
        <w:widowControl w:val="0"/>
        <w:numPr>
          <w:ilvl w:val="0"/>
          <w:numId w:val="51"/>
        </w:numPr>
        <w:tabs>
          <w:tab w:val="left" w:pos="142"/>
        </w:tabs>
        <w:suppressAutoHyphens/>
        <w:autoSpaceDN w:val="0"/>
        <w:spacing w:after="0" w:line="240" w:lineRule="auto"/>
        <w:contextualSpacing/>
        <w:jc w:val="both"/>
        <w:textAlignment w:val="baseline"/>
        <w:rPr>
          <w:rFonts w:eastAsia="SimSun" w:cs="Mangal"/>
          <w:kern w:val="3"/>
          <w:lang w:eastAsia="zh-CN" w:bidi="hi-IN"/>
        </w:rPr>
      </w:pPr>
      <w:r w:rsidRPr="00EE0C8C">
        <w:rPr>
          <w:rFonts w:eastAsia="SimSun" w:cs="Times New Roman"/>
          <w:color w:val="000000"/>
          <w:kern w:val="3"/>
          <w:lang w:eastAsia="zh-CN" w:bidi="hi-IN"/>
        </w:rPr>
        <w:t>Plan Konwergencji Rzeczypospolitej Polskiej (Aktualizacja 2014 r.)</w:t>
      </w:r>
    </w:p>
    <w:p w:rsidR="00EE0C8C" w:rsidRPr="00EE0C8C" w:rsidRDefault="00EE0C8C" w:rsidP="00234BBD">
      <w:pPr>
        <w:widowControl w:val="0"/>
        <w:numPr>
          <w:ilvl w:val="0"/>
          <w:numId w:val="51"/>
        </w:numPr>
        <w:tabs>
          <w:tab w:val="left" w:pos="142"/>
        </w:tabs>
        <w:suppressAutoHyphens/>
        <w:autoSpaceDN w:val="0"/>
        <w:spacing w:after="0" w:line="240" w:lineRule="auto"/>
        <w:contextualSpacing/>
        <w:jc w:val="both"/>
        <w:textAlignment w:val="baseline"/>
        <w:rPr>
          <w:rFonts w:eastAsia="SimSun" w:cs="Mangal"/>
          <w:kern w:val="3"/>
          <w:lang w:eastAsia="zh-CN" w:bidi="hi-IN"/>
        </w:rPr>
      </w:pPr>
      <w:r w:rsidRPr="00EE0C8C">
        <w:rPr>
          <w:rFonts w:eastAsia="SimSun" w:cs="Times New Roman"/>
          <w:color w:val="000000"/>
          <w:kern w:val="3"/>
          <w:lang w:eastAsia="zh-CN" w:bidi="hi-IN"/>
        </w:rPr>
        <w:t>Strategia Rozwoju Kraju 2020. Aktywne społeczeństwo, konkurencyjna gospodarka, sprawne państwo</w:t>
      </w:r>
    </w:p>
    <w:p w:rsidR="00EE0C8C" w:rsidRPr="00EE0C8C" w:rsidRDefault="00EE0C8C" w:rsidP="00234BBD">
      <w:pPr>
        <w:widowControl w:val="0"/>
        <w:numPr>
          <w:ilvl w:val="0"/>
          <w:numId w:val="51"/>
        </w:numPr>
        <w:tabs>
          <w:tab w:val="left" w:pos="142"/>
        </w:tabs>
        <w:suppressAutoHyphens/>
        <w:autoSpaceDN w:val="0"/>
        <w:spacing w:after="0" w:line="240" w:lineRule="auto"/>
        <w:contextualSpacing/>
        <w:jc w:val="both"/>
        <w:textAlignment w:val="baseline"/>
        <w:rPr>
          <w:rFonts w:eastAsia="SimSun" w:cs="Mangal"/>
          <w:kern w:val="3"/>
          <w:lang w:eastAsia="zh-CN" w:bidi="hi-IN"/>
        </w:rPr>
      </w:pPr>
      <w:r w:rsidRPr="00EE0C8C">
        <w:rPr>
          <w:rFonts w:eastAsia="SimSun" w:cs="Times New Roman"/>
          <w:color w:val="000000"/>
          <w:kern w:val="3"/>
          <w:lang w:eastAsia="zh-CN" w:bidi="hi-IN"/>
        </w:rPr>
        <w:t xml:space="preserve">Strategiczne Ramy Rozwoju UE 2014-2020 (Europa 2020 - Strategia na rzecz inteligentnego </w:t>
      </w:r>
      <w:r w:rsidRPr="00EE0C8C">
        <w:rPr>
          <w:rFonts w:eastAsia="SimSun" w:cs="Times New Roman"/>
          <w:color w:val="000000"/>
          <w:kern w:val="3"/>
          <w:lang w:eastAsia="zh-CN" w:bidi="hi-IN"/>
        </w:rPr>
        <w:br/>
        <w:t>i zrównoważonego rozwoju sprzyjającemu włączeniu społecznemu)</w:t>
      </w:r>
    </w:p>
    <w:p w:rsidR="00EE0C8C" w:rsidRPr="00EE0C8C" w:rsidRDefault="00EE0C8C" w:rsidP="00234BBD">
      <w:pPr>
        <w:widowControl w:val="0"/>
        <w:numPr>
          <w:ilvl w:val="0"/>
          <w:numId w:val="51"/>
        </w:numPr>
        <w:tabs>
          <w:tab w:val="left" w:pos="142"/>
        </w:tabs>
        <w:suppressAutoHyphens/>
        <w:autoSpaceDN w:val="0"/>
        <w:spacing w:after="0" w:line="240" w:lineRule="auto"/>
        <w:contextualSpacing/>
        <w:jc w:val="both"/>
        <w:textAlignment w:val="baseline"/>
        <w:rPr>
          <w:rFonts w:eastAsia="SimSun" w:cs="Mangal"/>
          <w:kern w:val="3"/>
          <w:lang w:eastAsia="zh-CN" w:bidi="hi-IN"/>
        </w:rPr>
      </w:pPr>
      <w:r w:rsidRPr="00EE0C8C">
        <w:rPr>
          <w:rFonts w:eastAsia="SimSun" w:cs="Times New Roman"/>
          <w:color w:val="000000"/>
          <w:kern w:val="3"/>
          <w:lang w:eastAsia="zh-CN" w:bidi="hi-IN"/>
        </w:rPr>
        <w:t>Narodowy Plan Rewitalizacji 2022</w:t>
      </w:r>
    </w:p>
    <w:p w:rsidR="00EE0C8C" w:rsidRPr="00EE0C8C" w:rsidRDefault="00EE0C8C" w:rsidP="00234BBD">
      <w:pPr>
        <w:widowControl w:val="0"/>
        <w:numPr>
          <w:ilvl w:val="0"/>
          <w:numId w:val="51"/>
        </w:numPr>
        <w:tabs>
          <w:tab w:val="left" w:pos="142"/>
        </w:tabs>
        <w:suppressAutoHyphens/>
        <w:autoSpaceDN w:val="0"/>
        <w:spacing w:after="0" w:line="240" w:lineRule="auto"/>
        <w:contextualSpacing/>
        <w:jc w:val="both"/>
        <w:textAlignment w:val="baseline"/>
        <w:rPr>
          <w:rFonts w:eastAsia="SimSun" w:cs="Mangal"/>
          <w:kern w:val="3"/>
          <w:lang w:eastAsia="zh-CN" w:bidi="hi-IN"/>
        </w:rPr>
      </w:pPr>
      <w:r w:rsidRPr="00EE0C8C">
        <w:rPr>
          <w:rFonts w:eastAsia="SimSun" w:cs="Times New Roman"/>
          <w:kern w:val="3"/>
          <w:lang w:eastAsia="zh-CN" w:bidi="hi-IN"/>
        </w:rPr>
        <w:t>Program Rozwoju Obszarów Wiejskich na lata 2014-2020</w:t>
      </w:r>
    </w:p>
    <w:p w:rsidR="00EE0C8C" w:rsidRPr="00EE0C8C" w:rsidRDefault="00EE0C8C" w:rsidP="00234BBD">
      <w:pPr>
        <w:widowControl w:val="0"/>
        <w:numPr>
          <w:ilvl w:val="0"/>
          <w:numId w:val="51"/>
        </w:numPr>
        <w:tabs>
          <w:tab w:val="left" w:pos="142"/>
        </w:tabs>
        <w:suppressAutoHyphens/>
        <w:autoSpaceDN w:val="0"/>
        <w:spacing w:after="0" w:line="240" w:lineRule="auto"/>
        <w:contextualSpacing/>
        <w:jc w:val="both"/>
        <w:textAlignment w:val="baseline"/>
        <w:rPr>
          <w:rFonts w:eastAsia="SimSun" w:cs="Mangal"/>
          <w:kern w:val="3"/>
          <w:lang w:eastAsia="zh-CN" w:bidi="hi-IN"/>
        </w:rPr>
      </w:pPr>
      <w:r w:rsidRPr="00EE0C8C">
        <w:rPr>
          <w:rFonts w:eastAsia="SimSun" w:cs="Times New Roman"/>
          <w:color w:val="000000"/>
          <w:kern w:val="3"/>
          <w:lang w:eastAsia="zh-CN" w:bidi="hi-IN"/>
        </w:rPr>
        <w:t>Regionalny Program Operacyjny Województwa Świętokrzyskiego na lata 2014-2020</w:t>
      </w:r>
    </w:p>
    <w:p w:rsidR="00EE0C8C" w:rsidRPr="00EE0C8C" w:rsidRDefault="00EE0C8C" w:rsidP="00234BBD">
      <w:pPr>
        <w:widowControl w:val="0"/>
        <w:numPr>
          <w:ilvl w:val="0"/>
          <w:numId w:val="51"/>
        </w:numPr>
        <w:tabs>
          <w:tab w:val="left" w:pos="142"/>
        </w:tabs>
        <w:suppressAutoHyphens/>
        <w:autoSpaceDN w:val="0"/>
        <w:spacing w:after="0" w:line="240" w:lineRule="auto"/>
        <w:contextualSpacing/>
        <w:jc w:val="both"/>
        <w:textAlignment w:val="baseline"/>
        <w:rPr>
          <w:rFonts w:eastAsia="SimSun" w:cs="Mangal"/>
          <w:kern w:val="3"/>
          <w:lang w:eastAsia="zh-CN" w:bidi="hi-IN"/>
        </w:rPr>
      </w:pPr>
      <w:r w:rsidRPr="00EE0C8C">
        <w:rPr>
          <w:rFonts w:eastAsia="SimSun" w:cs="Times New Roman"/>
          <w:color w:val="000000"/>
          <w:kern w:val="3"/>
          <w:lang w:eastAsia="zh-CN" w:bidi="hi-IN"/>
        </w:rPr>
        <w:t>Program Operacyjny Polska Wschodnia 2014-2020</w:t>
      </w:r>
    </w:p>
    <w:p w:rsidR="00EE0C8C" w:rsidRPr="00EE0C8C" w:rsidRDefault="00EE0C8C" w:rsidP="00234BBD">
      <w:pPr>
        <w:widowControl w:val="0"/>
        <w:numPr>
          <w:ilvl w:val="0"/>
          <w:numId w:val="51"/>
        </w:numPr>
        <w:tabs>
          <w:tab w:val="left" w:pos="142"/>
        </w:tabs>
        <w:suppressAutoHyphens/>
        <w:autoSpaceDN w:val="0"/>
        <w:spacing w:after="0" w:line="240" w:lineRule="auto"/>
        <w:contextualSpacing/>
        <w:jc w:val="both"/>
        <w:textAlignment w:val="baseline"/>
        <w:rPr>
          <w:rFonts w:eastAsia="SimSun" w:cs="Mangal"/>
          <w:kern w:val="3"/>
          <w:lang w:eastAsia="zh-CN" w:bidi="hi-IN"/>
        </w:rPr>
      </w:pPr>
      <w:r w:rsidRPr="00EE0C8C">
        <w:rPr>
          <w:rFonts w:eastAsia="SimSun" w:cs="Times New Roman"/>
          <w:kern w:val="3"/>
          <w:lang w:eastAsia="zh-CN" w:bidi="hi-IN"/>
        </w:rPr>
        <w:t>Program Operacyjny Infrastruktura i Środowisko 2014-2020</w:t>
      </w:r>
    </w:p>
    <w:p w:rsidR="00EE0C8C" w:rsidRPr="00EE0C8C" w:rsidRDefault="00EE0C8C" w:rsidP="00234BBD">
      <w:pPr>
        <w:widowControl w:val="0"/>
        <w:numPr>
          <w:ilvl w:val="0"/>
          <w:numId w:val="51"/>
        </w:numPr>
        <w:tabs>
          <w:tab w:val="left" w:pos="142"/>
        </w:tabs>
        <w:suppressAutoHyphens/>
        <w:autoSpaceDN w:val="0"/>
        <w:spacing w:after="0" w:line="240" w:lineRule="auto"/>
        <w:contextualSpacing/>
        <w:jc w:val="both"/>
        <w:textAlignment w:val="baseline"/>
        <w:rPr>
          <w:rFonts w:eastAsia="SimSun" w:cs="Mangal"/>
          <w:kern w:val="3"/>
          <w:lang w:eastAsia="zh-CN" w:bidi="hi-IN"/>
        </w:rPr>
      </w:pPr>
      <w:r w:rsidRPr="00EE0C8C">
        <w:rPr>
          <w:rFonts w:eastAsia="SimSun" w:cs="Times New Roman"/>
          <w:kern w:val="3"/>
          <w:lang w:eastAsia="zh-CN" w:bidi="hi-IN"/>
        </w:rPr>
        <w:t>Program Operacyjny Inteligentny Rozwój 2014-2020</w:t>
      </w:r>
    </w:p>
    <w:p w:rsidR="00EE0C8C" w:rsidRPr="00EE0C8C" w:rsidRDefault="00EE0C8C" w:rsidP="00234BBD">
      <w:pPr>
        <w:widowControl w:val="0"/>
        <w:numPr>
          <w:ilvl w:val="0"/>
          <w:numId w:val="51"/>
        </w:numPr>
        <w:tabs>
          <w:tab w:val="left" w:pos="142"/>
        </w:tabs>
        <w:suppressAutoHyphens/>
        <w:autoSpaceDN w:val="0"/>
        <w:spacing w:after="0" w:line="240" w:lineRule="auto"/>
        <w:contextualSpacing/>
        <w:jc w:val="both"/>
        <w:textAlignment w:val="baseline"/>
        <w:rPr>
          <w:rFonts w:eastAsia="SimSun" w:cs="Mangal"/>
          <w:kern w:val="3"/>
          <w:lang w:eastAsia="zh-CN" w:bidi="hi-IN"/>
        </w:rPr>
      </w:pPr>
      <w:r w:rsidRPr="00EE0C8C">
        <w:rPr>
          <w:rFonts w:eastAsia="SimSun" w:cs="Times New Roman"/>
          <w:kern w:val="3"/>
          <w:lang w:eastAsia="zh-CN" w:bidi="hi-IN"/>
        </w:rPr>
        <w:t>Program Operacyjny Wiedza, Edukacja, Rozwój 2014-2020</w:t>
      </w:r>
    </w:p>
    <w:p w:rsidR="00EE0C8C" w:rsidRPr="00EE0C8C" w:rsidRDefault="00EE0C8C" w:rsidP="00234BBD">
      <w:pPr>
        <w:widowControl w:val="0"/>
        <w:numPr>
          <w:ilvl w:val="0"/>
          <w:numId w:val="51"/>
        </w:numPr>
        <w:tabs>
          <w:tab w:val="left" w:pos="142"/>
        </w:tabs>
        <w:suppressAutoHyphens/>
        <w:autoSpaceDN w:val="0"/>
        <w:spacing w:after="0" w:line="240" w:lineRule="auto"/>
        <w:contextualSpacing/>
        <w:jc w:val="both"/>
        <w:textAlignment w:val="baseline"/>
        <w:rPr>
          <w:rFonts w:eastAsia="SimSun" w:cs="Mangal"/>
          <w:kern w:val="3"/>
          <w:lang w:eastAsia="zh-CN" w:bidi="hi-IN"/>
        </w:rPr>
      </w:pPr>
      <w:r w:rsidRPr="00EE0C8C">
        <w:rPr>
          <w:rFonts w:eastAsia="SimSun" w:cs="Times New Roman"/>
          <w:kern w:val="3"/>
          <w:lang w:eastAsia="zh-CN" w:bidi="hi-IN"/>
        </w:rPr>
        <w:t>Program Operacyjny Polska Cyfrowa 2014-2020</w:t>
      </w:r>
    </w:p>
    <w:p w:rsidR="00EE0C8C" w:rsidRPr="00EE0C8C" w:rsidRDefault="00EE0C8C" w:rsidP="00234BBD">
      <w:pPr>
        <w:widowControl w:val="0"/>
        <w:numPr>
          <w:ilvl w:val="0"/>
          <w:numId w:val="51"/>
        </w:numPr>
        <w:tabs>
          <w:tab w:val="left" w:pos="142"/>
        </w:tabs>
        <w:suppressAutoHyphens/>
        <w:autoSpaceDN w:val="0"/>
        <w:spacing w:after="0" w:line="240" w:lineRule="auto"/>
        <w:contextualSpacing/>
        <w:jc w:val="both"/>
        <w:textAlignment w:val="baseline"/>
        <w:rPr>
          <w:rFonts w:eastAsia="SimSun" w:cs="Mangal"/>
          <w:kern w:val="3"/>
          <w:lang w:eastAsia="zh-CN" w:bidi="hi-IN"/>
        </w:rPr>
      </w:pPr>
      <w:r w:rsidRPr="00EE0C8C">
        <w:rPr>
          <w:rFonts w:eastAsia="SimSun" w:cs="Times New Roman"/>
          <w:color w:val="000000"/>
          <w:kern w:val="3"/>
          <w:lang w:eastAsia="zh-CN" w:bidi="hi-IN"/>
        </w:rPr>
        <w:t>Analiza potrzeb i rozwoju przemysłów kreatywnych, Raport Ecorys na zlecenie Ministerstwa Gospodarki, Warszawa 2009</w:t>
      </w:r>
    </w:p>
    <w:p w:rsidR="00EE0C8C" w:rsidRPr="00EE0C8C" w:rsidRDefault="00EE0C8C" w:rsidP="00234BBD">
      <w:pPr>
        <w:widowControl w:val="0"/>
        <w:numPr>
          <w:ilvl w:val="0"/>
          <w:numId w:val="51"/>
        </w:numPr>
        <w:tabs>
          <w:tab w:val="left" w:pos="142"/>
        </w:tabs>
        <w:suppressAutoHyphens/>
        <w:autoSpaceDN w:val="0"/>
        <w:spacing w:after="0" w:line="240" w:lineRule="auto"/>
        <w:contextualSpacing/>
        <w:jc w:val="both"/>
        <w:textAlignment w:val="baseline"/>
        <w:rPr>
          <w:rFonts w:eastAsia="SimSun" w:cs="Mangal"/>
          <w:kern w:val="3"/>
          <w:lang w:val="en-US" w:eastAsia="zh-CN" w:bidi="hi-IN"/>
        </w:rPr>
      </w:pPr>
      <w:r w:rsidRPr="00EE0C8C">
        <w:rPr>
          <w:rFonts w:eastAsia="SimSun" w:cs="Times New Roman"/>
          <w:color w:val="000000"/>
          <w:kern w:val="3"/>
          <w:lang w:val="en-US" w:eastAsia="zh-CN" w:bidi="hi-IN"/>
        </w:rPr>
        <w:t>Barney J. B., Resource-based theories of competitive advantage: A ten-year retrospective on the resource-based view, Journal of Management, vol. 6, 2001, s. 643-650</w:t>
      </w:r>
    </w:p>
    <w:p w:rsidR="00EE0C8C" w:rsidRPr="00EE0C8C" w:rsidRDefault="00EE0C8C" w:rsidP="00234BBD">
      <w:pPr>
        <w:widowControl w:val="0"/>
        <w:numPr>
          <w:ilvl w:val="0"/>
          <w:numId w:val="51"/>
        </w:numPr>
        <w:tabs>
          <w:tab w:val="left" w:pos="142"/>
        </w:tabs>
        <w:suppressAutoHyphens/>
        <w:autoSpaceDN w:val="0"/>
        <w:spacing w:after="0" w:line="240" w:lineRule="auto"/>
        <w:contextualSpacing/>
        <w:jc w:val="both"/>
        <w:textAlignment w:val="baseline"/>
        <w:rPr>
          <w:rFonts w:eastAsia="SimSun" w:cs="Mangal"/>
          <w:kern w:val="3"/>
          <w:lang w:val="en-US" w:eastAsia="zh-CN" w:bidi="hi-IN"/>
        </w:rPr>
      </w:pPr>
      <w:r w:rsidRPr="00EE0C8C">
        <w:rPr>
          <w:rFonts w:eastAsia="SimSun" w:cs="Times New Roman"/>
          <w:color w:val="000000"/>
          <w:kern w:val="3"/>
          <w:lang w:val="en-US" w:eastAsia="zh-CN" w:bidi="hi-IN"/>
        </w:rPr>
        <w:t>Bartlett W., Buković B., Barriers of SME Growth in Slovenia, Economic Policy in Transition Economies, Vol. 11(2), 2001, s. 177-195</w:t>
      </w:r>
    </w:p>
    <w:p w:rsidR="00EE0C8C" w:rsidRPr="00EE0C8C" w:rsidRDefault="00EE0C8C" w:rsidP="00234BBD">
      <w:pPr>
        <w:widowControl w:val="0"/>
        <w:numPr>
          <w:ilvl w:val="0"/>
          <w:numId w:val="51"/>
        </w:numPr>
        <w:tabs>
          <w:tab w:val="left" w:pos="142"/>
        </w:tabs>
        <w:suppressAutoHyphens/>
        <w:autoSpaceDN w:val="0"/>
        <w:spacing w:after="0" w:line="240" w:lineRule="auto"/>
        <w:contextualSpacing/>
        <w:jc w:val="both"/>
        <w:textAlignment w:val="baseline"/>
        <w:rPr>
          <w:rFonts w:eastAsia="SimSun" w:cs="Mangal"/>
          <w:kern w:val="3"/>
          <w:lang w:eastAsia="zh-CN" w:bidi="hi-IN"/>
        </w:rPr>
      </w:pPr>
      <w:r w:rsidRPr="00EE0C8C">
        <w:rPr>
          <w:rFonts w:eastAsia="SimSun" w:cs="Times New Roman"/>
          <w:color w:val="000000"/>
          <w:kern w:val="3"/>
          <w:lang w:eastAsia="zh-CN" w:bidi="hi-IN"/>
        </w:rPr>
        <w:t>Benko G., Geografia technopolii, PWN, Warszawa 1993, s. 20</w:t>
      </w:r>
    </w:p>
    <w:p w:rsidR="00EE0C8C" w:rsidRPr="00EE0C8C" w:rsidRDefault="00EE0C8C" w:rsidP="00234BBD">
      <w:pPr>
        <w:widowControl w:val="0"/>
        <w:numPr>
          <w:ilvl w:val="0"/>
          <w:numId w:val="51"/>
        </w:numPr>
        <w:tabs>
          <w:tab w:val="left" w:pos="142"/>
        </w:tabs>
        <w:suppressAutoHyphens/>
        <w:autoSpaceDN w:val="0"/>
        <w:spacing w:after="0" w:line="240" w:lineRule="auto"/>
        <w:contextualSpacing/>
        <w:jc w:val="both"/>
        <w:textAlignment w:val="baseline"/>
        <w:rPr>
          <w:rFonts w:eastAsia="SimSun" w:cs="Mangal"/>
          <w:kern w:val="3"/>
          <w:lang w:eastAsia="zh-CN" w:bidi="hi-IN"/>
        </w:rPr>
      </w:pPr>
      <w:r w:rsidRPr="00EE0C8C">
        <w:rPr>
          <w:rFonts w:eastAsia="SimSun" w:cs="Times New Roman"/>
          <w:color w:val="000000"/>
          <w:kern w:val="3"/>
          <w:lang w:eastAsia="zh-CN" w:bidi="hi-IN"/>
        </w:rPr>
        <w:t>Bielski M., Podstawy teorii organizacji i zarządzania, 2 wyd. rozszerzone, Wydawnictwo C.H. Beck, Warszawa 2004, s. 67</w:t>
      </w:r>
    </w:p>
    <w:p w:rsidR="00EE0C8C" w:rsidRPr="00EE0C8C" w:rsidRDefault="00EE0C8C" w:rsidP="00234BBD">
      <w:pPr>
        <w:widowControl w:val="0"/>
        <w:numPr>
          <w:ilvl w:val="0"/>
          <w:numId w:val="51"/>
        </w:numPr>
        <w:tabs>
          <w:tab w:val="left" w:pos="142"/>
        </w:tabs>
        <w:suppressAutoHyphens/>
        <w:autoSpaceDN w:val="0"/>
        <w:spacing w:after="0" w:line="240" w:lineRule="auto"/>
        <w:contextualSpacing/>
        <w:jc w:val="both"/>
        <w:textAlignment w:val="baseline"/>
        <w:rPr>
          <w:rFonts w:eastAsia="SimSun" w:cs="Mangal"/>
          <w:kern w:val="3"/>
          <w:lang w:eastAsia="zh-CN" w:bidi="hi-IN"/>
        </w:rPr>
      </w:pPr>
      <w:r w:rsidRPr="00EE0C8C">
        <w:rPr>
          <w:rFonts w:eastAsia="SimSun" w:cs="Times New Roman"/>
          <w:color w:val="000000"/>
          <w:kern w:val="3"/>
          <w:lang w:eastAsia="zh-CN" w:bidi="hi-IN"/>
        </w:rPr>
        <w:t>Budner W., Lokalizacja przedsiębiorstw, Wyd. AE w Poznaniu, Poznań, 2004, s. 162</w:t>
      </w:r>
    </w:p>
    <w:p w:rsidR="00EE0C8C" w:rsidRPr="00EE0C8C" w:rsidRDefault="00EE0C8C" w:rsidP="00234BBD">
      <w:pPr>
        <w:widowControl w:val="0"/>
        <w:numPr>
          <w:ilvl w:val="0"/>
          <w:numId w:val="51"/>
        </w:numPr>
        <w:tabs>
          <w:tab w:val="left" w:pos="142"/>
        </w:tabs>
        <w:suppressAutoHyphens/>
        <w:autoSpaceDN w:val="0"/>
        <w:spacing w:after="0" w:line="240" w:lineRule="auto"/>
        <w:contextualSpacing/>
        <w:jc w:val="both"/>
        <w:textAlignment w:val="baseline"/>
        <w:rPr>
          <w:rFonts w:eastAsia="SimSun" w:cs="Mangal"/>
          <w:kern w:val="3"/>
          <w:lang w:eastAsia="zh-CN" w:bidi="hi-IN"/>
        </w:rPr>
      </w:pPr>
      <w:r w:rsidRPr="00EE0C8C">
        <w:rPr>
          <w:rFonts w:eastAsia="SimSun" w:cs="Times New Roman"/>
          <w:color w:val="000000"/>
          <w:kern w:val="3"/>
          <w:lang w:eastAsia="zh-CN" w:bidi="hi-IN"/>
        </w:rPr>
        <w:t xml:space="preserve">Domański T., Partnerstwo Publiczno-Prywatne, „Wspólnota”, Nr 44/1999 oraz </w:t>
      </w:r>
      <w:r w:rsidRPr="00EE0C8C">
        <w:rPr>
          <w:rFonts w:eastAsia="SimSun" w:cs="Times New Roman"/>
          <w:color w:val="000000"/>
          <w:kern w:val="3"/>
          <w:lang w:eastAsia="zh-CN" w:bidi="hi-IN"/>
        </w:rPr>
        <w:br/>
        <w:t>Z. Jerzmanowski, Partnerstwo Publiczno-Prywatne. Gmina-nie orkiestra, Wspólnota 2000/1, za: E. Wojciechowski, Zarządzanie w samorządzie terytorialnym, Difin, Warszawa 2003, s. 104</w:t>
      </w:r>
    </w:p>
    <w:p w:rsidR="00EE0C8C" w:rsidRPr="00EE0C8C" w:rsidRDefault="00EE0C8C" w:rsidP="00234BBD">
      <w:pPr>
        <w:widowControl w:val="0"/>
        <w:numPr>
          <w:ilvl w:val="0"/>
          <w:numId w:val="51"/>
        </w:numPr>
        <w:tabs>
          <w:tab w:val="left" w:pos="142"/>
        </w:tabs>
        <w:suppressAutoHyphens/>
        <w:autoSpaceDN w:val="0"/>
        <w:spacing w:after="0" w:line="240" w:lineRule="auto"/>
        <w:contextualSpacing/>
        <w:jc w:val="both"/>
        <w:textAlignment w:val="baseline"/>
        <w:rPr>
          <w:rFonts w:eastAsia="SimSun" w:cs="Mangal"/>
          <w:kern w:val="3"/>
          <w:lang w:eastAsia="zh-CN" w:bidi="hi-IN"/>
        </w:rPr>
      </w:pPr>
      <w:r w:rsidRPr="00EE0C8C">
        <w:rPr>
          <w:rFonts w:eastAsia="SimSun" w:cs="Times New Roman"/>
          <w:color w:val="000000"/>
          <w:kern w:val="3"/>
          <w:lang w:eastAsia="zh-CN" w:bidi="hi-IN"/>
        </w:rPr>
        <w:t>Griffin R. W., Podstawy zarządzania organizacjami, PWN, Warszawa2005, s. 249</w:t>
      </w:r>
    </w:p>
    <w:p w:rsidR="00EE0C8C" w:rsidRPr="00EE0C8C" w:rsidRDefault="00EE0C8C" w:rsidP="00234BBD">
      <w:pPr>
        <w:widowControl w:val="0"/>
        <w:numPr>
          <w:ilvl w:val="0"/>
          <w:numId w:val="51"/>
        </w:numPr>
        <w:tabs>
          <w:tab w:val="left" w:pos="142"/>
        </w:tabs>
        <w:suppressAutoHyphens/>
        <w:autoSpaceDN w:val="0"/>
        <w:spacing w:after="0" w:line="240" w:lineRule="auto"/>
        <w:contextualSpacing/>
        <w:jc w:val="both"/>
        <w:textAlignment w:val="baseline"/>
        <w:rPr>
          <w:rFonts w:eastAsia="SimSun" w:cs="Mangal"/>
          <w:kern w:val="3"/>
          <w:lang w:eastAsia="zh-CN" w:bidi="hi-IN"/>
        </w:rPr>
      </w:pPr>
      <w:r w:rsidRPr="00EE0C8C">
        <w:rPr>
          <w:rFonts w:eastAsia="SimSun" w:cs="Times New Roman"/>
          <w:color w:val="000000"/>
          <w:kern w:val="3"/>
          <w:lang w:eastAsia="zh-CN" w:bidi="hi-IN"/>
        </w:rPr>
        <w:t>Kisilowska H. (red.), „Nieruchomości. Zagadnienia prawne”, LexisNexis, Warszawa 2004</w:t>
      </w:r>
    </w:p>
    <w:p w:rsidR="00EE0C8C" w:rsidRPr="00EE0C8C" w:rsidRDefault="00EE0C8C" w:rsidP="00234BBD">
      <w:pPr>
        <w:widowControl w:val="0"/>
        <w:numPr>
          <w:ilvl w:val="0"/>
          <w:numId w:val="51"/>
        </w:numPr>
        <w:tabs>
          <w:tab w:val="left" w:pos="142"/>
        </w:tabs>
        <w:suppressAutoHyphens/>
        <w:autoSpaceDN w:val="0"/>
        <w:spacing w:after="0" w:line="240" w:lineRule="auto"/>
        <w:contextualSpacing/>
        <w:jc w:val="both"/>
        <w:textAlignment w:val="baseline"/>
        <w:rPr>
          <w:rFonts w:eastAsia="SimSun" w:cs="Mangal"/>
          <w:kern w:val="3"/>
          <w:lang w:eastAsia="zh-CN" w:bidi="hi-IN"/>
        </w:rPr>
      </w:pPr>
      <w:r w:rsidRPr="00EE0C8C">
        <w:rPr>
          <w:rFonts w:eastAsia="SimSun" w:cs="Times New Roman"/>
          <w:color w:val="000000"/>
          <w:kern w:val="3"/>
          <w:lang w:eastAsia="zh-CN" w:bidi="hi-IN"/>
        </w:rPr>
        <w:t>Kotler Ph., Marketing. Analiza, planowanie, wdrażanie i kontrola; Gebethner&amp;Ska, Warszawa 1994, s. 299</w:t>
      </w:r>
    </w:p>
    <w:p w:rsidR="00EE0C8C" w:rsidRPr="00EE0C8C" w:rsidRDefault="00EE0C8C" w:rsidP="00234BBD">
      <w:pPr>
        <w:widowControl w:val="0"/>
        <w:numPr>
          <w:ilvl w:val="0"/>
          <w:numId w:val="51"/>
        </w:numPr>
        <w:tabs>
          <w:tab w:val="left" w:pos="142"/>
        </w:tabs>
        <w:suppressAutoHyphens/>
        <w:autoSpaceDN w:val="0"/>
        <w:spacing w:after="0" w:line="240" w:lineRule="auto"/>
        <w:contextualSpacing/>
        <w:jc w:val="both"/>
        <w:textAlignment w:val="baseline"/>
        <w:rPr>
          <w:rFonts w:eastAsia="SimSun" w:cs="Mangal"/>
          <w:kern w:val="3"/>
          <w:lang w:eastAsia="zh-CN" w:bidi="hi-IN"/>
        </w:rPr>
      </w:pPr>
      <w:r w:rsidRPr="00EE0C8C">
        <w:rPr>
          <w:rFonts w:eastAsia="SimSun" w:cs="Times New Roman"/>
          <w:color w:val="000000"/>
          <w:kern w:val="3"/>
          <w:lang w:eastAsia="zh-CN" w:bidi="hi-IN"/>
        </w:rPr>
        <w:t>Krupski R., Identyfikacja ważnych strategicznie zasobów przedsiębiorstwa w świetle badań empirycznych, [w:] Zarządzanie – kontekst strategiczny, kulturowy i zasobowy, Prace Naukowe Akademii Ekonomicznej we Wrocławiu, nr 1187, Wrocław 2007</w:t>
      </w:r>
    </w:p>
    <w:p w:rsidR="00EE0C8C" w:rsidRPr="00EE0C8C" w:rsidRDefault="00EE0C8C" w:rsidP="00234BBD">
      <w:pPr>
        <w:widowControl w:val="0"/>
        <w:numPr>
          <w:ilvl w:val="0"/>
          <w:numId w:val="51"/>
        </w:numPr>
        <w:tabs>
          <w:tab w:val="left" w:pos="142"/>
        </w:tabs>
        <w:suppressAutoHyphens/>
        <w:autoSpaceDN w:val="0"/>
        <w:spacing w:after="0" w:line="240" w:lineRule="auto"/>
        <w:contextualSpacing/>
        <w:jc w:val="both"/>
        <w:textAlignment w:val="baseline"/>
        <w:rPr>
          <w:rFonts w:eastAsia="SimSun" w:cs="Mangal"/>
          <w:kern w:val="3"/>
          <w:lang w:eastAsia="zh-CN" w:bidi="hi-IN"/>
        </w:rPr>
      </w:pPr>
      <w:r w:rsidRPr="00EE0C8C">
        <w:rPr>
          <w:rFonts w:eastAsia="SimSun" w:cs="Times New Roman"/>
          <w:color w:val="000000"/>
          <w:kern w:val="3"/>
          <w:lang w:eastAsia="zh-CN" w:bidi="hi-IN"/>
        </w:rPr>
        <w:t>Kuciński K., Geografia ekonomiczna, Wydawnictwo SGH, Warszawa 1994, s. 66-67</w:t>
      </w:r>
    </w:p>
    <w:p w:rsidR="00EE0C8C" w:rsidRPr="00EE0C8C" w:rsidRDefault="00EE0C8C" w:rsidP="00234BBD">
      <w:pPr>
        <w:widowControl w:val="0"/>
        <w:numPr>
          <w:ilvl w:val="0"/>
          <w:numId w:val="51"/>
        </w:numPr>
        <w:tabs>
          <w:tab w:val="left" w:pos="142"/>
        </w:tabs>
        <w:suppressAutoHyphens/>
        <w:autoSpaceDN w:val="0"/>
        <w:spacing w:after="0" w:line="240" w:lineRule="auto"/>
        <w:contextualSpacing/>
        <w:jc w:val="both"/>
        <w:textAlignment w:val="baseline"/>
        <w:rPr>
          <w:rFonts w:eastAsia="SimSun" w:cs="Mangal"/>
          <w:kern w:val="3"/>
          <w:lang w:eastAsia="zh-CN" w:bidi="hi-IN"/>
        </w:rPr>
      </w:pPr>
      <w:r w:rsidRPr="00EE0C8C">
        <w:rPr>
          <w:rFonts w:eastAsia="SimSun" w:cs="Times New Roman"/>
          <w:color w:val="000000"/>
          <w:kern w:val="3"/>
          <w:lang w:eastAsia="zh-CN" w:bidi="hi-IN"/>
        </w:rPr>
        <w:t>Matejun M., Kierunki rozwoju firm sektora MSP w opinii przedsiębiorców z regionu łódzkiego, [w:] Lachiewicz S. (red.), Zarządzanie rozwojem organizacji, Tom II, Wydawnictwo Politechniki Łódzkiej, Łódź 2007</w:t>
      </w:r>
    </w:p>
    <w:p w:rsidR="00EE0C8C" w:rsidRPr="00EE0C8C" w:rsidRDefault="00EE0C8C" w:rsidP="00234BBD">
      <w:pPr>
        <w:widowControl w:val="0"/>
        <w:numPr>
          <w:ilvl w:val="0"/>
          <w:numId w:val="51"/>
        </w:numPr>
        <w:tabs>
          <w:tab w:val="left" w:pos="142"/>
        </w:tabs>
        <w:suppressAutoHyphens/>
        <w:autoSpaceDN w:val="0"/>
        <w:spacing w:after="0" w:line="240" w:lineRule="auto"/>
        <w:contextualSpacing/>
        <w:jc w:val="both"/>
        <w:textAlignment w:val="baseline"/>
        <w:rPr>
          <w:rFonts w:eastAsia="SimSun" w:cs="Mangal"/>
          <w:kern w:val="3"/>
          <w:lang w:eastAsia="zh-CN" w:bidi="hi-IN"/>
        </w:rPr>
      </w:pPr>
      <w:r w:rsidRPr="00EE0C8C">
        <w:rPr>
          <w:rFonts w:eastAsia="SimSun" w:cs="Times New Roman"/>
          <w:color w:val="000000"/>
          <w:kern w:val="3"/>
          <w:lang w:eastAsia="zh-CN" w:bidi="hi-IN"/>
        </w:rPr>
        <w:t xml:space="preserve">Matusiak K. B., Innowacje i transfer technologii. Słownik pojęć. PARP, Warszawa 2011  </w:t>
      </w:r>
    </w:p>
    <w:p w:rsidR="00EE0C8C" w:rsidRPr="00EE0C8C" w:rsidRDefault="00EE0C8C" w:rsidP="00234BBD">
      <w:pPr>
        <w:widowControl w:val="0"/>
        <w:numPr>
          <w:ilvl w:val="0"/>
          <w:numId w:val="51"/>
        </w:numPr>
        <w:tabs>
          <w:tab w:val="left" w:pos="142"/>
        </w:tabs>
        <w:suppressAutoHyphens/>
        <w:autoSpaceDN w:val="0"/>
        <w:spacing w:after="0" w:line="240" w:lineRule="auto"/>
        <w:contextualSpacing/>
        <w:jc w:val="both"/>
        <w:textAlignment w:val="baseline"/>
        <w:rPr>
          <w:rFonts w:eastAsia="SimSun" w:cs="Mangal"/>
          <w:kern w:val="3"/>
          <w:lang w:eastAsia="zh-CN" w:bidi="hi-IN"/>
        </w:rPr>
      </w:pPr>
      <w:r w:rsidRPr="00EE0C8C">
        <w:rPr>
          <w:rFonts w:eastAsia="SimSun" w:cs="Times New Roman"/>
          <w:color w:val="000000"/>
          <w:kern w:val="3"/>
          <w:lang w:eastAsia="zh-CN" w:bidi="hi-IN"/>
        </w:rPr>
        <w:t>Obłój K., Strategia organizacji, PWE, Warszawa 2007</w:t>
      </w:r>
    </w:p>
    <w:p w:rsidR="00EE0C8C" w:rsidRPr="00EE0C8C" w:rsidRDefault="00EE0C8C" w:rsidP="00234BBD">
      <w:pPr>
        <w:widowControl w:val="0"/>
        <w:numPr>
          <w:ilvl w:val="0"/>
          <w:numId w:val="51"/>
        </w:numPr>
        <w:tabs>
          <w:tab w:val="left" w:pos="142"/>
        </w:tabs>
        <w:suppressAutoHyphens/>
        <w:autoSpaceDN w:val="0"/>
        <w:spacing w:after="0" w:line="240" w:lineRule="auto"/>
        <w:contextualSpacing/>
        <w:jc w:val="both"/>
        <w:textAlignment w:val="baseline"/>
        <w:rPr>
          <w:rFonts w:eastAsia="SimSun" w:cs="Mangal"/>
          <w:kern w:val="3"/>
          <w:lang w:eastAsia="zh-CN" w:bidi="hi-IN"/>
        </w:rPr>
      </w:pPr>
      <w:r w:rsidRPr="00EE0C8C">
        <w:rPr>
          <w:rFonts w:eastAsia="SimSun" w:cs="Times New Roman"/>
          <w:color w:val="000000"/>
          <w:kern w:val="3"/>
          <w:lang w:eastAsia="zh-CN" w:bidi="hi-IN"/>
        </w:rPr>
        <w:t>Obłój K., Trybuchowski M., Zarządzanie strategiczne, w: A. Koźmiński, W. Piotrowski (red.) Zarządzanie. Teoria I praktyka, PWN, Warszawa 2010, s. 139-141</w:t>
      </w:r>
    </w:p>
    <w:p w:rsidR="00EE0C8C" w:rsidRPr="00EE0C8C" w:rsidRDefault="00EE0C8C" w:rsidP="00234BBD">
      <w:pPr>
        <w:widowControl w:val="0"/>
        <w:numPr>
          <w:ilvl w:val="0"/>
          <w:numId w:val="51"/>
        </w:numPr>
        <w:tabs>
          <w:tab w:val="left" w:pos="142"/>
        </w:tabs>
        <w:suppressAutoHyphens/>
        <w:autoSpaceDN w:val="0"/>
        <w:spacing w:after="0" w:line="240" w:lineRule="auto"/>
        <w:contextualSpacing/>
        <w:jc w:val="both"/>
        <w:textAlignment w:val="baseline"/>
        <w:rPr>
          <w:rFonts w:eastAsia="SimSun" w:cs="Mangal"/>
          <w:kern w:val="3"/>
          <w:lang w:eastAsia="zh-CN" w:bidi="hi-IN"/>
        </w:rPr>
      </w:pPr>
      <w:r w:rsidRPr="00EE0C8C">
        <w:rPr>
          <w:rFonts w:eastAsia="SimSun" w:cs="Times New Roman"/>
          <w:color w:val="000000"/>
          <w:kern w:val="3"/>
          <w:lang w:eastAsia="zh-CN" w:bidi="hi-IN"/>
        </w:rPr>
        <w:t xml:space="preserve">Stawasz D., Współczesne uwarunkowania rozwoju polskich regionów, Wyd. Uniwersytetu </w:t>
      </w:r>
      <w:r w:rsidRPr="00EE0C8C">
        <w:rPr>
          <w:rFonts w:eastAsia="SimSun" w:cs="Times New Roman"/>
          <w:color w:val="000000"/>
          <w:kern w:val="3"/>
          <w:lang w:eastAsia="zh-CN" w:bidi="hi-IN"/>
        </w:rPr>
        <w:lastRenderedPageBreak/>
        <w:t>Łódzkiego, Łódź 2000, s. 136</w:t>
      </w:r>
    </w:p>
    <w:p w:rsidR="00EE0C8C" w:rsidRPr="00EE0C8C" w:rsidRDefault="00EE0C8C" w:rsidP="00234BBD">
      <w:pPr>
        <w:widowControl w:val="0"/>
        <w:numPr>
          <w:ilvl w:val="0"/>
          <w:numId w:val="51"/>
        </w:numPr>
        <w:tabs>
          <w:tab w:val="left" w:pos="142"/>
        </w:tabs>
        <w:suppressAutoHyphens/>
        <w:autoSpaceDN w:val="0"/>
        <w:spacing w:after="0" w:line="240" w:lineRule="auto"/>
        <w:contextualSpacing/>
        <w:jc w:val="both"/>
        <w:textAlignment w:val="baseline"/>
        <w:rPr>
          <w:rFonts w:eastAsia="SimSun" w:cs="Mangal"/>
          <w:kern w:val="3"/>
          <w:lang w:eastAsia="zh-CN" w:bidi="hi-IN"/>
        </w:rPr>
      </w:pPr>
      <w:r w:rsidRPr="00EE0C8C">
        <w:rPr>
          <w:rFonts w:eastAsia="SimSun" w:cs="Times New Roman"/>
          <w:color w:val="000000"/>
          <w:kern w:val="3"/>
          <w:lang w:eastAsia="zh-CN" w:bidi="hi-IN"/>
        </w:rPr>
        <w:t>Stawasz D., Sikora-Fernandez D. (red.), Zarządzanie w Jednostkach Samorządu Terytorialnego. Wybrane zagadnienia i obszary działania., Placet, 2013</w:t>
      </w:r>
    </w:p>
    <w:p w:rsidR="00EE0C8C" w:rsidRPr="00EE0C8C" w:rsidRDefault="00EE0C8C" w:rsidP="00234BBD">
      <w:pPr>
        <w:widowControl w:val="0"/>
        <w:numPr>
          <w:ilvl w:val="0"/>
          <w:numId w:val="51"/>
        </w:numPr>
        <w:tabs>
          <w:tab w:val="left" w:pos="142"/>
        </w:tabs>
        <w:suppressAutoHyphens/>
        <w:autoSpaceDN w:val="0"/>
        <w:spacing w:after="0" w:line="240" w:lineRule="auto"/>
        <w:contextualSpacing/>
        <w:jc w:val="both"/>
        <w:textAlignment w:val="baseline"/>
        <w:rPr>
          <w:rFonts w:eastAsia="SimSun" w:cs="Mangal"/>
          <w:kern w:val="3"/>
          <w:lang w:eastAsia="zh-CN" w:bidi="hi-IN"/>
        </w:rPr>
      </w:pPr>
      <w:r w:rsidRPr="00EE0C8C">
        <w:rPr>
          <w:rFonts w:eastAsia="SimSun" w:cs="Times New Roman"/>
          <w:color w:val="000000"/>
          <w:kern w:val="3"/>
          <w:lang w:eastAsia="zh-CN" w:bidi="hi-IN"/>
        </w:rPr>
        <w:t xml:space="preserve">Stawasz D., Jednostki samorządu terytorialnego w procesie rozwoju regionalnego </w:t>
      </w:r>
      <w:r w:rsidRPr="00EE0C8C">
        <w:rPr>
          <w:rFonts w:eastAsia="SimSun" w:cs="Times New Roman"/>
          <w:color w:val="000000"/>
          <w:kern w:val="3"/>
          <w:lang w:eastAsia="zh-CN" w:bidi="hi-IN"/>
        </w:rPr>
        <w:br/>
        <w:t xml:space="preserve">w zintegrowanej Europie, Uniwersytet Humanistyczno-Przyrodniczy Jana Kochanowskiego </w:t>
      </w:r>
      <w:r w:rsidRPr="00EE0C8C">
        <w:rPr>
          <w:rFonts w:eastAsia="SimSun" w:cs="Times New Roman"/>
          <w:color w:val="000000"/>
          <w:kern w:val="3"/>
          <w:lang w:eastAsia="zh-CN" w:bidi="hi-IN"/>
        </w:rPr>
        <w:br/>
        <w:t>w Kielcach, 2009</w:t>
      </w:r>
    </w:p>
    <w:p w:rsidR="00EE0C8C" w:rsidRPr="00EE0C8C" w:rsidRDefault="00EE0C8C" w:rsidP="00234BBD">
      <w:pPr>
        <w:widowControl w:val="0"/>
        <w:numPr>
          <w:ilvl w:val="0"/>
          <w:numId w:val="51"/>
        </w:numPr>
        <w:tabs>
          <w:tab w:val="left" w:pos="142"/>
        </w:tabs>
        <w:suppressAutoHyphens/>
        <w:autoSpaceDN w:val="0"/>
        <w:spacing w:after="0" w:line="240" w:lineRule="auto"/>
        <w:contextualSpacing/>
        <w:jc w:val="both"/>
        <w:textAlignment w:val="baseline"/>
        <w:rPr>
          <w:rFonts w:eastAsia="SimSun" w:cs="Mangal"/>
          <w:kern w:val="3"/>
          <w:lang w:eastAsia="zh-CN" w:bidi="hi-IN"/>
        </w:rPr>
      </w:pPr>
      <w:r w:rsidRPr="00EE0C8C">
        <w:rPr>
          <w:rFonts w:eastAsia="SimSun" w:cs="Times New Roman"/>
          <w:color w:val="000000"/>
          <w:kern w:val="3"/>
          <w:lang w:eastAsia="zh-CN" w:bidi="hi-IN"/>
        </w:rPr>
        <w:t xml:space="preserve">Stawasz D. (red.), Ekonomiczno-organizacyjne uwarunkowania rozwoju regionu - teoria </w:t>
      </w:r>
      <w:r w:rsidRPr="00EE0C8C">
        <w:rPr>
          <w:rFonts w:eastAsia="SimSun" w:cs="Times New Roman"/>
          <w:color w:val="000000"/>
          <w:kern w:val="3"/>
          <w:lang w:eastAsia="zh-CN" w:bidi="hi-IN"/>
        </w:rPr>
        <w:br/>
        <w:t>i praktyka, Wyd. UŁ, Łódź 2004</w:t>
      </w:r>
    </w:p>
    <w:p w:rsidR="00EE0C8C" w:rsidRPr="00EE0C8C" w:rsidRDefault="00EE0C8C" w:rsidP="00234BBD">
      <w:pPr>
        <w:widowControl w:val="0"/>
        <w:numPr>
          <w:ilvl w:val="0"/>
          <w:numId w:val="51"/>
        </w:numPr>
        <w:tabs>
          <w:tab w:val="left" w:pos="142"/>
        </w:tabs>
        <w:suppressAutoHyphens/>
        <w:autoSpaceDN w:val="0"/>
        <w:spacing w:after="0" w:line="240" w:lineRule="auto"/>
        <w:contextualSpacing/>
        <w:jc w:val="both"/>
        <w:textAlignment w:val="baseline"/>
        <w:rPr>
          <w:rFonts w:eastAsia="SimSun" w:cs="Mangal"/>
          <w:kern w:val="3"/>
          <w:lang w:eastAsia="zh-CN" w:bidi="hi-IN"/>
        </w:rPr>
      </w:pPr>
      <w:r w:rsidRPr="00EE0C8C">
        <w:rPr>
          <w:rFonts w:eastAsia="SimSun" w:cs="Times New Roman"/>
          <w:color w:val="000000"/>
          <w:kern w:val="3"/>
          <w:lang w:eastAsia="zh-CN" w:bidi="hi-IN"/>
        </w:rPr>
        <w:t xml:space="preserve">Stawasz E., Pojęcie i źródła finansowania MSP, w: Bariery w korzystaniu z usług bankowych </w:t>
      </w:r>
      <w:r w:rsidRPr="00EE0C8C">
        <w:rPr>
          <w:rFonts w:eastAsia="SimSun" w:cs="Times New Roman"/>
          <w:color w:val="000000"/>
          <w:kern w:val="3"/>
          <w:lang w:eastAsia="zh-CN" w:bidi="hi-IN"/>
        </w:rPr>
        <w:br/>
        <w:t>w finansowaniu działalności małych i średnich przedsiębiorstw, Bilski J., Stawasz E. (red.), Wyd. Uniwersytetu Łódzkiego, Łódź 2006</w:t>
      </w:r>
    </w:p>
    <w:p w:rsidR="00EE0C8C" w:rsidRPr="00EE0C8C" w:rsidRDefault="00EE0C8C" w:rsidP="00234BBD">
      <w:pPr>
        <w:widowControl w:val="0"/>
        <w:numPr>
          <w:ilvl w:val="0"/>
          <w:numId w:val="51"/>
        </w:numPr>
        <w:tabs>
          <w:tab w:val="left" w:pos="142"/>
        </w:tabs>
        <w:suppressAutoHyphens/>
        <w:autoSpaceDN w:val="0"/>
        <w:spacing w:after="0" w:line="240" w:lineRule="auto"/>
        <w:contextualSpacing/>
        <w:jc w:val="both"/>
        <w:textAlignment w:val="baseline"/>
        <w:rPr>
          <w:rFonts w:eastAsia="SimSun" w:cs="Mangal"/>
          <w:kern w:val="3"/>
          <w:lang w:val="en-US" w:eastAsia="zh-CN" w:bidi="hi-IN"/>
        </w:rPr>
      </w:pPr>
      <w:r w:rsidRPr="00EE0C8C">
        <w:rPr>
          <w:rFonts w:eastAsia="SimSun" w:cs="Times New Roman"/>
          <w:color w:val="000000"/>
          <w:kern w:val="3"/>
          <w:lang w:val="en-US" w:eastAsia="zh-CN" w:bidi="hi-IN"/>
        </w:rPr>
        <w:t>Storey D. J., Understanding The Small Business Sector, Routledge, London, New York 1994</w:t>
      </w:r>
    </w:p>
    <w:p w:rsidR="00EE0C8C" w:rsidRPr="00EE0C8C" w:rsidRDefault="00EE0C8C" w:rsidP="00234BBD">
      <w:pPr>
        <w:widowControl w:val="0"/>
        <w:numPr>
          <w:ilvl w:val="0"/>
          <w:numId w:val="51"/>
        </w:numPr>
        <w:tabs>
          <w:tab w:val="left" w:pos="142"/>
        </w:tabs>
        <w:suppressAutoHyphens/>
        <w:autoSpaceDN w:val="0"/>
        <w:spacing w:after="0" w:line="240" w:lineRule="auto"/>
        <w:contextualSpacing/>
        <w:jc w:val="both"/>
        <w:textAlignment w:val="baseline"/>
        <w:rPr>
          <w:rFonts w:eastAsia="SimSun" w:cs="Mangal"/>
          <w:kern w:val="3"/>
          <w:lang w:eastAsia="zh-CN" w:bidi="hi-IN"/>
        </w:rPr>
      </w:pPr>
      <w:r w:rsidRPr="00EE0C8C">
        <w:rPr>
          <w:rFonts w:eastAsia="SimSun" w:cs="Times New Roman"/>
          <w:color w:val="000000"/>
          <w:kern w:val="3"/>
          <w:lang w:eastAsia="zh-CN" w:bidi="hi-IN"/>
        </w:rPr>
        <w:t>Topczewska T., Siemiński W., „Gospodarka gruntami w gminie”, Wyd. Difin, Warszawa 2003</w:t>
      </w:r>
    </w:p>
    <w:p w:rsidR="00EE0C8C" w:rsidRPr="00EE0C8C" w:rsidRDefault="00EE0C8C" w:rsidP="00234BBD">
      <w:pPr>
        <w:widowControl w:val="0"/>
        <w:numPr>
          <w:ilvl w:val="0"/>
          <w:numId w:val="51"/>
        </w:numPr>
        <w:tabs>
          <w:tab w:val="left" w:pos="142"/>
        </w:tabs>
        <w:suppressAutoHyphens/>
        <w:autoSpaceDN w:val="0"/>
        <w:spacing w:after="0" w:line="240" w:lineRule="auto"/>
        <w:contextualSpacing/>
        <w:jc w:val="both"/>
        <w:textAlignment w:val="baseline"/>
        <w:rPr>
          <w:rFonts w:eastAsia="SimSun" w:cs="Mangal"/>
          <w:kern w:val="3"/>
          <w:lang w:eastAsia="zh-CN" w:bidi="hi-IN"/>
        </w:rPr>
      </w:pPr>
      <w:r w:rsidRPr="00EE0C8C">
        <w:rPr>
          <w:rFonts w:eastAsia="SimSun" w:cs="Times New Roman"/>
          <w:color w:val="000000"/>
          <w:kern w:val="3"/>
          <w:lang w:eastAsia="zh-CN" w:bidi="hi-IN"/>
        </w:rPr>
        <w:t>Ustawa z dnia 2 lipca 2004 r. o swobodzie działalności gospodarczej</w:t>
      </w:r>
    </w:p>
    <w:p w:rsidR="00EE0C8C" w:rsidRPr="00EE0C8C" w:rsidRDefault="00EE0C8C" w:rsidP="00234BBD">
      <w:pPr>
        <w:widowControl w:val="0"/>
        <w:numPr>
          <w:ilvl w:val="0"/>
          <w:numId w:val="51"/>
        </w:numPr>
        <w:tabs>
          <w:tab w:val="left" w:pos="142"/>
        </w:tabs>
        <w:suppressAutoHyphens/>
        <w:autoSpaceDN w:val="0"/>
        <w:spacing w:after="0" w:line="240" w:lineRule="auto"/>
        <w:contextualSpacing/>
        <w:jc w:val="both"/>
        <w:textAlignment w:val="baseline"/>
        <w:rPr>
          <w:rFonts w:eastAsia="SimSun" w:cs="Mangal"/>
          <w:kern w:val="3"/>
          <w:lang w:eastAsia="zh-CN" w:bidi="hi-IN"/>
        </w:rPr>
      </w:pPr>
      <w:r w:rsidRPr="00EE0C8C">
        <w:rPr>
          <w:rFonts w:eastAsia="SimSun" w:cs="Times New Roman"/>
          <w:color w:val="000000"/>
          <w:kern w:val="3"/>
          <w:lang w:eastAsia="zh-CN" w:bidi="hi-IN"/>
        </w:rPr>
        <w:t>Ustawa z dnia 21 kwietnia 2001r. prawo ochrony środowiska</w:t>
      </w:r>
    </w:p>
    <w:p w:rsidR="00EE0C8C" w:rsidRPr="00EE0C8C" w:rsidRDefault="00EE0C8C" w:rsidP="00234BBD">
      <w:pPr>
        <w:widowControl w:val="0"/>
        <w:numPr>
          <w:ilvl w:val="0"/>
          <w:numId w:val="51"/>
        </w:numPr>
        <w:tabs>
          <w:tab w:val="left" w:pos="142"/>
        </w:tabs>
        <w:suppressAutoHyphens/>
        <w:autoSpaceDN w:val="0"/>
        <w:spacing w:after="0" w:line="240" w:lineRule="auto"/>
        <w:contextualSpacing/>
        <w:jc w:val="both"/>
        <w:textAlignment w:val="baseline"/>
        <w:rPr>
          <w:rFonts w:eastAsia="SimSun" w:cs="Mangal"/>
          <w:kern w:val="3"/>
          <w:lang w:eastAsia="zh-CN" w:bidi="hi-IN"/>
        </w:rPr>
      </w:pPr>
      <w:r w:rsidRPr="00EE0C8C">
        <w:rPr>
          <w:rFonts w:eastAsia="SimSun" w:cs="Times New Roman"/>
          <w:color w:val="000000"/>
          <w:kern w:val="3"/>
          <w:lang w:eastAsia="zh-CN" w:bidi="hi-IN"/>
        </w:rPr>
        <w:t>Ustawa z dnia 8 marca 1990 r. o samorządzie gminnym</w:t>
      </w:r>
    </w:p>
    <w:p w:rsidR="00EE0C8C" w:rsidRPr="00EE0C8C" w:rsidRDefault="00EE0C8C" w:rsidP="00234BBD">
      <w:pPr>
        <w:widowControl w:val="0"/>
        <w:numPr>
          <w:ilvl w:val="0"/>
          <w:numId w:val="51"/>
        </w:numPr>
        <w:tabs>
          <w:tab w:val="left" w:pos="142"/>
        </w:tabs>
        <w:suppressAutoHyphens/>
        <w:autoSpaceDN w:val="0"/>
        <w:spacing w:after="0" w:line="240" w:lineRule="auto"/>
        <w:contextualSpacing/>
        <w:jc w:val="both"/>
        <w:textAlignment w:val="baseline"/>
        <w:rPr>
          <w:rFonts w:eastAsia="SimSun" w:cs="Mangal"/>
          <w:kern w:val="3"/>
          <w:lang w:eastAsia="zh-CN" w:bidi="hi-IN"/>
        </w:rPr>
      </w:pPr>
      <w:r w:rsidRPr="00EE0C8C">
        <w:rPr>
          <w:rFonts w:eastAsia="SimSun" w:cs="Times New Roman"/>
          <w:color w:val="000000"/>
          <w:kern w:val="3"/>
          <w:lang w:eastAsia="zh-CN" w:bidi="hi-IN"/>
        </w:rPr>
        <w:t>Ustawa z dnia 27 marca 2003 r. o planowaniu i zagospodarowaniu przestrzennym</w:t>
      </w:r>
    </w:p>
    <w:p w:rsidR="00EE0C8C" w:rsidRPr="00EE0C8C" w:rsidRDefault="00EE0C8C" w:rsidP="00234BBD">
      <w:pPr>
        <w:widowControl w:val="0"/>
        <w:numPr>
          <w:ilvl w:val="0"/>
          <w:numId w:val="51"/>
        </w:numPr>
        <w:tabs>
          <w:tab w:val="left" w:pos="142"/>
        </w:tabs>
        <w:suppressAutoHyphens/>
        <w:autoSpaceDN w:val="0"/>
        <w:spacing w:after="0" w:line="240" w:lineRule="auto"/>
        <w:contextualSpacing/>
        <w:jc w:val="both"/>
        <w:textAlignment w:val="baseline"/>
        <w:rPr>
          <w:rFonts w:eastAsia="SimSun" w:cs="Mangal"/>
          <w:kern w:val="3"/>
          <w:lang w:eastAsia="zh-CN" w:bidi="hi-IN"/>
        </w:rPr>
      </w:pPr>
      <w:r w:rsidRPr="00EE0C8C">
        <w:rPr>
          <w:rFonts w:eastAsia="SimSun" w:cs="Times New Roman"/>
          <w:color w:val="000000"/>
          <w:kern w:val="3"/>
          <w:lang w:eastAsia="zh-CN" w:bidi="hi-IN"/>
        </w:rPr>
        <w:t>Ustawa z dnia 21 sierpnia 1997 o gospodarce nieruchomościami</w:t>
      </w:r>
    </w:p>
    <w:p w:rsidR="00EE0C8C" w:rsidRPr="00EE0C8C" w:rsidRDefault="00EE0C8C" w:rsidP="00234BBD">
      <w:pPr>
        <w:widowControl w:val="0"/>
        <w:numPr>
          <w:ilvl w:val="0"/>
          <w:numId w:val="51"/>
        </w:numPr>
        <w:tabs>
          <w:tab w:val="left" w:pos="142"/>
        </w:tabs>
        <w:suppressAutoHyphens/>
        <w:autoSpaceDN w:val="0"/>
        <w:spacing w:after="0" w:line="240" w:lineRule="auto"/>
        <w:contextualSpacing/>
        <w:jc w:val="both"/>
        <w:textAlignment w:val="baseline"/>
        <w:rPr>
          <w:rFonts w:eastAsia="SimSun" w:cs="Mangal"/>
          <w:kern w:val="3"/>
          <w:lang w:eastAsia="zh-CN" w:bidi="hi-IN"/>
        </w:rPr>
      </w:pPr>
      <w:r w:rsidRPr="00EE0C8C">
        <w:rPr>
          <w:rFonts w:eastAsia="SimSun" w:cs="Times New Roman"/>
          <w:color w:val="000000"/>
          <w:kern w:val="3"/>
          <w:lang w:eastAsia="zh-CN" w:bidi="hi-IN"/>
        </w:rPr>
        <w:t>Ustawa z dnia 3 lutego 1995 r. o ochronie gruntów rolnych i leśnych</w:t>
      </w:r>
    </w:p>
    <w:p w:rsidR="00EE0C8C" w:rsidRPr="00EE0C8C" w:rsidRDefault="00EE0C8C" w:rsidP="00234BBD">
      <w:pPr>
        <w:widowControl w:val="0"/>
        <w:numPr>
          <w:ilvl w:val="0"/>
          <w:numId w:val="51"/>
        </w:numPr>
        <w:tabs>
          <w:tab w:val="left" w:pos="142"/>
        </w:tabs>
        <w:suppressAutoHyphens/>
        <w:autoSpaceDN w:val="0"/>
        <w:spacing w:after="0" w:line="240" w:lineRule="auto"/>
        <w:contextualSpacing/>
        <w:jc w:val="both"/>
        <w:textAlignment w:val="baseline"/>
        <w:rPr>
          <w:rFonts w:eastAsia="SimSun" w:cs="Mangal"/>
          <w:kern w:val="3"/>
          <w:lang w:eastAsia="zh-CN" w:bidi="hi-IN"/>
        </w:rPr>
      </w:pPr>
      <w:r w:rsidRPr="00EE0C8C">
        <w:rPr>
          <w:rFonts w:eastAsia="SimSun" w:cs="Times New Roman"/>
          <w:color w:val="000000"/>
          <w:kern w:val="3"/>
          <w:lang w:eastAsia="zh-CN" w:bidi="hi-IN"/>
        </w:rPr>
        <w:t>Ustawa z dnia 27 kwietnia 2001 r. Prawo ochrony środowiska</w:t>
      </w:r>
    </w:p>
    <w:p w:rsidR="00EE0C8C" w:rsidRPr="00EE0C8C" w:rsidRDefault="00EE0C8C" w:rsidP="00234BBD">
      <w:pPr>
        <w:widowControl w:val="0"/>
        <w:numPr>
          <w:ilvl w:val="0"/>
          <w:numId w:val="51"/>
        </w:numPr>
        <w:tabs>
          <w:tab w:val="left" w:pos="142"/>
        </w:tabs>
        <w:suppressAutoHyphens/>
        <w:autoSpaceDN w:val="0"/>
        <w:spacing w:after="0" w:line="240" w:lineRule="auto"/>
        <w:contextualSpacing/>
        <w:jc w:val="both"/>
        <w:textAlignment w:val="baseline"/>
        <w:rPr>
          <w:rFonts w:eastAsia="SimSun" w:cs="Mangal"/>
          <w:kern w:val="3"/>
          <w:lang w:eastAsia="zh-CN" w:bidi="hi-IN"/>
        </w:rPr>
      </w:pPr>
      <w:r w:rsidRPr="00EE0C8C">
        <w:rPr>
          <w:rFonts w:eastAsia="SimSun" w:cs="Times New Roman"/>
          <w:color w:val="000000"/>
          <w:kern w:val="3"/>
          <w:lang w:eastAsia="zh-CN" w:bidi="hi-IN"/>
        </w:rPr>
        <w:t>Ustawa z dnia 16 kwietnia 2004 r. o ochronie przyrody</w:t>
      </w:r>
    </w:p>
    <w:p w:rsidR="00EE0C8C" w:rsidRPr="00EE0C8C" w:rsidRDefault="00EE0C8C" w:rsidP="00234BBD">
      <w:pPr>
        <w:widowControl w:val="0"/>
        <w:numPr>
          <w:ilvl w:val="0"/>
          <w:numId w:val="51"/>
        </w:numPr>
        <w:tabs>
          <w:tab w:val="left" w:pos="142"/>
        </w:tabs>
        <w:suppressAutoHyphens/>
        <w:autoSpaceDN w:val="0"/>
        <w:spacing w:after="0" w:line="240" w:lineRule="auto"/>
        <w:contextualSpacing/>
        <w:jc w:val="both"/>
        <w:textAlignment w:val="baseline"/>
        <w:rPr>
          <w:rFonts w:eastAsia="SimSun" w:cs="Mangal"/>
          <w:kern w:val="3"/>
          <w:lang w:eastAsia="zh-CN" w:bidi="hi-IN"/>
        </w:rPr>
      </w:pPr>
      <w:r w:rsidRPr="00EE0C8C">
        <w:rPr>
          <w:rFonts w:eastAsia="SimSun" w:cs="Times New Roman"/>
          <w:color w:val="000000"/>
          <w:kern w:val="3"/>
          <w:lang w:eastAsia="zh-CN" w:bidi="hi-IN"/>
        </w:rPr>
        <w:t>Ustawa z dnia 7 lipca 1994 r. Prawo budowlane</w:t>
      </w:r>
    </w:p>
    <w:p w:rsidR="00EE0C8C" w:rsidRPr="00EE0C8C" w:rsidRDefault="00EE0C8C" w:rsidP="00234BBD">
      <w:pPr>
        <w:widowControl w:val="0"/>
        <w:numPr>
          <w:ilvl w:val="0"/>
          <w:numId w:val="51"/>
        </w:numPr>
        <w:tabs>
          <w:tab w:val="left" w:pos="142"/>
        </w:tabs>
        <w:suppressAutoHyphens/>
        <w:autoSpaceDN w:val="0"/>
        <w:spacing w:after="0" w:line="240" w:lineRule="auto"/>
        <w:contextualSpacing/>
        <w:jc w:val="both"/>
        <w:textAlignment w:val="baseline"/>
        <w:rPr>
          <w:rFonts w:eastAsia="SimSun" w:cs="Mangal"/>
          <w:kern w:val="3"/>
          <w:lang w:eastAsia="zh-CN" w:bidi="hi-IN"/>
        </w:rPr>
      </w:pPr>
      <w:r w:rsidRPr="00EE0C8C">
        <w:rPr>
          <w:rFonts w:eastAsia="SimSun" w:cs="Times New Roman"/>
          <w:color w:val="000000"/>
          <w:kern w:val="3"/>
          <w:lang w:eastAsia="zh-CN" w:bidi="hi-IN"/>
        </w:rPr>
        <w:t>Ustawa z dnia 29 stycznia 2004 r. Prawo zamówień publicznych</w:t>
      </w:r>
    </w:p>
    <w:p w:rsidR="00EE0C8C" w:rsidRPr="00EE0C8C" w:rsidRDefault="00B05FB3" w:rsidP="00234BBD">
      <w:pPr>
        <w:widowControl w:val="0"/>
        <w:numPr>
          <w:ilvl w:val="0"/>
          <w:numId w:val="51"/>
        </w:numPr>
        <w:tabs>
          <w:tab w:val="left" w:pos="142"/>
        </w:tabs>
        <w:suppressAutoHyphens/>
        <w:autoSpaceDN w:val="0"/>
        <w:spacing w:after="0" w:line="240" w:lineRule="auto"/>
        <w:contextualSpacing/>
        <w:jc w:val="both"/>
        <w:textAlignment w:val="baseline"/>
        <w:rPr>
          <w:rFonts w:eastAsia="SimSun" w:cs="Mangal"/>
          <w:kern w:val="3"/>
          <w:lang w:eastAsia="zh-CN" w:bidi="hi-IN"/>
        </w:rPr>
      </w:pPr>
      <w:hyperlink r:id="rId60" w:history="1">
        <w:r w:rsidR="00EE0C8C" w:rsidRPr="00EE0C8C">
          <w:rPr>
            <w:rFonts w:eastAsia="SimSun" w:cs="Times New Roman"/>
            <w:color w:val="00000A"/>
            <w:kern w:val="3"/>
            <w:lang w:eastAsia="zh-CN" w:bidi="hi-IN"/>
          </w:rPr>
          <w:t>https://www.academia.edu</w:t>
        </w:r>
      </w:hyperlink>
    </w:p>
    <w:p w:rsidR="00EE0C8C" w:rsidRPr="00EE0C8C" w:rsidRDefault="00EE0C8C" w:rsidP="00234BBD">
      <w:pPr>
        <w:widowControl w:val="0"/>
        <w:numPr>
          <w:ilvl w:val="0"/>
          <w:numId w:val="51"/>
        </w:numPr>
        <w:suppressAutoHyphens/>
        <w:autoSpaceDN w:val="0"/>
        <w:spacing w:after="0" w:line="240" w:lineRule="auto"/>
        <w:contextualSpacing/>
        <w:textAlignment w:val="baseline"/>
        <w:rPr>
          <w:rFonts w:eastAsia="SimSun" w:cs="Mangal"/>
          <w:kern w:val="3"/>
          <w:lang w:eastAsia="zh-CN" w:bidi="hi-IN"/>
        </w:rPr>
      </w:pPr>
      <w:r w:rsidRPr="00EE0C8C">
        <w:rPr>
          <w:rFonts w:eastAsia="SimSun" w:cs="Times New Roman"/>
          <w:kern w:val="3"/>
          <w:lang w:eastAsia="zh-CN" w:bidi="hi-IN"/>
        </w:rPr>
        <w:t>Amerykańska Izba Handlowa w Polsce, 2002,</w:t>
      </w:r>
      <w:r w:rsidRPr="00EE0C8C">
        <w:rPr>
          <w:rFonts w:eastAsia="SimSun" w:cs="Times New Roman"/>
          <w:iCs/>
          <w:kern w:val="3"/>
          <w:lang w:eastAsia="zh-CN" w:bidi="hi-IN"/>
        </w:rPr>
        <w:t> Partnerstwo Publiczno-Prywatne jako metoda rozwoju infrastruktury w Polsce</w:t>
      </w:r>
      <w:r w:rsidRPr="00EE0C8C">
        <w:rPr>
          <w:rFonts w:eastAsia="SimSun" w:cs="Times New Roman"/>
          <w:kern w:val="3"/>
          <w:lang w:eastAsia="zh-CN" w:bidi="hi-IN"/>
        </w:rPr>
        <w:t>, Warszawa, http://amcham.pl/File/pdf/raport_PPP_polski.pdf, [dostęp: 20.03.2012]</w:t>
      </w:r>
    </w:p>
    <w:p w:rsidR="00EE0C8C" w:rsidRPr="00EE0C8C" w:rsidRDefault="00EE0C8C" w:rsidP="00234BBD">
      <w:pPr>
        <w:widowControl w:val="0"/>
        <w:numPr>
          <w:ilvl w:val="0"/>
          <w:numId w:val="51"/>
        </w:numPr>
        <w:suppressAutoHyphens/>
        <w:autoSpaceDN w:val="0"/>
        <w:spacing w:after="0" w:line="240" w:lineRule="auto"/>
        <w:contextualSpacing/>
        <w:textAlignment w:val="baseline"/>
        <w:rPr>
          <w:rFonts w:eastAsia="SimSun" w:cs="Mangal"/>
          <w:kern w:val="3"/>
          <w:lang w:eastAsia="zh-CN" w:bidi="hi-IN"/>
        </w:rPr>
      </w:pPr>
      <w:r w:rsidRPr="00EE0C8C">
        <w:rPr>
          <w:rFonts w:eastAsia="SimSun" w:cs="Times New Roman"/>
          <w:kern w:val="3"/>
          <w:lang w:eastAsia="zh-CN" w:bidi="hi-IN"/>
        </w:rPr>
        <w:t>Barszcz M. (red.), 2009,</w:t>
      </w:r>
      <w:r w:rsidRPr="00EE0C8C">
        <w:rPr>
          <w:rFonts w:eastAsia="SimSun" w:cs="Times New Roman"/>
          <w:i/>
          <w:iCs/>
          <w:kern w:val="3"/>
          <w:lang w:eastAsia="zh-CN" w:bidi="hi-IN"/>
        </w:rPr>
        <w:t> </w:t>
      </w:r>
      <w:r w:rsidRPr="00EE0C8C">
        <w:rPr>
          <w:rFonts w:eastAsia="SimSun" w:cs="Times New Roman"/>
          <w:iCs/>
          <w:kern w:val="3"/>
          <w:lang w:eastAsia="zh-CN" w:bidi="hi-IN"/>
        </w:rPr>
        <w:t>Partnerstwo Publiczno-Prywatne w praktyce. Przemyśl, przygotuj, przeprowadź</w:t>
      </w:r>
      <w:r w:rsidRPr="00EE0C8C">
        <w:rPr>
          <w:rFonts w:eastAsia="SimSun" w:cs="Times New Roman"/>
          <w:kern w:val="3"/>
          <w:lang w:eastAsia="zh-CN" w:bidi="hi-IN"/>
        </w:rPr>
        <w:t>, Wydawnictwo C.H. Beck, Warszawa</w:t>
      </w:r>
    </w:p>
    <w:p w:rsidR="00EE0C8C" w:rsidRPr="00EE0C8C" w:rsidRDefault="00EE0C8C" w:rsidP="00234BBD">
      <w:pPr>
        <w:widowControl w:val="0"/>
        <w:numPr>
          <w:ilvl w:val="0"/>
          <w:numId w:val="51"/>
        </w:numPr>
        <w:suppressAutoHyphens/>
        <w:autoSpaceDN w:val="0"/>
        <w:spacing w:after="0" w:line="240" w:lineRule="auto"/>
        <w:contextualSpacing/>
        <w:textAlignment w:val="baseline"/>
        <w:rPr>
          <w:rFonts w:eastAsia="SimSun" w:cs="Mangal"/>
          <w:kern w:val="3"/>
          <w:lang w:eastAsia="zh-CN" w:bidi="hi-IN"/>
        </w:rPr>
      </w:pPr>
      <w:r w:rsidRPr="00EE0C8C">
        <w:rPr>
          <w:rFonts w:eastAsia="SimSun" w:cs="Times New Roman"/>
          <w:kern w:val="3"/>
          <w:lang w:val="en-US" w:eastAsia="zh-CN" w:bidi="hi-IN"/>
        </w:rPr>
        <w:t xml:space="preserve">Buczek G., 2001, </w:t>
      </w:r>
      <w:r w:rsidRPr="00EE0C8C">
        <w:rPr>
          <w:rFonts w:eastAsia="SimSun" w:cs="Times New Roman"/>
          <w:iCs/>
          <w:kern w:val="3"/>
          <w:lang w:val="en-US" w:eastAsia="zh-CN" w:bidi="hi-IN"/>
        </w:rPr>
        <w:t>Urban strategy and governance: The strategic and physical planning of Warsaw</w:t>
      </w:r>
      <w:r w:rsidRPr="00EE0C8C">
        <w:rPr>
          <w:rFonts w:eastAsia="SimSun" w:cs="Times New Roman"/>
          <w:kern w:val="3"/>
          <w:lang w:val="en-US" w:eastAsia="zh-CN" w:bidi="hi-IN"/>
        </w:rPr>
        <w:t>, Budapest.</w:t>
      </w:r>
      <w:r w:rsidRPr="00EE0C8C">
        <w:rPr>
          <w:rFonts w:eastAsia="SimSun" w:cs="Times New Roman"/>
          <w:iCs/>
          <w:kern w:val="3"/>
          <w:lang w:val="en-US" w:eastAsia="zh-CN" w:bidi="hi-IN"/>
        </w:rPr>
        <w:t> </w:t>
      </w:r>
      <w:r w:rsidRPr="00EE0C8C">
        <w:rPr>
          <w:rFonts w:eastAsia="SimSun" w:cs="Times New Roman"/>
          <w:iCs/>
          <w:kern w:val="3"/>
          <w:lang w:eastAsia="zh-CN" w:bidi="hi-IN"/>
        </w:rPr>
        <w:t xml:space="preserve">Decyzja Eurostatu z dnia 11.04.2004 r. nr 18/2004 dotycząca deficytu </w:t>
      </w:r>
      <w:r w:rsidRPr="00EE0C8C">
        <w:rPr>
          <w:rFonts w:eastAsia="SimSun" w:cs="Times New Roman"/>
          <w:iCs/>
          <w:kern w:val="3"/>
          <w:lang w:eastAsia="zh-CN" w:bidi="hi-IN"/>
        </w:rPr>
        <w:br/>
        <w:t>i długu. Traktowanie Partnerstwa Publiczno-Prywatnego</w:t>
      </w:r>
      <w:r w:rsidRPr="00EE0C8C">
        <w:rPr>
          <w:rFonts w:eastAsia="SimSun" w:cs="Times New Roman"/>
          <w:kern w:val="3"/>
          <w:lang w:eastAsia="zh-CN" w:bidi="hi-IN"/>
        </w:rPr>
        <w:t> </w:t>
      </w:r>
    </w:p>
    <w:p w:rsidR="00EE0C8C" w:rsidRPr="00EE0C8C" w:rsidRDefault="00EE0C8C" w:rsidP="00234BBD">
      <w:pPr>
        <w:widowControl w:val="0"/>
        <w:numPr>
          <w:ilvl w:val="0"/>
          <w:numId w:val="51"/>
        </w:numPr>
        <w:suppressAutoHyphens/>
        <w:autoSpaceDN w:val="0"/>
        <w:spacing w:after="0" w:line="240" w:lineRule="auto"/>
        <w:contextualSpacing/>
        <w:textAlignment w:val="baseline"/>
        <w:rPr>
          <w:rFonts w:eastAsia="SimSun" w:cs="Mangal"/>
          <w:kern w:val="3"/>
          <w:lang w:eastAsia="zh-CN" w:bidi="hi-IN"/>
        </w:rPr>
      </w:pPr>
      <w:r w:rsidRPr="00EE0C8C">
        <w:rPr>
          <w:rFonts w:eastAsia="SimSun" w:cs="Times New Roman"/>
          <w:kern w:val="3"/>
          <w:lang w:eastAsia="zh-CN" w:bidi="hi-IN"/>
        </w:rPr>
        <w:t>Drzazga D., 2006,</w:t>
      </w:r>
      <w:r w:rsidRPr="00EE0C8C">
        <w:rPr>
          <w:rFonts w:eastAsia="SimSun" w:cs="Times New Roman"/>
          <w:i/>
          <w:iCs/>
          <w:kern w:val="3"/>
          <w:lang w:eastAsia="zh-CN" w:bidi="hi-IN"/>
        </w:rPr>
        <w:t> </w:t>
      </w:r>
      <w:r w:rsidRPr="00EE0C8C">
        <w:rPr>
          <w:rFonts w:eastAsia="SimSun" w:cs="Times New Roman"/>
          <w:iCs/>
          <w:kern w:val="3"/>
          <w:lang w:eastAsia="zh-CN" w:bidi="hi-IN"/>
        </w:rPr>
        <w:t>Problemy rewitalizacji Księżego Młyna w świetle dotychczasowych doświadczeń rewitalizacyjnych zabytkowych terenów poprzemysłowych w Łodzi (wnioski pokonferencyjne),</w:t>
      </w:r>
      <w:r w:rsidRPr="00EE0C8C">
        <w:rPr>
          <w:rFonts w:eastAsia="SimSun" w:cs="Times New Roman"/>
          <w:kern w:val="3"/>
          <w:lang w:eastAsia="zh-CN" w:bidi="hi-IN"/>
        </w:rPr>
        <w:t xml:space="preserve"> w: Markowski T. (red), </w:t>
      </w:r>
      <w:r w:rsidRPr="00EE0C8C">
        <w:rPr>
          <w:rFonts w:eastAsia="SimSun" w:cs="Times New Roman"/>
          <w:iCs/>
          <w:kern w:val="3"/>
          <w:lang w:eastAsia="zh-CN" w:bidi="hi-IN"/>
        </w:rPr>
        <w:t>Rewitalizacja kompleksu Księżego Młyna</w:t>
      </w:r>
      <w:r w:rsidRPr="00EE0C8C">
        <w:rPr>
          <w:rFonts w:eastAsia="SimSun" w:cs="Times New Roman"/>
          <w:kern w:val="3"/>
          <w:lang w:eastAsia="zh-CN" w:bidi="hi-IN"/>
        </w:rPr>
        <w:t>, Polska Akademia Nauk, Warszawa, s. 12-33</w:t>
      </w:r>
    </w:p>
    <w:p w:rsidR="00EE0C8C" w:rsidRPr="00EE0C8C" w:rsidRDefault="00EE0C8C" w:rsidP="00234BBD">
      <w:pPr>
        <w:widowControl w:val="0"/>
        <w:numPr>
          <w:ilvl w:val="0"/>
          <w:numId w:val="51"/>
        </w:numPr>
        <w:suppressAutoHyphens/>
        <w:autoSpaceDN w:val="0"/>
        <w:spacing w:after="0" w:line="240" w:lineRule="auto"/>
        <w:contextualSpacing/>
        <w:textAlignment w:val="baseline"/>
        <w:rPr>
          <w:rFonts w:eastAsia="SimSun" w:cs="Mangal"/>
          <w:kern w:val="3"/>
          <w:lang w:eastAsia="zh-CN" w:bidi="hi-IN"/>
        </w:rPr>
      </w:pPr>
      <w:r w:rsidRPr="00EE0C8C">
        <w:rPr>
          <w:rFonts w:eastAsia="SimSun" w:cs="Times New Roman"/>
          <w:kern w:val="3"/>
          <w:lang w:eastAsia="zh-CN" w:bidi="hi-IN"/>
        </w:rPr>
        <w:t>Eurofunds News, 2010,</w:t>
      </w:r>
      <w:r w:rsidRPr="00EE0C8C">
        <w:rPr>
          <w:rFonts w:eastAsia="SimSun" w:cs="Times New Roman"/>
          <w:i/>
          <w:iCs/>
          <w:kern w:val="3"/>
          <w:lang w:eastAsia="zh-CN" w:bidi="hi-IN"/>
        </w:rPr>
        <w:t> </w:t>
      </w:r>
      <w:r w:rsidRPr="00EE0C8C">
        <w:rPr>
          <w:rFonts w:eastAsia="SimSun" w:cs="Times New Roman"/>
          <w:iCs/>
          <w:kern w:val="3"/>
          <w:lang w:eastAsia="zh-CN" w:bidi="hi-IN"/>
        </w:rPr>
        <w:t>Europejskie zasadzki na PPP</w:t>
      </w:r>
      <w:r w:rsidRPr="00EE0C8C">
        <w:rPr>
          <w:rFonts w:eastAsia="SimSun" w:cs="Times New Roman"/>
          <w:kern w:val="3"/>
          <w:lang w:eastAsia="zh-CN" w:bidi="hi-IN"/>
        </w:rPr>
        <w:t>, http://www.eurofundsnews.pl/content/view/8443/262/, [dostęp: 30.03.2012]</w:t>
      </w:r>
    </w:p>
    <w:p w:rsidR="00EE0C8C" w:rsidRPr="00EE0C8C" w:rsidRDefault="00EE0C8C" w:rsidP="00234BBD">
      <w:pPr>
        <w:widowControl w:val="0"/>
        <w:numPr>
          <w:ilvl w:val="0"/>
          <w:numId w:val="51"/>
        </w:numPr>
        <w:suppressAutoHyphens/>
        <w:autoSpaceDN w:val="0"/>
        <w:spacing w:after="0" w:line="240" w:lineRule="auto"/>
        <w:contextualSpacing/>
        <w:textAlignment w:val="baseline"/>
        <w:rPr>
          <w:rFonts w:eastAsia="SimSun" w:cs="Mangal"/>
          <w:kern w:val="3"/>
          <w:lang w:val="en-US" w:eastAsia="zh-CN" w:bidi="hi-IN"/>
        </w:rPr>
      </w:pPr>
      <w:r w:rsidRPr="00EE0C8C">
        <w:rPr>
          <w:rFonts w:eastAsia="SimSun" w:cs="Times New Roman"/>
          <w:kern w:val="3"/>
          <w:lang w:val="en-US" w:eastAsia="zh-CN" w:bidi="hi-IN"/>
        </w:rPr>
        <w:t xml:space="preserve">European Social Survey, 2003, </w:t>
      </w:r>
      <w:r w:rsidRPr="00EE0C8C">
        <w:rPr>
          <w:rFonts w:eastAsia="SimSun" w:cs="Times New Roman"/>
          <w:iCs/>
          <w:kern w:val="3"/>
          <w:lang w:val="en-US" w:eastAsia="zh-CN" w:bidi="hi-IN"/>
        </w:rPr>
        <w:t>ESS Round 1- 2002</w:t>
      </w:r>
      <w:r w:rsidRPr="00EE0C8C">
        <w:rPr>
          <w:rFonts w:eastAsia="SimSun" w:cs="Times New Roman"/>
          <w:kern w:val="3"/>
          <w:lang w:val="en-US" w:eastAsia="zh-CN" w:bidi="hi-IN"/>
        </w:rPr>
        <w:t>, http://ess.nsd.uib.no/ess/round1/,[dostęp: 20.03.2012]</w:t>
      </w:r>
    </w:p>
    <w:p w:rsidR="00EE0C8C" w:rsidRPr="00EE0C8C" w:rsidRDefault="00EE0C8C" w:rsidP="00234BBD">
      <w:pPr>
        <w:widowControl w:val="0"/>
        <w:numPr>
          <w:ilvl w:val="0"/>
          <w:numId w:val="51"/>
        </w:numPr>
        <w:suppressAutoHyphens/>
        <w:autoSpaceDN w:val="0"/>
        <w:spacing w:after="0" w:line="240" w:lineRule="auto"/>
        <w:contextualSpacing/>
        <w:textAlignment w:val="baseline"/>
        <w:rPr>
          <w:rFonts w:eastAsia="SimSun" w:cs="Mangal"/>
          <w:kern w:val="3"/>
          <w:lang w:eastAsia="zh-CN" w:bidi="hi-IN"/>
        </w:rPr>
      </w:pPr>
      <w:r w:rsidRPr="00EE0C8C">
        <w:rPr>
          <w:rFonts w:eastAsia="SimSun" w:cs="Times New Roman"/>
          <w:kern w:val="3"/>
          <w:lang w:eastAsia="zh-CN" w:bidi="hi-IN"/>
        </w:rPr>
        <w:t xml:space="preserve">Goszczyńska M., 1997, </w:t>
      </w:r>
      <w:r w:rsidRPr="00EE0C8C">
        <w:rPr>
          <w:rFonts w:eastAsia="SimSun" w:cs="Times New Roman"/>
          <w:iCs/>
          <w:kern w:val="3"/>
          <w:lang w:eastAsia="zh-CN" w:bidi="hi-IN"/>
        </w:rPr>
        <w:t>Człowiek wobec zagrożeń. Uwarunkowania oceny i akceptacji ryzyka</w:t>
      </w:r>
      <w:r w:rsidRPr="00EE0C8C">
        <w:rPr>
          <w:rFonts w:eastAsia="SimSun" w:cs="Times New Roman"/>
          <w:kern w:val="3"/>
          <w:lang w:eastAsia="zh-CN" w:bidi="hi-IN"/>
        </w:rPr>
        <w:t>, Wydawnictwo Żak, Warszawa</w:t>
      </w:r>
    </w:p>
    <w:p w:rsidR="00EE0C8C" w:rsidRPr="00EE0C8C" w:rsidRDefault="00EE0C8C" w:rsidP="00234BBD">
      <w:pPr>
        <w:widowControl w:val="0"/>
        <w:numPr>
          <w:ilvl w:val="0"/>
          <w:numId w:val="51"/>
        </w:numPr>
        <w:suppressAutoHyphens/>
        <w:autoSpaceDN w:val="0"/>
        <w:spacing w:after="0" w:line="240" w:lineRule="auto"/>
        <w:contextualSpacing/>
        <w:textAlignment w:val="baseline"/>
        <w:rPr>
          <w:rFonts w:eastAsia="SimSun" w:cs="Mangal"/>
          <w:kern w:val="3"/>
          <w:lang w:eastAsia="zh-CN" w:bidi="hi-IN"/>
        </w:rPr>
      </w:pPr>
      <w:r w:rsidRPr="00EE0C8C">
        <w:rPr>
          <w:rFonts w:eastAsia="SimSun" w:cs="Times New Roman"/>
          <w:kern w:val="3"/>
          <w:lang w:eastAsia="zh-CN" w:bidi="hi-IN"/>
        </w:rPr>
        <w:t xml:space="preserve">Komisja Europejska, 2003, </w:t>
      </w:r>
      <w:r w:rsidRPr="00EE0C8C">
        <w:rPr>
          <w:rFonts w:eastAsia="SimSun" w:cs="Times New Roman"/>
          <w:iCs/>
          <w:kern w:val="3"/>
          <w:lang w:eastAsia="zh-CN" w:bidi="hi-IN"/>
        </w:rPr>
        <w:t>Wytyczne dotyczące udanego Partnerstwa Publiczno-Prywatnego</w:t>
      </w:r>
      <w:r w:rsidRPr="00EE0C8C">
        <w:rPr>
          <w:rFonts w:eastAsia="SimSun" w:cs="Times New Roman"/>
          <w:kern w:val="3"/>
          <w:lang w:eastAsia="zh-CN" w:bidi="hi-IN"/>
        </w:rPr>
        <w:t xml:space="preserve"> , Bruksela, http://www.ppp.gov.pl/Poradnik_inwestora/AktyPrawne/Documents/Wytyczne _Komisji_PPP_190111.pdf, [dostęp: 13.03.2012]</w:t>
      </w:r>
    </w:p>
    <w:p w:rsidR="00EE0C8C" w:rsidRPr="00EE0C8C" w:rsidRDefault="00EE0C8C" w:rsidP="00234BBD">
      <w:pPr>
        <w:widowControl w:val="0"/>
        <w:numPr>
          <w:ilvl w:val="0"/>
          <w:numId w:val="51"/>
        </w:numPr>
        <w:suppressAutoHyphens/>
        <w:autoSpaceDN w:val="0"/>
        <w:spacing w:after="0" w:line="240" w:lineRule="auto"/>
        <w:contextualSpacing/>
        <w:textAlignment w:val="baseline"/>
        <w:rPr>
          <w:rFonts w:eastAsia="SimSun" w:cs="Mangal"/>
          <w:kern w:val="3"/>
          <w:lang w:val="en-US" w:eastAsia="zh-CN" w:bidi="hi-IN"/>
        </w:rPr>
      </w:pPr>
      <w:r w:rsidRPr="00EE0C8C">
        <w:rPr>
          <w:rFonts w:eastAsia="SimSun" w:cs="Times New Roman"/>
          <w:kern w:val="3"/>
          <w:lang w:val="en-US" w:eastAsia="zh-CN" w:bidi="hi-IN"/>
        </w:rPr>
        <w:t xml:space="preserve">Komisja Europejska, 2006, </w:t>
      </w:r>
      <w:r w:rsidRPr="00EE0C8C">
        <w:rPr>
          <w:rFonts w:eastAsia="SimSun" w:cs="Times New Roman"/>
          <w:iCs/>
          <w:kern w:val="3"/>
          <w:lang w:val="en-US" w:eastAsia="zh-CN" w:bidi="hi-IN"/>
        </w:rPr>
        <w:t>Commission Staff Working Document. State Aid Control and Regeneration of Deprived Urban Areas, Vademecum</w:t>
      </w:r>
      <w:r w:rsidRPr="00EE0C8C">
        <w:rPr>
          <w:rFonts w:eastAsia="SimSun" w:cs="Times New Roman"/>
          <w:kern w:val="3"/>
          <w:lang w:val="en-US" w:eastAsia="zh-CN" w:bidi="hi-IN"/>
        </w:rPr>
        <w:t>, Bruksela,http://ec.europa.eu/competition/state_aid/studies_reports/vademecum.pdf,</w:t>
      </w:r>
    </w:p>
    <w:p w:rsidR="00EE0C8C" w:rsidRPr="00EE0C8C" w:rsidRDefault="00EE0C8C" w:rsidP="00234BBD">
      <w:pPr>
        <w:widowControl w:val="0"/>
        <w:numPr>
          <w:ilvl w:val="0"/>
          <w:numId w:val="51"/>
        </w:numPr>
        <w:suppressAutoHyphens/>
        <w:autoSpaceDN w:val="0"/>
        <w:spacing w:after="0" w:line="240" w:lineRule="auto"/>
        <w:contextualSpacing/>
        <w:textAlignment w:val="baseline"/>
        <w:rPr>
          <w:rFonts w:eastAsia="SimSun" w:cs="Mangal"/>
          <w:kern w:val="3"/>
          <w:lang w:eastAsia="zh-CN" w:bidi="hi-IN"/>
        </w:rPr>
      </w:pPr>
      <w:r w:rsidRPr="00EE0C8C">
        <w:rPr>
          <w:rFonts w:eastAsia="SimSun" w:cs="Times New Roman"/>
          <w:kern w:val="3"/>
          <w:lang w:eastAsia="zh-CN" w:bidi="hi-IN"/>
        </w:rPr>
        <w:lastRenderedPageBreak/>
        <w:t xml:space="preserve">Korbus B., Strawiński, M., 2009, </w:t>
      </w:r>
      <w:r w:rsidRPr="00EE0C8C">
        <w:rPr>
          <w:rFonts w:eastAsia="SimSun" w:cs="Times New Roman"/>
          <w:iCs/>
          <w:kern w:val="3"/>
          <w:lang w:eastAsia="zh-CN" w:bidi="hi-IN"/>
        </w:rPr>
        <w:t>Partnerstwo Publiczno-Prywatne. Nowa forma realizacji zadań publicznych,</w:t>
      </w:r>
      <w:r w:rsidRPr="00EE0C8C">
        <w:rPr>
          <w:rFonts w:eastAsia="SimSun" w:cs="Times New Roman"/>
          <w:kern w:val="3"/>
          <w:lang w:eastAsia="zh-CN" w:bidi="hi-IN"/>
        </w:rPr>
        <w:t> Wydawnictwo LexisNexis, Warszawa</w:t>
      </w:r>
    </w:p>
    <w:p w:rsidR="00EE0C8C" w:rsidRPr="00EE0C8C" w:rsidRDefault="00EE0C8C" w:rsidP="00234BBD">
      <w:pPr>
        <w:widowControl w:val="0"/>
        <w:numPr>
          <w:ilvl w:val="0"/>
          <w:numId w:val="51"/>
        </w:numPr>
        <w:suppressAutoHyphens/>
        <w:autoSpaceDN w:val="0"/>
        <w:spacing w:after="0" w:line="240" w:lineRule="auto"/>
        <w:contextualSpacing/>
        <w:textAlignment w:val="baseline"/>
        <w:rPr>
          <w:rFonts w:eastAsia="SimSun" w:cs="Mangal"/>
          <w:kern w:val="3"/>
          <w:lang w:eastAsia="zh-CN" w:bidi="hi-IN"/>
        </w:rPr>
      </w:pPr>
      <w:r w:rsidRPr="00EE0C8C">
        <w:rPr>
          <w:rFonts w:eastAsia="SimSun" w:cs="Times New Roman"/>
          <w:kern w:val="3"/>
          <w:lang w:eastAsia="zh-CN" w:bidi="hi-IN"/>
        </w:rPr>
        <w:t>Markowski T., 2006,</w:t>
      </w:r>
      <w:r w:rsidRPr="00EE0C8C">
        <w:rPr>
          <w:rFonts w:eastAsia="SimSun" w:cs="Times New Roman"/>
          <w:iCs/>
          <w:kern w:val="3"/>
          <w:lang w:eastAsia="zh-CN" w:bidi="hi-IN"/>
        </w:rPr>
        <w:t xml:space="preserve"> Zadania i interesy przedsiębiorstw oraz organizacji pozarządowych </w:t>
      </w:r>
      <w:r w:rsidRPr="00EE0C8C">
        <w:rPr>
          <w:rFonts w:eastAsia="SimSun" w:cs="Times New Roman"/>
          <w:iCs/>
          <w:kern w:val="3"/>
          <w:lang w:eastAsia="zh-CN" w:bidi="hi-IN"/>
        </w:rPr>
        <w:br/>
        <w:t>w rewitalizacji miasta</w:t>
      </w:r>
      <w:r w:rsidRPr="00EE0C8C">
        <w:rPr>
          <w:rFonts w:eastAsia="SimSun" w:cs="Times New Roman"/>
          <w:kern w:val="3"/>
          <w:lang w:eastAsia="zh-CN" w:bidi="hi-IN"/>
        </w:rPr>
        <w:t xml:space="preserve">, w: Markowski T., (red), </w:t>
      </w:r>
      <w:r w:rsidRPr="00EE0C8C">
        <w:rPr>
          <w:rFonts w:eastAsia="SimSun" w:cs="Times New Roman"/>
          <w:iCs/>
          <w:kern w:val="3"/>
          <w:lang w:eastAsia="zh-CN" w:bidi="hi-IN"/>
        </w:rPr>
        <w:t>Rewitalizacja kompleksu Księżego Młyna</w:t>
      </w:r>
      <w:r w:rsidRPr="00EE0C8C">
        <w:rPr>
          <w:rFonts w:eastAsia="SimSun" w:cs="Times New Roman"/>
          <w:kern w:val="3"/>
          <w:lang w:eastAsia="zh-CN" w:bidi="hi-IN"/>
        </w:rPr>
        <w:t>, Polska Akademia Nauk, Warszawa, s. 168-178</w:t>
      </w:r>
    </w:p>
    <w:p w:rsidR="00EE0C8C" w:rsidRPr="00EE0C8C" w:rsidRDefault="00EE0C8C" w:rsidP="00234BBD">
      <w:pPr>
        <w:widowControl w:val="0"/>
        <w:numPr>
          <w:ilvl w:val="0"/>
          <w:numId w:val="51"/>
        </w:numPr>
        <w:suppressAutoHyphens/>
        <w:autoSpaceDN w:val="0"/>
        <w:spacing w:after="0" w:line="240" w:lineRule="auto"/>
        <w:contextualSpacing/>
        <w:textAlignment w:val="baseline"/>
        <w:rPr>
          <w:rFonts w:eastAsia="SimSun" w:cs="Mangal"/>
          <w:kern w:val="3"/>
          <w:lang w:eastAsia="zh-CN" w:bidi="hi-IN"/>
        </w:rPr>
      </w:pPr>
      <w:r w:rsidRPr="00EE0C8C">
        <w:rPr>
          <w:rFonts w:eastAsia="SimSun" w:cs="Times New Roman"/>
          <w:kern w:val="3"/>
          <w:lang w:eastAsia="zh-CN" w:bidi="hi-IN"/>
        </w:rPr>
        <w:t xml:space="preserve">Regioportal Portal Samorządowy, 2010, </w:t>
      </w:r>
      <w:r w:rsidRPr="00EE0C8C">
        <w:rPr>
          <w:rFonts w:eastAsia="SimSun" w:cs="Times New Roman"/>
          <w:iCs/>
          <w:kern w:val="3"/>
          <w:lang w:eastAsia="zh-CN" w:bidi="hi-IN"/>
        </w:rPr>
        <w:t>Co samorządy mogą zrobić by sprawniej wdrażać projekty PPP?</w:t>
      </w:r>
      <w:r w:rsidRPr="00EE0C8C">
        <w:rPr>
          <w:rFonts w:eastAsia="SimSun" w:cs="Times New Roman"/>
          <w:kern w:val="3"/>
          <w:lang w:eastAsia="zh-CN" w:bidi="hi-IN"/>
        </w:rPr>
        <w:t>, http://www.regioportal.pl/pl28/teksty1835/co_samorzady_moga_zrobic_aby _ sprawniej_ wdrazac_pro, [dostęp: 15.04.2012]</w:t>
      </w:r>
    </w:p>
    <w:p w:rsidR="00EE0C8C" w:rsidRPr="00EE0C8C" w:rsidRDefault="00EE0C8C" w:rsidP="00234BBD">
      <w:pPr>
        <w:widowControl w:val="0"/>
        <w:numPr>
          <w:ilvl w:val="0"/>
          <w:numId w:val="51"/>
        </w:numPr>
        <w:suppressAutoHyphens/>
        <w:autoSpaceDN w:val="0"/>
        <w:spacing w:after="0" w:line="240" w:lineRule="auto"/>
        <w:contextualSpacing/>
        <w:textAlignment w:val="baseline"/>
        <w:rPr>
          <w:rFonts w:eastAsia="SimSun" w:cs="Mangal"/>
          <w:kern w:val="3"/>
          <w:lang w:eastAsia="zh-CN" w:bidi="hi-IN"/>
        </w:rPr>
      </w:pPr>
      <w:r w:rsidRPr="00EE0C8C">
        <w:rPr>
          <w:rFonts w:eastAsia="SimSun" w:cs="Times New Roman"/>
          <w:iCs/>
          <w:kern w:val="3"/>
          <w:lang w:eastAsia="zh-CN" w:bidi="hi-IN"/>
        </w:rPr>
        <w:t>Rozporządzenie Ministra Gospodarki z dnia 21 czerwca 2006 r. w sprawie ryzyk związanych z realizacja przedsięwzięć w ramach partnerstwa publiczno-prywatnego</w:t>
      </w:r>
      <w:r w:rsidRPr="00EE0C8C">
        <w:rPr>
          <w:rFonts w:eastAsia="SimSun" w:cs="Times New Roman"/>
          <w:kern w:val="3"/>
          <w:lang w:eastAsia="zh-CN" w:bidi="hi-IN"/>
        </w:rPr>
        <w:t>, Dz. U., 2006 r., </w:t>
      </w:r>
      <w:r w:rsidRPr="00EE0C8C">
        <w:rPr>
          <w:rFonts w:eastAsia="SimSun" w:cs="Times New Roman"/>
          <w:kern w:val="3"/>
          <w:lang w:eastAsia="zh-CN" w:bidi="hi-IN"/>
        </w:rPr>
        <w:br/>
        <w:t>nr 169, poz. 1420</w:t>
      </w:r>
    </w:p>
    <w:p w:rsidR="00EE0C8C" w:rsidRPr="00EE0C8C" w:rsidRDefault="00EE0C8C" w:rsidP="00234BBD">
      <w:pPr>
        <w:widowControl w:val="0"/>
        <w:numPr>
          <w:ilvl w:val="0"/>
          <w:numId w:val="51"/>
        </w:numPr>
        <w:suppressAutoHyphens/>
        <w:autoSpaceDN w:val="0"/>
        <w:spacing w:after="0" w:line="240" w:lineRule="auto"/>
        <w:contextualSpacing/>
        <w:textAlignment w:val="baseline"/>
        <w:rPr>
          <w:rFonts w:eastAsia="SimSun" w:cs="Mangal"/>
          <w:kern w:val="3"/>
          <w:lang w:eastAsia="zh-CN" w:bidi="hi-IN"/>
        </w:rPr>
      </w:pPr>
      <w:r w:rsidRPr="00EE0C8C">
        <w:rPr>
          <w:rFonts w:eastAsia="SimSun" w:cs="Times New Roman"/>
          <w:iCs/>
          <w:kern w:val="3"/>
          <w:lang w:eastAsia="zh-CN" w:bidi="hi-IN"/>
        </w:rPr>
        <w:t>Rozporządzenie Ministra Finansów z dnia 23 grudnia 2010 r. w sprawie szczegółowego sposobu klasyfikacji tytułów dłużnych zaliczanych do państwowego długu publicznego, w tym do długu Skarbu Państwa</w:t>
      </w:r>
      <w:r w:rsidRPr="00EE0C8C">
        <w:rPr>
          <w:rFonts w:eastAsia="SimSun" w:cs="Times New Roman"/>
          <w:kern w:val="3"/>
          <w:lang w:eastAsia="zh-CN" w:bidi="hi-IN"/>
        </w:rPr>
        <w:t>, Dz. U., 2010 r., nr 252, poz. 1692</w:t>
      </w:r>
    </w:p>
    <w:p w:rsidR="00EE0C8C" w:rsidRPr="00EE0C8C" w:rsidRDefault="00EE0C8C" w:rsidP="00234BBD">
      <w:pPr>
        <w:widowControl w:val="0"/>
        <w:numPr>
          <w:ilvl w:val="0"/>
          <w:numId w:val="51"/>
        </w:numPr>
        <w:suppressAutoHyphens/>
        <w:autoSpaceDN w:val="0"/>
        <w:spacing w:after="0" w:line="240" w:lineRule="auto"/>
        <w:contextualSpacing/>
        <w:textAlignment w:val="baseline"/>
        <w:rPr>
          <w:rFonts w:eastAsia="SimSun" w:cs="Mangal"/>
          <w:kern w:val="3"/>
          <w:lang w:eastAsia="zh-CN" w:bidi="hi-IN"/>
        </w:rPr>
      </w:pPr>
      <w:r w:rsidRPr="00EE0C8C">
        <w:rPr>
          <w:rFonts w:eastAsia="SimSun" w:cs="Times New Roman"/>
          <w:kern w:val="3"/>
          <w:lang w:eastAsia="zh-CN" w:bidi="hi-IN"/>
        </w:rPr>
        <w:t>Sołtysiak M.,</w:t>
      </w:r>
      <w:r w:rsidRPr="00EE0C8C">
        <w:rPr>
          <w:rFonts w:eastAsia="SimSun" w:cs="Times New Roman"/>
          <w:i/>
          <w:iCs/>
          <w:kern w:val="3"/>
          <w:lang w:eastAsia="zh-CN" w:bidi="hi-IN"/>
        </w:rPr>
        <w:t> Pomysły na odnowę miast</w:t>
      </w:r>
      <w:r w:rsidRPr="00EE0C8C">
        <w:rPr>
          <w:rFonts w:eastAsia="SimSun" w:cs="Times New Roman"/>
          <w:kern w:val="3"/>
          <w:lang w:eastAsia="zh-CN" w:bidi="hi-IN"/>
        </w:rPr>
        <w:t>, Gazeta Samorządu i Administracji, 20 kwietnia 2010, http://samorzad.infor.pl/temat_dnia/artykuly/414684,pomysly_na_odnowe_miast.html,</w:t>
      </w:r>
      <w:r w:rsidRPr="00EE0C8C">
        <w:rPr>
          <w:rFonts w:eastAsia="SimSun" w:cs="Times New Roman"/>
          <w:kern w:val="3"/>
          <w:lang w:eastAsia="zh-CN" w:bidi="hi-IN"/>
        </w:rPr>
        <w:br/>
        <w:t>[dostęp: 05.03.2012]</w:t>
      </w:r>
    </w:p>
    <w:p w:rsidR="00EE0C8C" w:rsidRPr="00EE0C8C" w:rsidRDefault="00EE0C8C" w:rsidP="00234BBD">
      <w:pPr>
        <w:widowControl w:val="0"/>
        <w:numPr>
          <w:ilvl w:val="0"/>
          <w:numId w:val="51"/>
        </w:numPr>
        <w:suppressAutoHyphens/>
        <w:autoSpaceDN w:val="0"/>
        <w:spacing w:after="0" w:line="240" w:lineRule="auto"/>
        <w:contextualSpacing/>
        <w:textAlignment w:val="baseline"/>
        <w:rPr>
          <w:rFonts w:eastAsia="SimSun" w:cs="Mangal"/>
          <w:kern w:val="3"/>
          <w:lang w:eastAsia="zh-CN" w:bidi="hi-IN"/>
        </w:rPr>
      </w:pPr>
      <w:r w:rsidRPr="00EE0C8C">
        <w:rPr>
          <w:rFonts w:eastAsia="SimSun" w:cs="Times New Roman"/>
          <w:kern w:val="3"/>
          <w:lang w:eastAsia="zh-CN" w:bidi="hi-IN"/>
        </w:rPr>
        <w:t xml:space="preserve">Sumień T., Furman-Michałowska J., Ufnalewska K., Wąs W., 1989, </w:t>
      </w:r>
      <w:r w:rsidRPr="00EE0C8C">
        <w:rPr>
          <w:rFonts w:eastAsia="SimSun" w:cs="Times New Roman"/>
          <w:iCs/>
          <w:kern w:val="3"/>
          <w:lang w:eastAsia="zh-CN" w:bidi="hi-IN"/>
        </w:rPr>
        <w:t>Odnowa miast europejskich</w:t>
      </w:r>
      <w:r w:rsidRPr="00EE0C8C">
        <w:rPr>
          <w:rFonts w:eastAsia="SimSun" w:cs="Times New Roman"/>
          <w:kern w:val="3"/>
          <w:lang w:eastAsia="zh-CN" w:bidi="hi-IN"/>
        </w:rPr>
        <w:t>, Instytut Gospodarki Przestrzennej i Komunalnej, Warszawa</w:t>
      </w:r>
    </w:p>
    <w:p w:rsidR="00EE0C8C" w:rsidRPr="00EE0C8C" w:rsidRDefault="00EE0C8C" w:rsidP="00234BBD">
      <w:pPr>
        <w:widowControl w:val="0"/>
        <w:numPr>
          <w:ilvl w:val="0"/>
          <w:numId w:val="51"/>
        </w:numPr>
        <w:suppressAutoHyphens/>
        <w:autoSpaceDN w:val="0"/>
        <w:spacing w:after="0" w:line="240" w:lineRule="auto"/>
        <w:contextualSpacing/>
        <w:textAlignment w:val="baseline"/>
        <w:rPr>
          <w:rFonts w:eastAsia="SimSun" w:cs="Mangal"/>
          <w:kern w:val="3"/>
          <w:lang w:eastAsia="zh-CN" w:bidi="hi-IN"/>
        </w:rPr>
      </w:pPr>
      <w:r w:rsidRPr="00EE0C8C">
        <w:rPr>
          <w:rFonts w:eastAsia="SimSun" w:cs="Times New Roman"/>
          <w:kern w:val="3"/>
          <w:lang w:eastAsia="zh-CN" w:bidi="hi-IN"/>
        </w:rPr>
        <w:t>Tasan-Kok T., Załęczna M., 2010,</w:t>
      </w:r>
      <w:r w:rsidRPr="00EE0C8C">
        <w:rPr>
          <w:rFonts w:eastAsia="SimSun" w:cs="Times New Roman"/>
          <w:iCs/>
          <w:kern w:val="3"/>
          <w:lang w:eastAsia="zh-CN" w:bidi="hi-IN"/>
        </w:rPr>
        <w:t> Partnerstwo Publiczno-Prywatne w rozwoju przestrzeni miejskiej. Polska praktyka na tle regulacji unijnych</w:t>
      </w:r>
      <w:r w:rsidRPr="00EE0C8C">
        <w:rPr>
          <w:rFonts w:eastAsia="SimSun" w:cs="Times New Roman"/>
          <w:kern w:val="3"/>
          <w:lang w:eastAsia="zh-CN" w:bidi="hi-IN"/>
        </w:rPr>
        <w:t>, Ernst &amp; Young Sp. z.o.o. Warszawa </w:t>
      </w:r>
    </w:p>
    <w:p w:rsidR="00EE0C8C" w:rsidRPr="00EE0C8C" w:rsidRDefault="00EE0C8C" w:rsidP="00234BBD">
      <w:pPr>
        <w:widowControl w:val="0"/>
        <w:numPr>
          <w:ilvl w:val="0"/>
          <w:numId w:val="51"/>
        </w:numPr>
        <w:suppressAutoHyphens/>
        <w:autoSpaceDN w:val="0"/>
        <w:spacing w:after="0" w:line="240" w:lineRule="auto"/>
        <w:contextualSpacing/>
        <w:jc w:val="both"/>
        <w:textAlignment w:val="baseline"/>
        <w:rPr>
          <w:rFonts w:eastAsia="SimSun" w:cs="Mangal"/>
          <w:kern w:val="3"/>
          <w:lang w:eastAsia="zh-CN" w:bidi="hi-IN"/>
        </w:rPr>
      </w:pPr>
      <w:r w:rsidRPr="00EE0C8C">
        <w:rPr>
          <w:rFonts w:eastAsia="SimSun" w:cs="Times New Roman"/>
          <w:iCs/>
          <w:kern w:val="3"/>
          <w:lang w:eastAsia="zh-CN" w:bidi="hi-IN"/>
        </w:rPr>
        <w:t>Uchwała Rady Miejskiej w Łodzi XXII/0464/07 z 05 grudnia 2007 r. w sprawie przyjęcia Programu rewitalizacji domów familijnych</w:t>
      </w:r>
      <w:r w:rsidRPr="00EE0C8C">
        <w:rPr>
          <w:rFonts w:eastAsia="SimSun" w:cs="Times New Roman"/>
          <w:kern w:val="3"/>
          <w:lang w:eastAsia="zh-CN" w:bidi="hi-IN"/>
        </w:rPr>
        <w:t>, http://bip.uml.lodz.pl/index. php?str=83&amp;id=20921, [dostęp: 27.02.2012]</w:t>
      </w:r>
    </w:p>
    <w:p w:rsidR="00EE0C8C" w:rsidRPr="00EE0C8C" w:rsidRDefault="00EE0C8C" w:rsidP="00234BBD">
      <w:pPr>
        <w:widowControl w:val="0"/>
        <w:numPr>
          <w:ilvl w:val="0"/>
          <w:numId w:val="51"/>
        </w:numPr>
        <w:suppressAutoHyphens/>
        <w:autoSpaceDN w:val="0"/>
        <w:spacing w:after="0" w:line="240" w:lineRule="auto"/>
        <w:contextualSpacing/>
        <w:textAlignment w:val="baseline"/>
        <w:rPr>
          <w:rFonts w:eastAsia="SimSun" w:cs="Mangal"/>
          <w:kern w:val="3"/>
          <w:lang w:eastAsia="zh-CN" w:bidi="hi-IN"/>
        </w:rPr>
      </w:pPr>
      <w:r w:rsidRPr="00EE0C8C">
        <w:rPr>
          <w:rFonts w:eastAsia="SimSun" w:cs="Times New Roman"/>
          <w:kern w:val="3"/>
          <w:lang w:eastAsia="zh-CN" w:bidi="hi-IN"/>
        </w:rPr>
        <w:t>Urząd Mieszkalnictwa i Rozwoju Miast, 2003,</w:t>
      </w:r>
      <w:r w:rsidRPr="00EE0C8C">
        <w:rPr>
          <w:rFonts w:eastAsia="SimSun" w:cs="Times New Roman"/>
          <w:iCs/>
          <w:kern w:val="3"/>
          <w:lang w:eastAsia="zh-CN" w:bidi="hi-IN"/>
        </w:rPr>
        <w:t xml:space="preserve"> Podręcznik rewitalizacji. Zasady, procesy </w:t>
      </w:r>
      <w:r w:rsidRPr="00EE0C8C">
        <w:rPr>
          <w:rFonts w:eastAsia="SimSun" w:cs="Times New Roman"/>
          <w:iCs/>
          <w:kern w:val="3"/>
          <w:lang w:eastAsia="zh-CN" w:bidi="hi-IN"/>
        </w:rPr>
        <w:br/>
        <w:t>i metody działania współczesnych procesów rewitalizacji</w:t>
      </w:r>
      <w:r w:rsidRPr="00EE0C8C">
        <w:rPr>
          <w:rFonts w:eastAsia="SimSun" w:cs="Times New Roman"/>
          <w:kern w:val="3"/>
          <w:lang w:eastAsia="zh-CN" w:bidi="hi-IN"/>
        </w:rPr>
        <w:t>, Mefisto Editions, Warszawa</w:t>
      </w:r>
    </w:p>
    <w:p w:rsidR="00EE0C8C" w:rsidRPr="00EE0C8C" w:rsidRDefault="00EE0C8C" w:rsidP="00234BBD">
      <w:pPr>
        <w:widowControl w:val="0"/>
        <w:numPr>
          <w:ilvl w:val="0"/>
          <w:numId w:val="51"/>
        </w:numPr>
        <w:suppressAutoHyphens/>
        <w:autoSpaceDN w:val="0"/>
        <w:spacing w:after="0" w:line="240" w:lineRule="auto"/>
        <w:contextualSpacing/>
        <w:textAlignment w:val="baseline"/>
        <w:rPr>
          <w:rFonts w:eastAsia="SimSun" w:cs="Mangal"/>
          <w:kern w:val="3"/>
          <w:lang w:eastAsia="zh-CN" w:bidi="hi-IN"/>
        </w:rPr>
      </w:pPr>
      <w:r w:rsidRPr="00EE0C8C">
        <w:rPr>
          <w:rFonts w:eastAsia="SimSun" w:cs="Times New Roman"/>
          <w:kern w:val="3"/>
          <w:lang w:eastAsia="zh-CN" w:bidi="hi-IN"/>
        </w:rPr>
        <w:t>Ustawa z dnia 9 października 2015 r. o rewitalizacji, Dz. U. poz. 1777</w:t>
      </w:r>
    </w:p>
    <w:p w:rsidR="00EE0C8C" w:rsidRPr="00EE0C8C" w:rsidRDefault="00EE0C8C" w:rsidP="00234BBD">
      <w:pPr>
        <w:widowControl w:val="0"/>
        <w:numPr>
          <w:ilvl w:val="0"/>
          <w:numId w:val="51"/>
        </w:numPr>
        <w:suppressAutoHyphens/>
        <w:autoSpaceDN w:val="0"/>
        <w:spacing w:after="0" w:line="240" w:lineRule="auto"/>
        <w:contextualSpacing/>
        <w:textAlignment w:val="baseline"/>
        <w:rPr>
          <w:rFonts w:eastAsia="SimSun" w:cs="Mangal"/>
          <w:kern w:val="3"/>
          <w:lang w:eastAsia="zh-CN" w:bidi="hi-IN"/>
        </w:rPr>
      </w:pPr>
      <w:r w:rsidRPr="00EE0C8C">
        <w:rPr>
          <w:rFonts w:eastAsia="SimSun" w:cs="Times New Roman"/>
          <w:iCs/>
          <w:kern w:val="3"/>
          <w:lang w:eastAsia="zh-CN" w:bidi="hi-IN"/>
        </w:rPr>
        <w:t>Ustawa z dnia 27 sierpnia 2009 r. o finansach publicznych</w:t>
      </w:r>
      <w:r w:rsidRPr="00EE0C8C">
        <w:rPr>
          <w:rFonts w:eastAsia="SimSun" w:cs="Times New Roman"/>
          <w:i/>
          <w:iCs/>
          <w:kern w:val="3"/>
          <w:lang w:eastAsia="zh-CN" w:bidi="hi-IN"/>
        </w:rPr>
        <w:t xml:space="preserve">, </w:t>
      </w:r>
      <w:r w:rsidRPr="00EE0C8C">
        <w:rPr>
          <w:rFonts w:eastAsia="SimSun" w:cs="Times New Roman"/>
          <w:kern w:val="3"/>
          <w:lang w:eastAsia="zh-CN" w:bidi="hi-IN"/>
        </w:rPr>
        <w:t>Dz. U., 2009 r., nr 157, poz. 1240</w:t>
      </w:r>
    </w:p>
    <w:p w:rsidR="00EE0C8C" w:rsidRPr="00EE0C8C" w:rsidRDefault="00EE0C8C" w:rsidP="00234BBD">
      <w:pPr>
        <w:widowControl w:val="0"/>
        <w:numPr>
          <w:ilvl w:val="0"/>
          <w:numId w:val="51"/>
        </w:numPr>
        <w:suppressAutoHyphens/>
        <w:autoSpaceDN w:val="0"/>
        <w:spacing w:after="0" w:line="240" w:lineRule="auto"/>
        <w:contextualSpacing/>
        <w:textAlignment w:val="baseline"/>
        <w:rPr>
          <w:rFonts w:eastAsia="SimSun" w:cs="Mangal"/>
          <w:kern w:val="3"/>
          <w:lang w:eastAsia="zh-CN" w:bidi="hi-IN"/>
        </w:rPr>
      </w:pPr>
      <w:r w:rsidRPr="00EE0C8C">
        <w:rPr>
          <w:rFonts w:eastAsia="SimSun" w:cs="Times New Roman"/>
          <w:iCs/>
          <w:kern w:val="3"/>
          <w:lang w:eastAsia="zh-CN" w:bidi="hi-IN"/>
        </w:rPr>
        <w:t>Ustawa z dnia 19 grudnia 2008 r. o Partnerstwie Publiczno-Prywatnym</w:t>
      </w:r>
      <w:r w:rsidRPr="00EE0C8C">
        <w:rPr>
          <w:rFonts w:eastAsia="SimSun" w:cs="Times New Roman"/>
          <w:i/>
          <w:iCs/>
          <w:kern w:val="3"/>
          <w:lang w:eastAsia="zh-CN" w:bidi="hi-IN"/>
        </w:rPr>
        <w:t xml:space="preserve">, </w:t>
      </w:r>
      <w:r w:rsidRPr="00EE0C8C">
        <w:rPr>
          <w:rFonts w:eastAsia="SimSun" w:cs="Times New Roman"/>
          <w:kern w:val="3"/>
          <w:lang w:eastAsia="zh-CN" w:bidi="hi-IN"/>
        </w:rPr>
        <w:t>Dz. U., 2009 r., nr 19, poz. 101</w:t>
      </w:r>
    </w:p>
    <w:p w:rsidR="00EE0C8C" w:rsidRPr="00EE0C8C" w:rsidRDefault="00EE0C8C" w:rsidP="00234BBD">
      <w:pPr>
        <w:widowControl w:val="0"/>
        <w:numPr>
          <w:ilvl w:val="0"/>
          <w:numId w:val="51"/>
        </w:numPr>
        <w:suppressAutoHyphens/>
        <w:autoSpaceDN w:val="0"/>
        <w:spacing w:after="0"/>
        <w:contextualSpacing/>
        <w:textAlignment w:val="baseline"/>
        <w:rPr>
          <w:rFonts w:eastAsia="SimSun" w:cs="Mangal"/>
          <w:kern w:val="3"/>
          <w:lang w:eastAsia="zh-CN" w:bidi="hi-IN"/>
        </w:rPr>
      </w:pPr>
      <w:r w:rsidRPr="00EE0C8C">
        <w:rPr>
          <w:rFonts w:eastAsia="SimSun" w:cs="Times New Roman"/>
          <w:kern w:val="3"/>
          <w:lang w:eastAsia="zh-CN" w:bidi="hi-IN"/>
        </w:rPr>
        <w:t>Zieniewski M., 2007,</w:t>
      </w:r>
      <w:r w:rsidRPr="00EE0C8C">
        <w:rPr>
          <w:rFonts w:eastAsia="SimSun" w:cs="Times New Roman"/>
          <w:iCs/>
          <w:kern w:val="3"/>
          <w:lang w:eastAsia="zh-CN" w:bidi="hi-IN"/>
        </w:rPr>
        <w:t> Prawne regulacje dla PPP </w:t>
      </w:r>
      <w:r w:rsidRPr="00EE0C8C">
        <w:rPr>
          <w:rFonts w:eastAsia="SimSun" w:cs="Times New Roman"/>
          <w:kern w:val="3"/>
          <w:lang w:eastAsia="zh-CN" w:bidi="hi-IN"/>
        </w:rPr>
        <w:t>, w: Gajewska-Jedwabny A., (red.),</w:t>
      </w:r>
      <w:r w:rsidRPr="00EE0C8C">
        <w:rPr>
          <w:rFonts w:eastAsia="SimSun" w:cs="Times New Roman"/>
          <w:iCs/>
          <w:kern w:val="3"/>
          <w:lang w:eastAsia="zh-CN" w:bidi="hi-IN"/>
        </w:rPr>
        <w:t> Partnerstwo Publiczno-Prywatne</w:t>
      </w:r>
      <w:r w:rsidRPr="00EE0C8C">
        <w:rPr>
          <w:rFonts w:eastAsia="SimSun" w:cs="Times New Roman"/>
          <w:kern w:val="3"/>
          <w:lang w:eastAsia="zh-CN" w:bidi="hi-IN"/>
        </w:rPr>
        <w:t>, C.H. Beck, Warszawa</w:t>
      </w:r>
    </w:p>
    <w:p w:rsidR="00EE0C8C" w:rsidRPr="00EE0C8C" w:rsidRDefault="00EE0C8C" w:rsidP="00234BBD">
      <w:pPr>
        <w:widowControl w:val="0"/>
        <w:numPr>
          <w:ilvl w:val="0"/>
          <w:numId w:val="51"/>
        </w:numPr>
        <w:suppressAutoHyphens/>
        <w:autoSpaceDN w:val="0"/>
        <w:spacing w:after="0"/>
        <w:contextualSpacing/>
        <w:textAlignment w:val="baseline"/>
        <w:rPr>
          <w:rFonts w:eastAsia="SimSun" w:cs="Mangal"/>
          <w:kern w:val="3"/>
          <w:lang w:eastAsia="zh-CN" w:bidi="hi-IN"/>
        </w:rPr>
      </w:pPr>
      <w:r w:rsidRPr="00EE0C8C">
        <w:rPr>
          <w:lang w:eastAsia="zh-CN" w:bidi="hi-IN"/>
        </w:rPr>
        <w:t>Plan Rozwoju Lokalnego dla Gminy Mirzec</w:t>
      </w:r>
    </w:p>
    <w:p w:rsidR="00EE0C8C" w:rsidRPr="00EE0C8C" w:rsidRDefault="00EE0C8C" w:rsidP="00234BBD">
      <w:pPr>
        <w:widowControl w:val="0"/>
        <w:numPr>
          <w:ilvl w:val="0"/>
          <w:numId w:val="51"/>
        </w:numPr>
        <w:suppressLineNumbers/>
        <w:suppressAutoHyphens/>
        <w:autoSpaceDN w:val="0"/>
        <w:spacing w:after="0"/>
        <w:contextualSpacing/>
        <w:textAlignment w:val="baseline"/>
        <w:rPr>
          <w:rFonts w:eastAsia="SimSun" w:cs="Mangal"/>
          <w:kern w:val="3"/>
          <w:lang w:eastAsia="zh-CN" w:bidi="hi-IN"/>
        </w:rPr>
      </w:pPr>
      <w:r w:rsidRPr="00EE0C8C">
        <w:rPr>
          <w:rFonts w:eastAsia="SimSun" w:cs="Mangal"/>
          <w:color w:val="000000"/>
          <w:kern w:val="3"/>
          <w:lang w:eastAsia="zh-CN" w:bidi="hi-IN"/>
        </w:rPr>
        <w:t>Strategia Rozwoju Gminy Mirzec na lata 2013-2020</w:t>
      </w:r>
    </w:p>
    <w:p w:rsidR="00EE0C8C" w:rsidRPr="00EE0C8C" w:rsidRDefault="00EE0C8C" w:rsidP="00234BBD">
      <w:pPr>
        <w:widowControl w:val="0"/>
        <w:numPr>
          <w:ilvl w:val="0"/>
          <w:numId w:val="51"/>
        </w:numPr>
        <w:suppressAutoHyphens/>
        <w:autoSpaceDN w:val="0"/>
        <w:spacing w:after="0"/>
        <w:contextualSpacing/>
        <w:textAlignment w:val="baseline"/>
        <w:rPr>
          <w:rFonts w:eastAsia="SimSun" w:cs="Mangal"/>
          <w:color w:val="000000"/>
          <w:kern w:val="3"/>
          <w:lang w:eastAsia="zh-CN" w:bidi="hi-IN"/>
        </w:rPr>
      </w:pPr>
      <w:r w:rsidRPr="00EE0C8C">
        <w:rPr>
          <w:rFonts w:eastAsia="SimSun" w:cs="Mangal"/>
          <w:color w:val="000000"/>
          <w:kern w:val="3"/>
          <w:lang w:eastAsia="zh-CN" w:bidi="hi-IN"/>
        </w:rPr>
        <w:t xml:space="preserve">ZAŁOŻENIA DO PLANU ZAOPATRZENIA W CIEPŁO, ENERGIĘ ELEKTRYCZNĄ I PALIWA GAZOWE DLA </w:t>
      </w:r>
      <w:r w:rsidRPr="00EE0C8C">
        <w:rPr>
          <w:rFonts w:eastAsia="SimSun" w:cs="Mangal"/>
          <w:b/>
          <w:color w:val="000000"/>
          <w:kern w:val="3"/>
          <w:lang w:eastAsia="zh-CN" w:bidi="hi-IN"/>
        </w:rPr>
        <w:t xml:space="preserve">GMINY MIRZEC - </w:t>
      </w:r>
      <w:r w:rsidRPr="00EE0C8C">
        <w:rPr>
          <w:rFonts w:eastAsia="SimSun" w:cs="Mangal"/>
          <w:color w:val="000000"/>
          <w:kern w:val="3"/>
          <w:lang w:eastAsia="zh-CN" w:bidi="hi-IN"/>
        </w:rPr>
        <w:t>OPRACOWANE NA LATA 2015-2031</w:t>
      </w:r>
    </w:p>
    <w:p w:rsidR="00EE0C8C" w:rsidRPr="00EE0C8C" w:rsidRDefault="009635CF" w:rsidP="00234BBD">
      <w:pPr>
        <w:widowControl w:val="0"/>
        <w:numPr>
          <w:ilvl w:val="0"/>
          <w:numId w:val="51"/>
        </w:numPr>
        <w:suppressAutoHyphens/>
        <w:autoSpaceDN w:val="0"/>
        <w:spacing w:after="0"/>
        <w:contextualSpacing/>
        <w:textAlignment w:val="baseline"/>
        <w:rPr>
          <w:rFonts w:ascii="Calibri" w:eastAsia="SimSun" w:hAnsi="Calibri" w:cs="Mangal"/>
          <w:kern w:val="3"/>
          <w:lang w:eastAsia="zh-CN" w:bidi="hi-IN"/>
        </w:rPr>
      </w:pPr>
      <w:r>
        <w:rPr>
          <w:rFonts w:ascii="Calibri" w:eastAsia="SimSun" w:hAnsi="Calibri" w:cs="Mangal"/>
          <w:kern w:val="3"/>
          <w:lang w:eastAsia="zh-CN" w:bidi="hi-IN"/>
        </w:rPr>
        <w:t xml:space="preserve">PROJEKT </w:t>
      </w:r>
      <w:r w:rsidR="00EE0C8C" w:rsidRPr="00EE0C8C">
        <w:rPr>
          <w:rFonts w:ascii="Calibri" w:eastAsia="SimSun" w:hAnsi="Calibri" w:cs="Mangal"/>
          <w:kern w:val="3"/>
          <w:lang w:eastAsia="zh-CN" w:bidi="hi-IN"/>
        </w:rPr>
        <w:t>PLAN</w:t>
      </w:r>
      <w:r>
        <w:rPr>
          <w:rFonts w:ascii="Calibri" w:eastAsia="SimSun" w:hAnsi="Calibri" w:cs="Mangal"/>
          <w:kern w:val="3"/>
          <w:lang w:eastAsia="zh-CN" w:bidi="hi-IN"/>
        </w:rPr>
        <w:t>U</w:t>
      </w:r>
      <w:r w:rsidR="00EE0C8C" w:rsidRPr="00EE0C8C">
        <w:rPr>
          <w:rFonts w:ascii="Calibri" w:eastAsia="SimSun" w:hAnsi="Calibri" w:cs="Mangal"/>
          <w:kern w:val="3"/>
          <w:lang w:eastAsia="zh-CN" w:bidi="hi-IN"/>
        </w:rPr>
        <w:t xml:space="preserve"> GOSPODARKI NISKOEMISYJNEJ DLA GMINY MIRZEC</w:t>
      </w:r>
    </w:p>
    <w:p w:rsidR="00EE0C8C" w:rsidRPr="00EE0C8C" w:rsidRDefault="00EE0C8C" w:rsidP="00234BBD">
      <w:pPr>
        <w:widowControl w:val="0"/>
        <w:numPr>
          <w:ilvl w:val="0"/>
          <w:numId w:val="51"/>
        </w:numPr>
        <w:suppressAutoHyphens/>
        <w:autoSpaceDN w:val="0"/>
        <w:spacing w:after="0"/>
        <w:contextualSpacing/>
        <w:textAlignment w:val="baseline"/>
        <w:rPr>
          <w:rFonts w:ascii="Calibri" w:eastAsia="SimSun" w:hAnsi="Calibri" w:cs="Mangal"/>
          <w:color w:val="000000"/>
          <w:kern w:val="3"/>
          <w:lang w:eastAsia="zh-CN" w:bidi="hi-IN"/>
        </w:rPr>
      </w:pPr>
      <w:r w:rsidRPr="00EE0C8C">
        <w:rPr>
          <w:rFonts w:ascii="Calibri" w:eastAsia="SimSun" w:hAnsi="Calibri" w:cs="Mangal"/>
          <w:color w:val="000000"/>
          <w:kern w:val="3"/>
          <w:lang w:eastAsia="zh-CN" w:bidi="hi-IN"/>
        </w:rPr>
        <w:t>Program Ochrony Środowiska i Plan Gospodarki Odpadami dla Gminy Mirzec na lata 2009-2012 z uwzględnieniem lat 2013-20</w:t>
      </w:r>
    </w:p>
    <w:p w:rsidR="00EE0C8C" w:rsidRPr="00EE0C8C" w:rsidRDefault="00EE0C8C" w:rsidP="00EE0C8C"/>
    <w:p w:rsidR="008903A4" w:rsidRDefault="008903A4" w:rsidP="00EE0C8C">
      <w:pPr>
        <w:ind w:left="6372" w:firstLine="708"/>
        <w:rPr>
          <w:rFonts w:ascii="Times New Roman" w:eastAsia="Calibri" w:hAnsi="Times New Roman" w:cs="Times New Roman"/>
          <w:i/>
          <w:sz w:val="24"/>
          <w:lang w:eastAsia="pl-PL"/>
        </w:rPr>
      </w:pPr>
    </w:p>
    <w:p w:rsidR="008903A4" w:rsidRDefault="008903A4" w:rsidP="00EE0C8C">
      <w:pPr>
        <w:ind w:left="6372" w:firstLine="708"/>
        <w:rPr>
          <w:rFonts w:ascii="Times New Roman" w:eastAsia="Calibri" w:hAnsi="Times New Roman" w:cs="Times New Roman"/>
          <w:i/>
          <w:sz w:val="24"/>
          <w:lang w:eastAsia="pl-PL"/>
        </w:rPr>
      </w:pPr>
    </w:p>
    <w:p w:rsidR="008903A4" w:rsidRDefault="008903A4" w:rsidP="00EE0C8C">
      <w:pPr>
        <w:ind w:left="6372" w:firstLine="708"/>
        <w:rPr>
          <w:rFonts w:ascii="Times New Roman" w:eastAsia="Calibri" w:hAnsi="Times New Roman" w:cs="Times New Roman"/>
          <w:i/>
          <w:sz w:val="24"/>
          <w:lang w:eastAsia="pl-PL"/>
        </w:rPr>
      </w:pPr>
    </w:p>
    <w:p w:rsidR="008903A4" w:rsidRDefault="008903A4" w:rsidP="00EE0C8C">
      <w:pPr>
        <w:ind w:left="6372" w:firstLine="708"/>
        <w:rPr>
          <w:rFonts w:ascii="Times New Roman" w:eastAsia="Calibri" w:hAnsi="Times New Roman" w:cs="Times New Roman"/>
          <w:i/>
          <w:sz w:val="24"/>
          <w:lang w:eastAsia="pl-PL"/>
        </w:rPr>
      </w:pPr>
    </w:p>
    <w:p w:rsidR="008903A4" w:rsidRDefault="008903A4" w:rsidP="00EE0C8C">
      <w:pPr>
        <w:ind w:left="6372" w:firstLine="708"/>
        <w:rPr>
          <w:rFonts w:ascii="Times New Roman" w:eastAsia="Calibri" w:hAnsi="Times New Roman" w:cs="Times New Roman"/>
          <w:i/>
          <w:sz w:val="24"/>
          <w:lang w:eastAsia="pl-PL"/>
        </w:rPr>
      </w:pPr>
    </w:p>
    <w:p w:rsidR="008903A4" w:rsidRDefault="008903A4" w:rsidP="00EE0C8C">
      <w:pPr>
        <w:ind w:left="6372" w:firstLine="708"/>
        <w:rPr>
          <w:rFonts w:ascii="Times New Roman" w:eastAsia="Calibri" w:hAnsi="Times New Roman" w:cs="Times New Roman"/>
          <w:i/>
          <w:sz w:val="24"/>
          <w:lang w:eastAsia="pl-PL"/>
        </w:rPr>
      </w:pPr>
    </w:p>
    <w:p w:rsidR="008903A4" w:rsidRDefault="008903A4" w:rsidP="00EE0C8C">
      <w:pPr>
        <w:ind w:left="6372" w:firstLine="708"/>
        <w:rPr>
          <w:rFonts w:ascii="Times New Roman" w:eastAsia="Calibri" w:hAnsi="Times New Roman" w:cs="Times New Roman"/>
          <w:i/>
          <w:sz w:val="24"/>
          <w:lang w:eastAsia="pl-PL"/>
        </w:rPr>
      </w:pPr>
    </w:p>
    <w:p w:rsidR="008903A4" w:rsidRDefault="008903A4" w:rsidP="00EE0C8C">
      <w:pPr>
        <w:ind w:left="6372" w:firstLine="708"/>
        <w:rPr>
          <w:rFonts w:ascii="Times New Roman" w:eastAsia="Calibri" w:hAnsi="Times New Roman" w:cs="Times New Roman"/>
          <w:i/>
          <w:sz w:val="24"/>
          <w:lang w:eastAsia="pl-PL"/>
        </w:rPr>
      </w:pPr>
    </w:p>
    <w:p w:rsidR="008903A4" w:rsidRDefault="008903A4" w:rsidP="00EE0C8C">
      <w:pPr>
        <w:ind w:left="6372" w:firstLine="708"/>
        <w:rPr>
          <w:rFonts w:ascii="Times New Roman" w:eastAsia="Calibri" w:hAnsi="Times New Roman" w:cs="Times New Roman"/>
          <w:i/>
          <w:sz w:val="24"/>
          <w:lang w:eastAsia="pl-PL"/>
        </w:rPr>
      </w:pPr>
    </w:p>
    <w:p w:rsidR="008903A4" w:rsidRDefault="008903A4" w:rsidP="00EE0C8C">
      <w:pPr>
        <w:ind w:left="6372" w:firstLine="708"/>
        <w:rPr>
          <w:rFonts w:ascii="Times New Roman" w:eastAsia="Calibri" w:hAnsi="Times New Roman" w:cs="Times New Roman"/>
          <w:i/>
          <w:sz w:val="24"/>
          <w:lang w:eastAsia="pl-PL"/>
        </w:rPr>
      </w:pPr>
    </w:p>
    <w:p w:rsidR="008903A4" w:rsidRDefault="008903A4" w:rsidP="00EE0C8C">
      <w:pPr>
        <w:ind w:left="6372" w:firstLine="708"/>
        <w:rPr>
          <w:rFonts w:ascii="Times New Roman" w:eastAsia="Calibri" w:hAnsi="Times New Roman" w:cs="Times New Roman"/>
          <w:i/>
          <w:sz w:val="24"/>
          <w:lang w:eastAsia="pl-PL"/>
        </w:rPr>
      </w:pPr>
    </w:p>
    <w:p w:rsidR="008903A4" w:rsidRDefault="008903A4" w:rsidP="00EE0C8C">
      <w:pPr>
        <w:ind w:left="6372" w:firstLine="708"/>
        <w:rPr>
          <w:rFonts w:ascii="Times New Roman" w:eastAsia="Calibri" w:hAnsi="Times New Roman" w:cs="Times New Roman"/>
          <w:i/>
          <w:sz w:val="24"/>
          <w:lang w:eastAsia="pl-PL"/>
        </w:rPr>
      </w:pPr>
    </w:p>
    <w:p w:rsidR="008903A4" w:rsidRDefault="008903A4" w:rsidP="00EE0C8C">
      <w:pPr>
        <w:ind w:left="6372" w:firstLine="708"/>
        <w:rPr>
          <w:rFonts w:ascii="Times New Roman" w:eastAsia="Calibri" w:hAnsi="Times New Roman" w:cs="Times New Roman"/>
          <w:i/>
          <w:sz w:val="24"/>
          <w:lang w:eastAsia="pl-PL"/>
        </w:rPr>
      </w:pPr>
    </w:p>
    <w:p w:rsidR="008903A4" w:rsidRDefault="008903A4" w:rsidP="00EE0C8C">
      <w:pPr>
        <w:ind w:left="6372" w:firstLine="708"/>
        <w:rPr>
          <w:rFonts w:ascii="Times New Roman" w:eastAsia="Calibri" w:hAnsi="Times New Roman" w:cs="Times New Roman"/>
          <w:i/>
          <w:sz w:val="24"/>
          <w:lang w:eastAsia="pl-PL"/>
        </w:rPr>
      </w:pPr>
    </w:p>
    <w:p w:rsidR="008903A4" w:rsidRDefault="008903A4" w:rsidP="00EE0C8C">
      <w:pPr>
        <w:ind w:left="6372" w:firstLine="708"/>
        <w:rPr>
          <w:rFonts w:ascii="Times New Roman" w:eastAsia="Calibri" w:hAnsi="Times New Roman" w:cs="Times New Roman"/>
          <w:i/>
          <w:sz w:val="24"/>
          <w:lang w:eastAsia="pl-PL"/>
        </w:rPr>
      </w:pPr>
    </w:p>
    <w:p w:rsidR="008903A4" w:rsidRDefault="008903A4" w:rsidP="00EE0C8C">
      <w:pPr>
        <w:ind w:left="6372" w:firstLine="708"/>
        <w:rPr>
          <w:rFonts w:ascii="Times New Roman" w:eastAsia="Calibri" w:hAnsi="Times New Roman" w:cs="Times New Roman"/>
          <w:i/>
          <w:sz w:val="24"/>
          <w:lang w:eastAsia="pl-PL"/>
        </w:rPr>
      </w:pPr>
    </w:p>
    <w:p w:rsidR="008903A4" w:rsidRDefault="008903A4" w:rsidP="00EE0C8C">
      <w:pPr>
        <w:ind w:left="6372" w:firstLine="708"/>
        <w:rPr>
          <w:rFonts w:ascii="Times New Roman" w:eastAsia="Calibri" w:hAnsi="Times New Roman" w:cs="Times New Roman"/>
          <w:i/>
          <w:sz w:val="24"/>
          <w:lang w:eastAsia="pl-PL"/>
        </w:rPr>
      </w:pPr>
    </w:p>
    <w:p w:rsidR="008903A4" w:rsidRDefault="008903A4" w:rsidP="00EE0C8C">
      <w:pPr>
        <w:ind w:left="6372" w:firstLine="708"/>
        <w:rPr>
          <w:rFonts w:ascii="Times New Roman" w:eastAsia="Calibri" w:hAnsi="Times New Roman" w:cs="Times New Roman"/>
          <w:i/>
          <w:sz w:val="24"/>
          <w:lang w:eastAsia="pl-PL"/>
        </w:rPr>
      </w:pPr>
    </w:p>
    <w:p w:rsidR="008903A4" w:rsidRDefault="008903A4" w:rsidP="00EE0C8C">
      <w:pPr>
        <w:ind w:left="6372" w:firstLine="708"/>
        <w:rPr>
          <w:rFonts w:ascii="Times New Roman" w:eastAsia="Calibri" w:hAnsi="Times New Roman" w:cs="Times New Roman"/>
          <w:i/>
          <w:sz w:val="24"/>
          <w:lang w:eastAsia="pl-PL"/>
        </w:rPr>
      </w:pPr>
    </w:p>
    <w:p w:rsidR="008903A4" w:rsidRDefault="008903A4" w:rsidP="00EE0C8C">
      <w:pPr>
        <w:ind w:left="6372" w:firstLine="708"/>
        <w:rPr>
          <w:rFonts w:ascii="Times New Roman" w:eastAsia="Calibri" w:hAnsi="Times New Roman" w:cs="Times New Roman"/>
          <w:i/>
          <w:sz w:val="24"/>
          <w:lang w:eastAsia="pl-PL"/>
        </w:rPr>
      </w:pPr>
    </w:p>
    <w:p w:rsidR="008903A4" w:rsidRDefault="008903A4" w:rsidP="00EE0C8C">
      <w:pPr>
        <w:ind w:left="6372" w:firstLine="708"/>
        <w:rPr>
          <w:rFonts w:ascii="Times New Roman" w:eastAsia="Calibri" w:hAnsi="Times New Roman" w:cs="Times New Roman"/>
          <w:i/>
          <w:sz w:val="24"/>
          <w:lang w:eastAsia="pl-PL"/>
        </w:rPr>
      </w:pPr>
    </w:p>
    <w:p w:rsidR="008903A4" w:rsidRDefault="008903A4" w:rsidP="00EE0C8C">
      <w:pPr>
        <w:ind w:left="6372" w:firstLine="708"/>
        <w:rPr>
          <w:rFonts w:ascii="Times New Roman" w:eastAsia="Calibri" w:hAnsi="Times New Roman" w:cs="Times New Roman"/>
          <w:i/>
          <w:sz w:val="24"/>
          <w:lang w:eastAsia="pl-PL"/>
        </w:rPr>
      </w:pPr>
    </w:p>
    <w:p w:rsidR="008903A4" w:rsidRDefault="008903A4" w:rsidP="00EE0C8C">
      <w:pPr>
        <w:ind w:left="6372" w:firstLine="708"/>
        <w:rPr>
          <w:rFonts w:ascii="Times New Roman" w:eastAsia="Calibri" w:hAnsi="Times New Roman" w:cs="Times New Roman"/>
          <w:i/>
          <w:sz w:val="24"/>
          <w:lang w:eastAsia="pl-PL"/>
        </w:rPr>
      </w:pPr>
    </w:p>
    <w:p w:rsidR="00EE0C8C" w:rsidRPr="00EE0C8C" w:rsidRDefault="00EE0C8C" w:rsidP="00EE0C8C">
      <w:pPr>
        <w:ind w:left="6372" w:firstLine="708"/>
        <w:rPr>
          <w:rFonts w:ascii="Times New Roman" w:eastAsia="Calibri" w:hAnsi="Times New Roman" w:cs="Times New Roman"/>
          <w:sz w:val="24"/>
          <w:lang w:eastAsia="pl-PL"/>
        </w:rPr>
      </w:pPr>
      <w:r w:rsidRPr="00EE0C8C">
        <w:rPr>
          <w:rFonts w:ascii="Times New Roman" w:eastAsia="Calibri" w:hAnsi="Times New Roman" w:cs="Times New Roman"/>
          <w:i/>
          <w:sz w:val="24"/>
          <w:lang w:eastAsia="pl-PL"/>
        </w:rPr>
        <w:t>Zespół projektowy:</w:t>
      </w:r>
    </w:p>
    <w:p w:rsidR="00EE0C8C" w:rsidRPr="00EE0C8C" w:rsidRDefault="00EE0C8C" w:rsidP="00EE0C8C">
      <w:pPr>
        <w:spacing w:before="120" w:after="120"/>
        <w:jc w:val="right"/>
        <w:rPr>
          <w:rFonts w:ascii="Times New Roman" w:eastAsia="Calibri" w:hAnsi="Times New Roman" w:cs="Times New Roman"/>
          <w:i/>
          <w:sz w:val="24"/>
          <w:lang w:eastAsia="pl-PL"/>
        </w:rPr>
      </w:pPr>
      <w:r w:rsidRPr="00EE0C8C">
        <w:rPr>
          <w:rFonts w:ascii="Times New Roman" w:eastAsia="Calibri" w:hAnsi="Times New Roman" w:cs="Times New Roman"/>
          <w:i/>
          <w:sz w:val="24"/>
          <w:lang w:eastAsia="pl-PL"/>
        </w:rPr>
        <w:t xml:space="preserve">Instytut Strategii i Współpracy </w:t>
      </w:r>
    </w:p>
    <w:p w:rsidR="008903A4" w:rsidRDefault="00EE0C8C" w:rsidP="008903A4">
      <w:pPr>
        <w:spacing w:before="120" w:after="120"/>
        <w:jc w:val="right"/>
        <w:rPr>
          <w:rFonts w:ascii="Times New Roman" w:eastAsia="Calibri" w:hAnsi="Times New Roman" w:cs="Times New Roman"/>
          <w:i/>
          <w:sz w:val="24"/>
          <w:lang w:val="en-US" w:eastAsia="pl-PL"/>
        </w:rPr>
      </w:pPr>
      <w:r w:rsidRPr="00EE0C8C">
        <w:rPr>
          <w:rFonts w:ascii="Times New Roman" w:eastAsia="Calibri" w:hAnsi="Times New Roman" w:cs="Times New Roman"/>
          <w:i/>
          <w:sz w:val="24"/>
          <w:lang w:val="en-US" w:eastAsia="pl-PL"/>
        </w:rPr>
        <w:t>„INTERcharrette” Sp. z o.o.</w:t>
      </w:r>
    </w:p>
    <w:p w:rsidR="008903A4" w:rsidRDefault="008903A4" w:rsidP="008903A4">
      <w:pPr>
        <w:spacing w:before="120" w:after="120"/>
        <w:jc w:val="right"/>
        <w:rPr>
          <w:lang w:val="en-US"/>
        </w:rPr>
      </w:pPr>
    </w:p>
    <w:p w:rsidR="008903A4" w:rsidRDefault="008903A4" w:rsidP="008903A4">
      <w:pPr>
        <w:spacing w:before="120" w:after="120"/>
        <w:jc w:val="right"/>
        <w:rPr>
          <w:lang w:val="en-US"/>
        </w:rPr>
      </w:pPr>
    </w:p>
    <w:p w:rsidR="002B6E3A" w:rsidRDefault="002B6E3A" w:rsidP="008903A4">
      <w:pPr>
        <w:spacing w:before="120" w:after="120"/>
        <w:jc w:val="center"/>
        <w:rPr>
          <w:lang w:val="en-US"/>
        </w:rPr>
      </w:pPr>
    </w:p>
    <w:p w:rsidR="00EE0C8C" w:rsidRPr="008903A4" w:rsidRDefault="006A3D8D" w:rsidP="008903A4">
      <w:pPr>
        <w:spacing w:before="120" w:after="120"/>
        <w:jc w:val="center"/>
        <w:rPr>
          <w:rFonts w:ascii="Times New Roman" w:eastAsia="Calibri" w:hAnsi="Times New Roman" w:cs="Times New Roman"/>
          <w:i/>
          <w:sz w:val="24"/>
          <w:lang w:val="en-US" w:eastAsia="pl-PL"/>
        </w:rPr>
      </w:pPr>
      <w:r>
        <w:t>Maj</w:t>
      </w:r>
      <w:r w:rsidR="00EE0C8C" w:rsidRPr="00EE0C8C">
        <w:rPr>
          <w:lang w:val="en-US"/>
        </w:rPr>
        <w:t xml:space="preserve"> 2016r.</w:t>
      </w:r>
    </w:p>
    <w:p w:rsidR="003005F7" w:rsidRPr="00EE0C8C" w:rsidRDefault="003005F7" w:rsidP="00EE0C8C">
      <w:pPr>
        <w:rPr>
          <w:lang w:eastAsia="pl-PL"/>
        </w:rPr>
      </w:pPr>
    </w:p>
    <w:sectPr w:rsidR="003005F7" w:rsidRPr="00EE0C8C" w:rsidSect="00E449E1">
      <w:headerReference w:type="default" r:id="rId61"/>
      <w:footerReference w:type="default" r:id="rId6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466A" w:rsidRDefault="001D466A" w:rsidP="00A6085B">
      <w:pPr>
        <w:spacing w:after="0" w:line="240" w:lineRule="auto"/>
      </w:pPr>
      <w:r>
        <w:separator/>
      </w:r>
    </w:p>
  </w:endnote>
  <w:endnote w:type="continuationSeparator" w:id="0">
    <w:p w:rsidR="001D466A" w:rsidRDefault="001D466A" w:rsidP="00A60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altName w:val="Cambria Math"/>
    <w:panose1 w:val="02040503050203030202"/>
    <w:charset w:val="01"/>
    <w:family w:val="roman"/>
    <w:notTrueType/>
    <w:pitch w:val="variable"/>
    <w:sig w:usb0="00002000" w:usb1="00000000" w:usb2="00000000" w:usb3="00000000" w:csb0="00000000" w:csb1="00000000"/>
  </w:font>
  <w:font w:name="Liberation Serif">
    <w:altName w:val="Times New Roman"/>
    <w:charset w:val="EE"/>
    <w:family w:val="roman"/>
    <w:pitch w:val="variable"/>
    <w:sig w:usb0="00000000" w:usb1="500078FF" w:usb2="00000021" w:usb3="00000000" w:csb0="000001BF" w:csb1="00000000"/>
  </w:font>
  <w:font w:name="Arial">
    <w:panose1 w:val="020B0604020202020204"/>
    <w:charset w:val="EE"/>
    <w:family w:val="swiss"/>
    <w:pitch w:val="variable"/>
    <w:sig w:usb0="20002A87" w:usb1="00000000" w:usb2="00000000" w:usb3="00000000" w:csb0="000001FF" w:csb1="00000000"/>
  </w:font>
  <w:font w:name="Lucida Sans Unicode">
    <w:panose1 w:val="020B0602030504020204"/>
    <w:charset w:val="EE"/>
    <w:family w:val="swiss"/>
    <w:pitch w:val="variable"/>
    <w:sig w:usb0="80000AFF" w:usb1="0000396B" w:usb2="00000000" w:usb3="00000000" w:csb0="000000B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3483444"/>
      <w:docPartObj>
        <w:docPartGallery w:val="Page Numbers (Bottom of Page)"/>
        <w:docPartUnique/>
      </w:docPartObj>
    </w:sdtPr>
    <w:sdtEndPr>
      <w:rPr>
        <w:color w:val="808080" w:themeColor="background1" w:themeShade="80"/>
        <w:spacing w:val="60"/>
      </w:rPr>
    </w:sdtEndPr>
    <w:sdtContent>
      <w:p w:rsidR="000D717F" w:rsidRDefault="000D717F">
        <w:pPr>
          <w:pStyle w:val="Stopka"/>
          <w:pBdr>
            <w:top w:val="single" w:sz="4" w:space="1" w:color="D9D9D9" w:themeColor="background1" w:themeShade="D9"/>
          </w:pBdr>
          <w:jc w:val="right"/>
        </w:pPr>
        <w:r>
          <w:fldChar w:fldCharType="begin"/>
        </w:r>
        <w:r>
          <w:instrText>PAGE   \* MERGEFORMAT</w:instrText>
        </w:r>
        <w:r>
          <w:fldChar w:fldCharType="separate"/>
        </w:r>
        <w:r w:rsidR="00D12A69">
          <w:rPr>
            <w:noProof/>
          </w:rPr>
          <w:t>2</w:t>
        </w:r>
        <w:r>
          <w:rPr>
            <w:noProof/>
          </w:rPr>
          <w:fldChar w:fldCharType="end"/>
        </w:r>
        <w:r>
          <w:t xml:space="preserve"> | </w:t>
        </w:r>
        <w:r w:rsidRPr="00930B69">
          <w:rPr>
            <w:color w:val="808080" w:themeColor="background1" w:themeShade="80"/>
            <w:spacing w:val="60"/>
          </w:rPr>
          <w:t>Strona</w:t>
        </w:r>
      </w:p>
    </w:sdtContent>
  </w:sdt>
  <w:p w:rsidR="000D717F" w:rsidRDefault="000D717F">
    <w:pPr>
      <w:pStyle w:val="Stopk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4922405"/>
      <w:docPartObj>
        <w:docPartGallery w:val="Page Numbers (Bottom of Page)"/>
        <w:docPartUnique/>
      </w:docPartObj>
    </w:sdtPr>
    <w:sdtEndPr>
      <w:rPr>
        <w:color w:val="808080" w:themeColor="background1" w:themeShade="80"/>
        <w:spacing w:val="60"/>
      </w:rPr>
    </w:sdtEndPr>
    <w:sdtContent>
      <w:p w:rsidR="000D717F" w:rsidRDefault="000D717F">
        <w:pPr>
          <w:pStyle w:val="Stopka"/>
          <w:pBdr>
            <w:top w:val="single" w:sz="4" w:space="1" w:color="D9D9D9" w:themeColor="background1" w:themeShade="D9"/>
          </w:pBdr>
          <w:jc w:val="right"/>
        </w:pPr>
        <w:r>
          <w:fldChar w:fldCharType="begin"/>
        </w:r>
        <w:r>
          <w:instrText>PAGE   \* MERGEFORMAT</w:instrText>
        </w:r>
        <w:r>
          <w:fldChar w:fldCharType="separate"/>
        </w:r>
        <w:r w:rsidR="00D12A69">
          <w:rPr>
            <w:noProof/>
          </w:rPr>
          <w:t>124</w:t>
        </w:r>
        <w:r>
          <w:rPr>
            <w:noProof/>
          </w:rPr>
          <w:fldChar w:fldCharType="end"/>
        </w:r>
        <w:r>
          <w:t xml:space="preserve"> | </w:t>
        </w:r>
        <w:r>
          <w:rPr>
            <w:color w:val="808080" w:themeColor="background1" w:themeShade="80"/>
            <w:spacing w:val="60"/>
          </w:rPr>
          <w:t>Strona</w:t>
        </w:r>
      </w:p>
    </w:sdtContent>
  </w:sdt>
  <w:p w:rsidR="000D717F" w:rsidRDefault="000D717F">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6708751"/>
      <w:docPartObj>
        <w:docPartGallery w:val="Page Numbers (Bottom of Page)"/>
        <w:docPartUnique/>
      </w:docPartObj>
    </w:sdtPr>
    <w:sdtEndPr>
      <w:rPr>
        <w:color w:val="808080" w:themeColor="background1" w:themeShade="80"/>
        <w:spacing w:val="60"/>
      </w:rPr>
    </w:sdtEndPr>
    <w:sdtContent>
      <w:p w:rsidR="000D717F" w:rsidRDefault="000D717F">
        <w:pPr>
          <w:pStyle w:val="Stopka"/>
          <w:pBdr>
            <w:top w:val="single" w:sz="4" w:space="1" w:color="D9D9D9" w:themeColor="background1" w:themeShade="D9"/>
          </w:pBdr>
          <w:jc w:val="right"/>
        </w:pPr>
        <w:r>
          <w:fldChar w:fldCharType="begin"/>
        </w:r>
        <w:r>
          <w:instrText>PAGE   \* MERGEFORMAT</w:instrText>
        </w:r>
        <w:r>
          <w:fldChar w:fldCharType="separate"/>
        </w:r>
        <w:r w:rsidR="00D12A69">
          <w:rPr>
            <w:noProof/>
          </w:rPr>
          <w:t>156</w:t>
        </w:r>
        <w:r>
          <w:rPr>
            <w:noProof/>
          </w:rPr>
          <w:fldChar w:fldCharType="end"/>
        </w:r>
        <w:r>
          <w:t xml:space="preserve"> | </w:t>
        </w:r>
        <w:r>
          <w:rPr>
            <w:color w:val="808080" w:themeColor="background1" w:themeShade="80"/>
            <w:spacing w:val="60"/>
          </w:rPr>
          <w:t>Strona</w:t>
        </w:r>
      </w:p>
    </w:sdtContent>
  </w:sdt>
  <w:p w:rsidR="000D717F" w:rsidRDefault="000D717F">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7648993"/>
      <w:docPartObj>
        <w:docPartGallery w:val="Page Numbers (Bottom of Page)"/>
        <w:docPartUnique/>
      </w:docPartObj>
    </w:sdtPr>
    <w:sdtEndPr>
      <w:rPr>
        <w:color w:val="808080" w:themeColor="background1" w:themeShade="80"/>
        <w:spacing w:val="60"/>
      </w:rPr>
    </w:sdtEndPr>
    <w:sdtContent>
      <w:p w:rsidR="000D717F" w:rsidRDefault="000D717F">
        <w:pPr>
          <w:pStyle w:val="Stopka"/>
          <w:pBdr>
            <w:top w:val="single" w:sz="4" w:space="1" w:color="D9D9D9" w:themeColor="background1" w:themeShade="D9"/>
          </w:pBdr>
          <w:jc w:val="right"/>
        </w:pPr>
        <w:r>
          <w:fldChar w:fldCharType="begin"/>
        </w:r>
        <w:r>
          <w:instrText>PAGE   \* MERGEFORMAT</w:instrText>
        </w:r>
        <w:r>
          <w:fldChar w:fldCharType="separate"/>
        </w:r>
        <w:r w:rsidR="00D12A69">
          <w:rPr>
            <w:noProof/>
          </w:rPr>
          <w:t>191</w:t>
        </w:r>
        <w:r>
          <w:rPr>
            <w:noProof/>
          </w:rPr>
          <w:fldChar w:fldCharType="end"/>
        </w:r>
        <w:r>
          <w:t xml:space="preserve"> | </w:t>
        </w:r>
        <w:r>
          <w:rPr>
            <w:color w:val="808080" w:themeColor="background1" w:themeShade="80"/>
            <w:spacing w:val="60"/>
          </w:rPr>
          <w:t>Strona</w:t>
        </w:r>
      </w:p>
    </w:sdtContent>
  </w:sdt>
  <w:p w:rsidR="000D717F" w:rsidRDefault="000D717F">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466A" w:rsidRDefault="001D466A" w:rsidP="00A6085B">
      <w:pPr>
        <w:spacing w:after="0" w:line="240" w:lineRule="auto"/>
      </w:pPr>
      <w:r>
        <w:separator/>
      </w:r>
    </w:p>
  </w:footnote>
  <w:footnote w:type="continuationSeparator" w:id="0">
    <w:p w:rsidR="001D466A" w:rsidRDefault="001D466A" w:rsidP="00A6085B">
      <w:pPr>
        <w:spacing w:after="0" w:line="240" w:lineRule="auto"/>
      </w:pPr>
      <w:r>
        <w:continuationSeparator/>
      </w:r>
    </w:p>
  </w:footnote>
  <w:footnote w:id="1">
    <w:p w:rsidR="000D717F" w:rsidRPr="009A68CE" w:rsidRDefault="000D717F" w:rsidP="00A6085B">
      <w:pPr>
        <w:pStyle w:val="Tekstprzypisudolnego"/>
        <w:rPr>
          <w:rFonts w:ascii="Times New Roman" w:hAnsi="Times New Roman"/>
          <w:sz w:val="16"/>
          <w:szCs w:val="16"/>
        </w:rPr>
      </w:pPr>
      <w:r w:rsidRPr="009A68CE">
        <w:rPr>
          <w:rStyle w:val="Odwoanieprzypisudolnego"/>
          <w:rFonts w:ascii="Times New Roman" w:hAnsi="Times New Roman"/>
          <w:sz w:val="16"/>
          <w:szCs w:val="16"/>
        </w:rPr>
        <w:footnoteRef/>
      </w:r>
      <w:r w:rsidRPr="009A68CE">
        <w:rPr>
          <w:rFonts w:ascii="Times New Roman" w:hAnsi="Times New Roman"/>
          <w:sz w:val="16"/>
          <w:szCs w:val="16"/>
        </w:rPr>
        <w:t xml:space="preserve"> Dziennik Ustaw Rzeczypospolitej Polskiej Warszaw, dnia 3 listopada 2015 r. Poz. 1777, Ustawa z dnia 9 października 2015 r. </w:t>
      </w:r>
      <w:r>
        <w:rPr>
          <w:rFonts w:ascii="Times New Roman" w:hAnsi="Times New Roman"/>
          <w:sz w:val="16"/>
          <w:szCs w:val="16"/>
        </w:rPr>
        <w:br/>
      </w:r>
      <w:r w:rsidRPr="009A68CE">
        <w:rPr>
          <w:rFonts w:ascii="Times New Roman" w:hAnsi="Times New Roman"/>
          <w:sz w:val="16"/>
          <w:szCs w:val="16"/>
        </w:rPr>
        <w:t>o rewitalizacji</w:t>
      </w:r>
    </w:p>
  </w:footnote>
  <w:footnote w:id="2">
    <w:p w:rsidR="000D717F" w:rsidRPr="009A68CE" w:rsidRDefault="000D717F" w:rsidP="00A6085B">
      <w:pPr>
        <w:pStyle w:val="Tekstprzypisudolnego"/>
        <w:rPr>
          <w:rFonts w:ascii="Times New Roman" w:hAnsi="Times New Roman"/>
          <w:sz w:val="16"/>
          <w:szCs w:val="16"/>
        </w:rPr>
      </w:pPr>
      <w:r w:rsidRPr="009A68CE">
        <w:rPr>
          <w:rStyle w:val="Odwoanieprzypisudolnego"/>
          <w:rFonts w:ascii="Times New Roman" w:hAnsi="Times New Roman"/>
          <w:sz w:val="16"/>
          <w:szCs w:val="16"/>
        </w:rPr>
        <w:footnoteRef/>
      </w:r>
      <w:r w:rsidRPr="009A68CE">
        <w:rPr>
          <w:rFonts w:ascii="Times New Roman" w:hAnsi="Times New Roman"/>
          <w:sz w:val="16"/>
          <w:szCs w:val="16"/>
        </w:rPr>
        <w:t xml:space="preserve"> Wytyczne w zakresie rewitalizacji w programach operacyjnych na lata 2014-2020, Warszawa, 3 lipca 2015 r.</w:t>
      </w:r>
    </w:p>
  </w:footnote>
  <w:footnote w:id="3">
    <w:p w:rsidR="000D717F" w:rsidRPr="00436BAB" w:rsidRDefault="000D717F" w:rsidP="00A6085B">
      <w:pPr>
        <w:pStyle w:val="Tekstprzypisudolnego"/>
        <w:rPr>
          <w:rFonts w:ascii="Times New Roman" w:hAnsi="Times New Roman"/>
          <w:sz w:val="16"/>
          <w:szCs w:val="16"/>
        </w:rPr>
      </w:pPr>
      <w:r w:rsidRPr="00436BAB">
        <w:rPr>
          <w:rStyle w:val="Odwoanieprzypisudolnego"/>
          <w:rFonts w:ascii="Times New Roman" w:hAnsi="Times New Roman"/>
          <w:sz w:val="16"/>
          <w:szCs w:val="16"/>
        </w:rPr>
        <w:footnoteRef/>
      </w:r>
      <w:r w:rsidRPr="00436BAB">
        <w:rPr>
          <w:rFonts w:ascii="Times New Roman" w:hAnsi="Times New Roman"/>
          <w:sz w:val="16"/>
          <w:szCs w:val="16"/>
        </w:rPr>
        <w:t xml:space="preserve">   Źródło: Ministerstwo Infrastruktury i Rozwoju</w:t>
      </w:r>
    </w:p>
  </w:footnote>
  <w:footnote w:id="4">
    <w:p w:rsidR="000D717F" w:rsidRPr="000469B2" w:rsidRDefault="000D717F" w:rsidP="00A6085B">
      <w:pPr>
        <w:pStyle w:val="Tekstprzypisudolnego"/>
        <w:rPr>
          <w:rFonts w:ascii="Times New Roman" w:hAnsi="Times New Roman"/>
          <w:sz w:val="16"/>
          <w:szCs w:val="16"/>
        </w:rPr>
      </w:pPr>
      <w:r w:rsidRPr="000469B2">
        <w:rPr>
          <w:rStyle w:val="Odwoanieprzypisudolnego"/>
          <w:rFonts w:ascii="Times New Roman" w:hAnsi="Times New Roman"/>
          <w:sz w:val="16"/>
          <w:szCs w:val="16"/>
        </w:rPr>
        <w:footnoteRef/>
      </w:r>
      <w:r w:rsidRPr="000469B2">
        <w:rPr>
          <w:rFonts w:ascii="Times New Roman" w:hAnsi="Times New Roman"/>
          <w:sz w:val="16"/>
          <w:szCs w:val="16"/>
        </w:rPr>
        <w:t xml:space="preserve"> Źródło: Ministerstwo Infrastruktury i Rozwoju</w:t>
      </w:r>
    </w:p>
  </w:footnote>
  <w:footnote w:id="5">
    <w:p w:rsidR="000D717F" w:rsidRPr="007F5584" w:rsidRDefault="000D717F" w:rsidP="00A6085B">
      <w:pPr>
        <w:spacing w:after="0"/>
        <w:jc w:val="both"/>
        <w:rPr>
          <w:rFonts w:ascii="Times New Roman" w:hAnsi="Times New Roman"/>
          <w:sz w:val="16"/>
          <w:szCs w:val="16"/>
        </w:rPr>
      </w:pPr>
      <w:r w:rsidRPr="007F5584">
        <w:rPr>
          <w:rStyle w:val="Odwoanieprzypisudolnego"/>
          <w:rFonts w:ascii="Times New Roman" w:hAnsi="Times New Roman"/>
          <w:sz w:val="16"/>
          <w:szCs w:val="16"/>
        </w:rPr>
        <w:footnoteRef/>
      </w:r>
      <w:r w:rsidRPr="007F5584">
        <w:rPr>
          <w:rFonts w:ascii="Times New Roman" w:hAnsi="Times New Roman"/>
          <w:sz w:val="16"/>
          <w:szCs w:val="16"/>
        </w:rPr>
        <w:t xml:space="preserve">Przedsięwzięciem rewitalizacyjnym jest działanie (w tym mające charakter ciągły), w szczególności o charakterze społecznym, ekonomicznym, urbanistycznym, budowlanym, środowiskowym, konserwatorskim, edukacyjnym, naukowym, zdrowotnym lub kulturalnym, zawarte lub wynikające z programu rewitalizacji oraz logicznie powiązane z treścią i celami programu rewitalizacji. </w:t>
      </w:r>
    </w:p>
    <w:p w:rsidR="000D717F" w:rsidRPr="007F5584" w:rsidRDefault="000D717F" w:rsidP="00A6085B">
      <w:pPr>
        <w:pStyle w:val="Tekstprzypisudolnego"/>
        <w:rPr>
          <w:rFonts w:ascii="Times New Roman" w:hAnsi="Times New Roman"/>
        </w:rPr>
      </w:pPr>
    </w:p>
  </w:footnote>
  <w:footnote w:id="6">
    <w:p w:rsidR="000D717F" w:rsidRPr="003213F8" w:rsidRDefault="000D717F" w:rsidP="00A6085B">
      <w:pPr>
        <w:pStyle w:val="Tekstprzypisudolnego"/>
        <w:rPr>
          <w:rFonts w:ascii="Times New Roman" w:hAnsi="Times New Roman"/>
          <w:sz w:val="16"/>
          <w:szCs w:val="16"/>
        </w:rPr>
      </w:pPr>
      <w:r w:rsidRPr="003213F8">
        <w:rPr>
          <w:rStyle w:val="Odwoanieprzypisudolnego"/>
          <w:rFonts w:ascii="Times New Roman" w:hAnsi="Times New Roman"/>
          <w:sz w:val="16"/>
          <w:szCs w:val="16"/>
        </w:rPr>
        <w:footnoteRef/>
      </w:r>
      <w:r w:rsidRPr="003213F8">
        <w:rPr>
          <w:rFonts w:ascii="Times New Roman" w:hAnsi="Times New Roman"/>
          <w:sz w:val="16"/>
          <w:szCs w:val="16"/>
        </w:rPr>
        <w:t xml:space="preserve"> Ustawa z dnia 9 października 2015 roku została ogłoszona w Dzienniku Ustaw Rzeczypospolitej Polskiej w dniu 3 listopada 2015 roku, wchodząc w życie po upływie 14 dni od dnia jej ogłoszenia, z wyjątkiem art. 37, wchodzącego w życie z dniem 1 stycznia 2016 roku.</w:t>
      </w:r>
    </w:p>
  </w:footnote>
  <w:footnote w:id="7">
    <w:p w:rsidR="000D717F" w:rsidRPr="007F5584" w:rsidRDefault="000D717F" w:rsidP="00A6085B">
      <w:pPr>
        <w:pStyle w:val="Tekstprzypisudolnego"/>
        <w:rPr>
          <w:rFonts w:ascii="Times New Roman" w:hAnsi="Times New Roman"/>
          <w:sz w:val="16"/>
          <w:szCs w:val="16"/>
        </w:rPr>
      </w:pPr>
      <w:r w:rsidRPr="007F5584">
        <w:rPr>
          <w:rStyle w:val="Odwoanieprzypisudolnego"/>
          <w:rFonts w:ascii="Times New Roman" w:hAnsi="Times New Roman"/>
          <w:sz w:val="16"/>
          <w:szCs w:val="16"/>
        </w:rPr>
        <w:footnoteRef/>
      </w:r>
      <w:r w:rsidRPr="007F5584">
        <w:rPr>
          <w:rFonts w:ascii="Times New Roman" w:hAnsi="Times New Roman"/>
          <w:sz w:val="16"/>
          <w:szCs w:val="16"/>
        </w:rPr>
        <w:t xml:space="preserve"> Źródło: https://www.mir.gov.pl</w:t>
      </w:r>
    </w:p>
  </w:footnote>
  <w:footnote w:id="8">
    <w:p w:rsidR="000D717F" w:rsidRPr="007F5584" w:rsidRDefault="000D717F" w:rsidP="00A6085B">
      <w:pPr>
        <w:pStyle w:val="Tekstprzypisudolnego"/>
        <w:rPr>
          <w:rFonts w:ascii="Times New Roman" w:hAnsi="Times New Roman"/>
          <w:sz w:val="16"/>
          <w:szCs w:val="16"/>
        </w:rPr>
      </w:pPr>
      <w:r w:rsidRPr="007F5584">
        <w:rPr>
          <w:rStyle w:val="Odwoanieprzypisudolnego"/>
          <w:rFonts w:ascii="Times New Roman" w:hAnsi="Times New Roman"/>
          <w:sz w:val="16"/>
          <w:szCs w:val="16"/>
        </w:rPr>
        <w:footnoteRef/>
      </w:r>
      <w:r w:rsidRPr="007F5584">
        <w:rPr>
          <w:rFonts w:ascii="Times New Roman" w:hAnsi="Times New Roman"/>
          <w:sz w:val="16"/>
          <w:szCs w:val="16"/>
        </w:rPr>
        <w:t xml:space="preserve"> Źródło: Dziennik Ustaw Rzeczypospolitej Polskiej Warszaw, dnia 3 listopada 2015 r. Poz. 1777, Ustawa z dnia 9 października 2015 r. </w:t>
      </w:r>
      <w:r>
        <w:rPr>
          <w:rFonts w:ascii="Times New Roman" w:hAnsi="Times New Roman"/>
          <w:sz w:val="16"/>
          <w:szCs w:val="16"/>
        </w:rPr>
        <w:br/>
      </w:r>
      <w:r w:rsidRPr="007F5584">
        <w:rPr>
          <w:rFonts w:ascii="Times New Roman" w:hAnsi="Times New Roman"/>
          <w:sz w:val="16"/>
          <w:szCs w:val="16"/>
        </w:rPr>
        <w:t xml:space="preserve">o rewitalizacji z dnia 9 października 2015 r. </w:t>
      </w:r>
    </w:p>
  </w:footnote>
  <w:footnote w:id="9">
    <w:p w:rsidR="000D717F" w:rsidRPr="000D1A38" w:rsidRDefault="000D717F" w:rsidP="003005F7">
      <w:pPr>
        <w:pStyle w:val="Tekstprzypisudolnego"/>
        <w:jc w:val="both"/>
      </w:pPr>
      <w:r w:rsidRPr="000D1A38">
        <w:rPr>
          <w:rStyle w:val="Odwoanieprzypisudolnego"/>
        </w:rPr>
        <w:footnoteRef/>
      </w:r>
      <w:r w:rsidRPr="000D1A38">
        <w:t xml:space="preserve"> Ustawa z dnia 8 marca 1990 r. o samorządzie gminnym (tekst jednolity Dz.U.01.142.1591 z późn.zm.)</w:t>
      </w:r>
    </w:p>
  </w:footnote>
  <w:footnote w:id="10">
    <w:p w:rsidR="000D717F" w:rsidRPr="000D1A38" w:rsidRDefault="000D717F" w:rsidP="003005F7">
      <w:pPr>
        <w:pStyle w:val="Tekstprzypisudolnego"/>
        <w:jc w:val="both"/>
      </w:pPr>
      <w:r w:rsidRPr="000D1A38">
        <w:rPr>
          <w:rStyle w:val="Odwoanieprzypisudolnego"/>
        </w:rPr>
        <w:footnoteRef/>
      </w:r>
      <w:r w:rsidRPr="000D1A38">
        <w:t xml:space="preserve"> Ustawa z dnia 5 czerwca 1998 r. o samorządzie powiatowym (Dz.U.01.142.1592 z późn.zm.)</w:t>
      </w:r>
    </w:p>
  </w:footnote>
  <w:footnote w:id="11">
    <w:p w:rsidR="000D717F" w:rsidRPr="000D1A38" w:rsidRDefault="000D717F" w:rsidP="003005F7">
      <w:pPr>
        <w:pStyle w:val="Tekstprzypisudolnego"/>
        <w:jc w:val="both"/>
      </w:pPr>
      <w:r w:rsidRPr="000D1A38">
        <w:rPr>
          <w:rStyle w:val="Odwoanieprzypisudolnego"/>
        </w:rPr>
        <w:footnoteRef/>
      </w:r>
      <w:r w:rsidRPr="000D1A38">
        <w:t xml:space="preserve"> Ustawa z dnia 5 czerwca 1998 r. o samorządzie województwa (Dz.U.01.142.1590 z późn.zm.)</w:t>
      </w:r>
    </w:p>
  </w:footnote>
  <w:footnote w:id="12">
    <w:p w:rsidR="000D717F" w:rsidRPr="000D1A38" w:rsidRDefault="000D717F" w:rsidP="003005F7">
      <w:pPr>
        <w:pStyle w:val="Tekstprzypisudolnego"/>
        <w:jc w:val="both"/>
      </w:pPr>
      <w:r w:rsidRPr="000D1A38">
        <w:rPr>
          <w:rStyle w:val="Odwoanieprzypisudolnego"/>
        </w:rPr>
        <w:footnoteRef/>
      </w:r>
      <w:r w:rsidRPr="000D1A38">
        <w:t xml:space="preserve"> Działalność komercyjna – poza sferą użyteczności publicznej – podlega ograniczeniom zarówno podmiotowym, jak i przedmiotowym. I tak, działalność ta jest w całości zabroniona powiatom oraz miastom na prawach powiatu (art. 6 ust. 2 ustawy o samorządzie powiatowym (u.s.p.) w zw. z art. 91 ust. 5 u.s.p.), a gminy </w:t>
      </w:r>
      <w:r w:rsidRPr="000D1A38">
        <w:br/>
        <w:t>i województwa mogą ją prowadzić tylko w określonych okolicznościach i tylko w formie spółek handlowych określonego typu (art. 10 ustawy o gospodarce komunalnej oraz art. 13 ust. 1 ustawy o samorządzie województwa)</w:t>
      </w:r>
    </w:p>
  </w:footnote>
  <w:footnote w:id="13">
    <w:p w:rsidR="000D717F" w:rsidRPr="000D1A38" w:rsidRDefault="000D717F" w:rsidP="003005F7">
      <w:pPr>
        <w:pStyle w:val="Tekstprzypisudolnego"/>
        <w:jc w:val="both"/>
      </w:pPr>
      <w:r w:rsidRPr="000D1A38">
        <w:rPr>
          <w:rStyle w:val="Odwoanieprzypisudolnego"/>
        </w:rPr>
        <w:footnoteRef/>
      </w:r>
      <w:r w:rsidRPr="000D1A38">
        <w:t xml:space="preserve"> Natomiast bez żadnych ograniczeń wolno gminie posiadać (ściślej: nabywać) akcje lub udziały spółek zajmujących się czynnościami bankowymi, ubezpieczeniowymi oraz działalnością doradczą, promocyjną, edukacyjną i wydawniczą na rzecz samorządu terytorialnego, a także innych spółek ważnych dla rozwoju gminy (art. 10 ust. 3 ustawy o gospodarce komunalnej)</w:t>
      </w:r>
    </w:p>
  </w:footnote>
  <w:footnote w:id="14">
    <w:p w:rsidR="000D717F" w:rsidRPr="000D1A38" w:rsidRDefault="000D717F" w:rsidP="003005F7">
      <w:pPr>
        <w:pStyle w:val="Tekstprzypisudolnego"/>
        <w:jc w:val="both"/>
      </w:pPr>
      <w:r w:rsidRPr="000D1A38">
        <w:rPr>
          <w:rStyle w:val="Odwoanieprzypisudolnego"/>
        </w:rPr>
        <w:footnoteRef/>
      </w:r>
      <w:r w:rsidRPr="000D1A38">
        <w:t xml:space="preserve"> Ustawa z dnia 27 maja 2003 roku o planowaniu i zagospodarowaniu przestrzennym (Dz. U. 03/80/717 </w:t>
      </w:r>
      <w:r w:rsidRPr="000D1A38">
        <w:br/>
        <w:t>z późn.zm.)</w:t>
      </w:r>
    </w:p>
  </w:footnote>
  <w:footnote w:id="15">
    <w:p w:rsidR="000D717F" w:rsidRDefault="000D717F" w:rsidP="003005F7">
      <w:pPr>
        <w:pStyle w:val="Tekstprzypisudolnego"/>
      </w:pPr>
      <w:r>
        <w:rPr>
          <w:rStyle w:val="Odwoanieprzypisudolnego"/>
        </w:rPr>
        <w:footnoteRef/>
      </w:r>
      <w:r>
        <w:t xml:space="preserve"> </w:t>
      </w:r>
      <w:r w:rsidRPr="006022E8">
        <w:t>Strategia Rozwoju Gminy Mirzec na lata 2013-2020</w:t>
      </w:r>
    </w:p>
  </w:footnote>
  <w:footnote w:id="16">
    <w:p w:rsidR="000D717F" w:rsidRPr="000D1A38" w:rsidRDefault="000D717F" w:rsidP="003005F7">
      <w:pPr>
        <w:pStyle w:val="Tekstprzypisudolnego"/>
        <w:jc w:val="both"/>
      </w:pPr>
      <w:r w:rsidRPr="000D1A38">
        <w:rPr>
          <w:rStyle w:val="Odwoanieprzypisudolnego"/>
        </w:rPr>
        <w:footnoteRef/>
      </w:r>
      <w:r w:rsidRPr="000D1A38">
        <w:t xml:space="preserve"> W ujęciu przedstawionym w początkowej części opracowania</w:t>
      </w:r>
    </w:p>
  </w:footnote>
  <w:footnote w:id="17">
    <w:p w:rsidR="000D717F" w:rsidRPr="000D1A38" w:rsidRDefault="000D717F" w:rsidP="003005F7">
      <w:pPr>
        <w:pStyle w:val="Tekstprzypisudolnego"/>
        <w:jc w:val="both"/>
        <w:rPr>
          <w:vertAlign w:val="superscript"/>
        </w:rPr>
      </w:pPr>
      <w:r w:rsidRPr="000D1A38">
        <w:rPr>
          <w:rStyle w:val="Odwoanieprzypisudolnego"/>
        </w:rPr>
        <w:footnoteRef/>
      </w:r>
      <w:r w:rsidRPr="000D1A38">
        <w:t xml:space="preserve"> Nie licząc obowiązku umieszczania w miejscowych planach ponadgminnych inwestycji celu publicznego</w:t>
      </w:r>
    </w:p>
  </w:footnote>
  <w:footnote w:id="18">
    <w:p w:rsidR="000D717F" w:rsidRPr="000D1A38" w:rsidRDefault="000D717F" w:rsidP="003005F7">
      <w:pPr>
        <w:pStyle w:val="Tekstprzypisudolnego"/>
        <w:jc w:val="both"/>
        <w:rPr>
          <w:vertAlign w:val="superscript"/>
        </w:rPr>
      </w:pPr>
      <w:r w:rsidRPr="000D1A38">
        <w:rPr>
          <w:rStyle w:val="Odwoanieprzypisudolnego"/>
        </w:rPr>
        <w:footnoteRef/>
      </w:r>
      <w:r w:rsidRPr="000D1A38">
        <w:t xml:space="preserve"> Ustawa z dnia 5 czerwca 1998 r. o samorządzie województwa (Dz.U.01.142.1590 z późn.zm.)</w:t>
      </w:r>
    </w:p>
  </w:footnote>
  <w:footnote w:id="19">
    <w:p w:rsidR="000D717F" w:rsidRPr="000D1A38" w:rsidRDefault="000D717F" w:rsidP="003005F7">
      <w:pPr>
        <w:pStyle w:val="Tekstprzypisudolnego"/>
        <w:jc w:val="both"/>
        <w:rPr>
          <w:vertAlign w:val="superscript"/>
        </w:rPr>
      </w:pPr>
      <w:r w:rsidRPr="000D1A38">
        <w:rPr>
          <w:rStyle w:val="Odwoanieprzypisudolnego"/>
        </w:rPr>
        <w:footnoteRef/>
      </w:r>
      <w:r w:rsidRPr="000D1A38">
        <w:t xml:space="preserve"> Ustawa z dnia 8 marca 1990 o samorządzie gminnym (Dz.U. 1990 Nr 16, poz. 95 z późn.zm.)</w:t>
      </w:r>
    </w:p>
  </w:footnote>
  <w:footnote w:id="20">
    <w:p w:rsidR="000D717F" w:rsidRPr="007D3FE5" w:rsidRDefault="000D717F" w:rsidP="003005F7">
      <w:pPr>
        <w:widowControl w:val="0"/>
        <w:overflowPunct w:val="0"/>
        <w:autoSpaceDE w:val="0"/>
        <w:autoSpaceDN w:val="0"/>
        <w:adjustRightInd w:val="0"/>
        <w:spacing w:after="0" w:line="240" w:lineRule="auto"/>
        <w:jc w:val="both"/>
        <w:rPr>
          <w:sz w:val="20"/>
          <w:szCs w:val="20"/>
          <w:vertAlign w:val="superscript"/>
        </w:rPr>
      </w:pPr>
      <w:r w:rsidRPr="007D3FE5">
        <w:rPr>
          <w:rStyle w:val="Odwoanieprzypisudolnego"/>
          <w:sz w:val="20"/>
          <w:szCs w:val="20"/>
        </w:rPr>
        <w:footnoteRef/>
      </w:r>
      <w:r w:rsidRPr="007D3FE5">
        <w:rPr>
          <w:sz w:val="20"/>
          <w:szCs w:val="20"/>
        </w:rPr>
        <w:t xml:space="preserve"> Ustawa z dnia </w:t>
      </w:r>
      <w:r>
        <w:rPr>
          <w:sz w:val="20"/>
          <w:szCs w:val="20"/>
        </w:rPr>
        <w:t>12</w:t>
      </w:r>
      <w:r w:rsidRPr="007D3FE5">
        <w:rPr>
          <w:sz w:val="20"/>
          <w:szCs w:val="20"/>
        </w:rPr>
        <w:t xml:space="preserve"> </w:t>
      </w:r>
      <w:r>
        <w:rPr>
          <w:sz w:val="20"/>
          <w:szCs w:val="20"/>
        </w:rPr>
        <w:t>marca</w:t>
      </w:r>
      <w:r w:rsidRPr="007D3FE5">
        <w:rPr>
          <w:sz w:val="20"/>
          <w:szCs w:val="20"/>
        </w:rPr>
        <w:t xml:space="preserve"> </w:t>
      </w:r>
      <w:r>
        <w:rPr>
          <w:sz w:val="20"/>
          <w:szCs w:val="20"/>
        </w:rPr>
        <w:t>2004</w:t>
      </w:r>
      <w:r w:rsidRPr="007D3FE5">
        <w:rPr>
          <w:sz w:val="20"/>
          <w:szCs w:val="20"/>
        </w:rPr>
        <w:t xml:space="preserve"> r. o </w:t>
      </w:r>
      <w:r>
        <w:rPr>
          <w:sz w:val="20"/>
          <w:szCs w:val="20"/>
        </w:rPr>
        <w:t>pomocy społecznej</w:t>
      </w:r>
      <w:r w:rsidRPr="007D3FE5">
        <w:rPr>
          <w:sz w:val="20"/>
          <w:szCs w:val="20"/>
        </w:rPr>
        <w:t xml:space="preserve"> </w:t>
      </w:r>
      <w:r w:rsidRPr="00CA5A68">
        <w:rPr>
          <w:sz w:val="20"/>
          <w:szCs w:val="20"/>
        </w:rPr>
        <w:t>(Dz. U. z 2015 r. , poz. 163</w:t>
      </w:r>
      <w:r>
        <w:rPr>
          <w:sz w:val="20"/>
          <w:szCs w:val="20"/>
        </w:rPr>
        <w:t>,</w:t>
      </w:r>
      <w:r w:rsidRPr="009A092A">
        <w:t xml:space="preserve"> </w:t>
      </w:r>
      <w:r w:rsidRPr="009A092A">
        <w:rPr>
          <w:sz w:val="20"/>
          <w:szCs w:val="20"/>
        </w:rPr>
        <w:t>693, 1045.</w:t>
      </w:r>
      <w:r w:rsidRPr="00CA5A68">
        <w:rPr>
          <w:sz w:val="20"/>
          <w:szCs w:val="20"/>
        </w:rPr>
        <w:t>)</w:t>
      </w:r>
    </w:p>
  </w:footnote>
  <w:footnote w:id="21">
    <w:p w:rsidR="000D717F" w:rsidRPr="009A092A" w:rsidRDefault="000D717F" w:rsidP="003005F7">
      <w:pPr>
        <w:widowControl w:val="0"/>
        <w:overflowPunct w:val="0"/>
        <w:autoSpaceDE w:val="0"/>
        <w:autoSpaceDN w:val="0"/>
        <w:adjustRightInd w:val="0"/>
        <w:spacing w:after="0" w:line="183" w:lineRule="auto"/>
        <w:jc w:val="both"/>
        <w:rPr>
          <w:sz w:val="20"/>
          <w:szCs w:val="20"/>
        </w:rPr>
      </w:pPr>
      <w:r w:rsidRPr="007D3FE5">
        <w:rPr>
          <w:rStyle w:val="Odwoanieprzypisudolnego"/>
          <w:sz w:val="20"/>
          <w:szCs w:val="20"/>
        </w:rPr>
        <w:footnoteRef/>
      </w:r>
      <w:r w:rsidRPr="007D3FE5">
        <w:rPr>
          <w:sz w:val="20"/>
          <w:szCs w:val="20"/>
        </w:rPr>
        <w:t xml:space="preserve"> </w:t>
      </w:r>
      <w:r>
        <w:rPr>
          <w:sz w:val="20"/>
          <w:szCs w:val="20"/>
        </w:rPr>
        <w:t xml:space="preserve">z dnia 20 kwietnia 2004 r. </w:t>
      </w:r>
      <w:r w:rsidRPr="009A092A">
        <w:rPr>
          <w:sz w:val="20"/>
          <w:szCs w:val="20"/>
        </w:rPr>
        <w:t xml:space="preserve">o promocji zatrudnienia i instytucjach rynku pracy </w:t>
      </w:r>
      <w:r>
        <w:rPr>
          <w:sz w:val="20"/>
          <w:szCs w:val="20"/>
        </w:rPr>
        <w:t>(</w:t>
      </w:r>
      <w:r w:rsidRPr="009A092A">
        <w:rPr>
          <w:sz w:val="20"/>
          <w:szCs w:val="20"/>
        </w:rPr>
        <w:t>Dz. U. z 2015 r. poz. 149, 357, 1066, 1217, 1240, 1268, 1567, 1582, 1607.</w:t>
      </w:r>
      <w:r>
        <w:rPr>
          <w:sz w:val="20"/>
          <w:szCs w:val="20"/>
        </w:rPr>
        <w:t>)</w:t>
      </w:r>
    </w:p>
    <w:p w:rsidR="000D717F" w:rsidRPr="007D3FE5" w:rsidRDefault="000D717F" w:rsidP="003005F7">
      <w:pPr>
        <w:pStyle w:val="Tekstprzypisudolnego"/>
        <w:jc w:val="both"/>
      </w:pPr>
    </w:p>
  </w:footnote>
  <w:footnote w:id="22">
    <w:p w:rsidR="000D717F" w:rsidRPr="007D3FE5" w:rsidRDefault="000D717F" w:rsidP="00B46559">
      <w:pPr>
        <w:pStyle w:val="Tekstprzypisudolnego"/>
        <w:jc w:val="both"/>
      </w:pPr>
      <w:r w:rsidRPr="007D3FE5">
        <w:rPr>
          <w:rStyle w:val="Odwoanieprzypisudolnego"/>
        </w:rPr>
        <w:footnoteRef/>
      </w:r>
      <w:r w:rsidRPr="007D3FE5">
        <w:t xml:space="preserve"> „Rewitalizacja obszarów zdegradowanych w miastach – propozycje zmian prawnych Część I” Instytut Rozwoju Miast, Kraków styczeń 2013 r.</w:t>
      </w:r>
    </w:p>
  </w:footnote>
  <w:footnote w:id="23">
    <w:p w:rsidR="000D717F" w:rsidRDefault="000D717F" w:rsidP="00EE0C8C">
      <w:pPr>
        <w:pStyle w:val="Tekstprzypisudolnego"/>
      </w:pPr>
      <w:r>
        <w:rPr>
          <w:rStyle w:val="Odwoanieprzypisudolnego"/>
        </w:rPr>
        <w:footnoteRef/>
      </w:r>
      <w:r w:rsidRPr="006C5CF7">
        <w:t>http://www.gopsmirzec.strefa.pl/o-o-rodku.html</w:t>
      </w:r>
    </w:p>
  </w:footnote>
  <w:footnote w:id="24">
    <w:p w:rsidR="000D717F" w:rsidRPr="00D330AF" w:rsidRDefault="000D717F" w:rsidP="00EE0C8C">
      <w:pPr>
        <w:pStyle w:val="Tekstprzypisudolnego"/>
        <w:rPr>
          <w:bCs/>
        </w:rPr>
      </w:pPr>
      <w:r w:rsidRPr="007D3FE5">
        <w:rPr>
          <w:rStyle w:val="Odwoanieprzypisudolnego"/>
        </w:rPr>
        <w:footnoteRef/>
      </w:r>
      <w:r w:rsidRPr="007D3FE5">
        <w:t xml:space="preserve"> „</w:t>
      </w:r>
      <w:r w:rsidRPr="007D3FE5">
        <w:rPr>
          <w:bCs/>
        </w:rPr>
        <w:t>Metody formułowania strategii rozwoju gmin w Polsce”, Rozprawa doktorska, Tom I, mgr Andrzej Węgrzyn, Opiekun naukowy prof. zw. dr hab. Bogumił Bernaś, Akademia Ekonomiczna we Wrocławiu im. Oskara Langego Wydział Zarządzania i Informatyki Instytut Zarządzania Finansami Katedra Zarządzania Finansami Przedsiębiorstwa, Wrocław, marzec 2004 r</w:t>
      </w:r>
      <w:r>
        <w:rPr>
          <w:bCs/>
        </w:rPr>
        <w:t>.</w:t>
      </w:r>
    </w:p>
  </w:footnote>
  <w:footnote w:id="25">
    <w:p w:rsidR="000D717F" w:rsidRPr="00D15439" w:rsidRDefault="000D717F" w:rsidP="00EE0C8C">
      <w:pPr>
        <w:pStyle w:val="Tekstprzypisudolnego"/>
      </w:pPr>
      <w:r w:rsidRPr="00D15439">
        <w:rPr>
          <w:rStyle w:val="Odwoanieprzypisudolnego"/>
        </w:rPr>
        <w:footnoteRef/>
      </w:r>
      <w:r w:rsidRPr="00D15439">
        <w:t xml:space="preserve"> Wytyczne w zakresie rewitalizacji w programach operacyjnych na lata 2014-2020 Minister Infrastruktury </w:t>
      </w:r>
      <w:r>
        <w:br/>
      </w:r>
      <w:r w:rsidRPr="00D15439">
        <w:t>i Rozwoju Warszawa, 3 lipca 2015 r.</w:t>
      </w:r>
    </w:p>
  </w:footnote>
  <w:footnote w:id="26">
    <w:p w:rsidR="000D717F" w:rsidRPr="00D15439" w:rsidRDefault="000D717F" w:rsidP="00EE0C8C">
      <w:pPr>
        <w:pStyle w:val="Tekstprzypisudolnego"/>
      </w:pPr>
      <w:r w:rsidRPr="00D15439">
        <w:rPr>
          <w:rStyle w:val="Odwoanieprzypisudolnego"/>
        </w:rPr>
        <w:footnoteRef/>
      </w:r>
      <w:r w:rsidRPr="00D15439">
        <w:t xml:space="preserve"> </w:t>
      </w:r>
      <w:r>
        <w:t>Ustawa o rewitalizacji z dnia 9</w:t>
      </w:r>
      <w:r w:rsidRPr="00D15439">
        <w:t xml:space="preserve"> </w:t>
      </w:r>
      <w:r>
        <w:t>października</w:t>
      </w:r>
      <w:r w:rsidRPr="00D15439">
        <w:t xml:space="preserve"> 2015 r</w:t>
      </w:r>
      <w:r>
        <w:t>.</w:t>
      </w:r>
    </w:p>
  </w:footnote>
  <w:footnote w:id="27">
    <w:p w:rsidR="000D717F" w:rsidRDefault="000D717F" w:rsidP="00EE0C8C">
      <w:pPr>
        <w:pStyle w:val="Tekstprzypisudolnego"/>
      </w:pPr>
      <w:r>
        <w:rPr>
          <w:rStyle w:val="Odwoanieprzypisudolnego"/>
        </w:rPr>
        <w:footnoteRef/>
      </w:r>
      <w:r>
        <w:t xml:space="preserve"> Ustawa o rewitalizacji z dnia 9 października 2015r.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58" w:type="dxa"/>
        <w:left w:w="115" w:type="dxa"/>
        <w:bottom w:w="58" w:type="dxa"/>
        <w:right w:w="115" w:type="dxa"/>
      </w:tblCellMar>
      <w:tblLook w:val="04A0" w:firstRow="1" w:lastRow="0" w:firstColumn="1" w:lastColumn="0" w:noHBand="0" w:noVBand="1"/>
    </w:tblPr>
    <w:tblGrid>
      <w:gridCol w:w="1395"/>
      <w:gridCol w:w="7907"/>
    </w:tblGrid>
    <w:tr w:rsidR="000D717F">
      <w:tc>
        <w:tcPr>
          <w:tcW w:w="750" w:type="pct"/>
          <w:tcBorders>
            <w:right w:val="single" w:sz="18" w:space="0" w:color="4F81BD" w:themeColor="accent1"/>
          </w:tcBorders>
        </w:tcPr>
        <w:p w:rsidR="000D717F" w:rsidRDefault="000D717F">
          <w:pPr>
            <w:pStyle w:val="Nagwek"/>
          </w:pPr>
          <w:r w:rsidRPr="00930B69">
            <w:rPr>
              <w:rFonts w:ascii="Calibri" w:eastAsia="Calibri" w:hAnsi="Calibri" w:cs="Times New Roman"/>
              <w:noProof/>
              <w:lang w:eastAsia="pl-PL"/>
            </w:rPr>
            <w:drawing>
              <wp:anchor distT="0" distB="0" distL="114300" distR="114300" simplePos="0" relativeHeight="251661312" behindDoc="0" locked="0" layoutInCell="1" allowOverlap="1" wp14:anchorId="7F7107A3" wp14:editId="2E3EFE7D">
                <wp:simplePos x="0" y="0"/>
                <wp:positionH relativeFrom="column">
                  <wp:posOffset>237036</wp:posOffset>
                </wp:positionH>
                <wp:positionV relativeFrom="paragraph">
                  <wp:posOffset>-130885</wp:posOffset>
                </wp:positionV>
                <wp:extent cx="509114" cy="558140"/>
                <wp:effectExtent l="0" t="0" r="0" b="0"/>
                <wp:wrapNone/>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9114" cy="558140"/>
                        </a:xfrm>
                        <a:prstGeom prst="rect">
                          <a:avLst/>
                        </a:prstGeom>
                        <a:noFill/>
                        <a:ln>
                          <a:noFill/>
                        </a:ln>
                      </pic:spPr>
                    </pic:pic>
                  </a:graphicData>
                </a:graphic>
              </wp:anchor>
            </w:drawing>
          </w:r>
        </w:p>
      </w:tc>
      <w:sdt>
        <w:sdtPr>
          <w:rPr>
            <w:rFonts w:ascii="Cambria" w:hAnsi="Cambria"/>
            <w:color w:val="4F81BD" w:themeColor="accent1"/>
            <w:sz w:val="24"/>
            <w:szCs w:val="24"/>
          </w:rPr>
          <w:alias w:val="Tytuł"/>
          <w:id w:val="448051422"/>
          <w:dataBinding w:prefixMappings="xmlns:ns0='http://schemas.openxmlformats.org/package/2006/metadata/core-properties' xmlns:ns1='http://purl.org/dc/elements/1.1/'" w:xpath="/ns0:coreProperties[1]/ns1:title[1]" w:storeItemID="{6C3C8BC8-F283-45AE-878A-BAB7291924A1}"/>
          <w:text/>
        </w:sdtPr>
        <w:sdtContent>
          <w:tc>
            <w:tcPr>
              <w:tcW w:w="4250" w:type="pct"/>
              <w:tcBorders>
                <w:left w:val="single" w:sz="18" w:space="0" w:color="4F81BD" w:themeColor="accent1"/>
              </w:tcBorders>
            </w:tcPr>
            <w:p w:rsidR="000D717F" w:rsidRDefault="000D717F">
              <w:pPr>
                <w:pStyle w:val="Nagwek"/>
                <w:rPr>
                  <w:rFonts w:asciiTheme="majorHAnsi" w:eastAsiaTheme="majorEastAsia" w:hAnsiTheme="majorHAnsi" w:cstheme="majorBidi"/>
                  <w:color w:val="4F81BD" w:themeColor="accent1"/>
                  <w:sz w:val="24"/>
                  <w:szCs w:val="24"/>
                </w:rPr>
              </w:pPr>
              <w:r>
                <w:rPr>
                  <w:rFonts w:ascii="Cambria" w:hAnsi="Cambria"/>
                  <w:color w:val="4F81BD" w:themeColor="accent1"/>
                  <w:sz w:val="24"/>
                  <w:szCs w:val="24"/>
                </w:rPr>
                <w:t>GMINNY PROGRAM REWITALIZACJI DLA GMINY MIRZEC                             NA LATA 2016-2022</w:t>
              </w:r>
            </w:p>
          </w:tc>
        </w:sdtContent>
      </w:sdt>
    </w:tr>
  </w:tbl>
  <w:p w:rsidR="000D717F" w:rsidRDefault="000D717F">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58" w:type="dxa"/>
        <w:left w:w="115" w:type="dxa"/>
        <w:bottom w:w="58" w:type="dxa"/>
        <w:right w:w="115" w:type="dxa"/>
      </w:tblCellMar>
      <w:tblLook w:val="04A0" w:firstRow="1" w:lastRow="0" w:firstColumn="1" w:lastColumn="0" w:noHBand="0" w:noVBand="1"/>
    </w:tblPr>
    <w:tblGrid>
      <w:gridCol w:w="1395"/>
      <w:gridCol w:w="7907"/>
    </w:tblGrid>
    <w:tr w:rsidR="000D717F">
      <w:tc>
        <w:tcPr>
          <w:tcW w:w="750" w:type="pct"/>
          <w:tcBorders>
            <w:right w:val="single" w:sz="18" w:space="0" w:color="4F81BD" w:themeColor="accent1"/>
          </w:tcBorders>
        </w:tcPr>
        <w:p w:rsidR="000D717F" w:rsidRDefault="000D717F">
          <w:pPr>
            <w:pStyle w:val="Nagwek"/>
          </w:pPr>
          <w:r w:rsidRPr="00196BCD">
            <w:rPr>
              <w:rFonts w:ascii="Calibri" w:eastAsia="Calibri" w:hAnsi="Calibri" w:cs="Times New Roman"/>
              <w:noProof/>
              <w:lang w:eastAsia="pl-PL"/>
            </w:rPr>
            <w:drawing>
              <wp:anchor distT="0" distB="0" distL="114300" distR="114300" simplePos="0" relativeHeight="251663360" behindDoc="0" locked="0" layoutInCell="1" allowOverlap="1" wp14:anchorId="0C9B9FE8" wp14:editId="49523224">
                <wp:simplePos x="0" y="0"/>
                <wp:positionH relativeFrom="column">
                  <wp:posOffset>201543</wp:posOffset>
                </wp:positionH>
                <wp:positionV relativeFrom="paragraph">
                  <wp:posOffset>-144145</wp:posOffset>
                </wp:positionV>
                <wp:extent cx="509114" cy="558140"/>
                <wp:effectExtent l="0" t="0" r="5715" b="0"/>
                <wp:wrapNone/>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9114" cy="558140"/>
                        </a:xfrm>
                        <a:prstGeom prst="rect">
                          <a:avLst/>
                        </a:prstGeom>
                        <a:noFill/>
                        <a:ln>
                          <a:noFill/>
                        </a:ln>
                      </pic:spPr>
                    </pic:pic>
                  </a:graphicData>
                </a:graphic>
              </wp:anchor>
            </w:drawing>
          </w:r>
        </w:p>
      </w:tc>
      <w:sdt>
        <w:sdtPr>
          <w:rPr>
            <w:rFonts w:asciiTheme="majorHAnsi" w:eastAsiaTheme="majorEastAsia" w:hAnsiTheme="majorHAnsi" w:cstheme="majorBidi"/>
            <w:color w:val="4F81BD" w:themeColor="accent1"/>
            <w:sz w:val="24"/>
            <w:szCs w:val="24"/>
          </w:rPr>
          <w:alias w:val="Tytuł"/>
          <w:id w:val="1488355848"/>
          <w:dataBinding w:prefixMappings="xmlns:ns0='http://schemas.openxmlformats.org/package/2006/metadata/core-properties' xmlns:ns1='http://purl.org/dc/elements/1.1/'" w:xpath="/ns0:coreProperties[1]/ns1:title[1]" w:storeItemID="{6C3C8BC8-F283-45AE-878A-BAB7291924A1}"/>
          <w:text/>
        </w:sdtPr>
        <w:sdtContent>
          <w:tc>
            <w:tcPr>
              <w:tcW w:w="4250" w:type="pct"/>
              <w:tcBorders>
                <w:left w:val="single" w:sz="18" w:space="0" w:color="4F81BD" w:themeColor="accent1"/>
              </w:tcBorders>
            </w:tcPr>
            <w:p w:rsidR="000D717F" w:rsidRDefault="000D717F">
              <w:pPr>
                <w:pStyle w:val="Nagwek"/>
                <w:rPr>
                  <w:rFonts w:asciiTheme="majorHAnsi" w:eastAsiaTheme="majorEastAsia" w:hAnsiTheme="majorHAnsi" w:cstheme="majorBidi"/>
                  <w:color w:val="4F81BD" w:themeColor="accent1"/>
                  <w:sz w:val="24"/>
                  <w:szCs w:val="24"/>
                </w:rPr>
              </w:pPr>
              <w:r>
                <w:rPr>
                  <w:rFonts w:asciiTheme="majorHAnsi" w:eastAsiaTheme="majorEastAsia" w:hAnsiTheme="majorHAnsi" w:cstheme="majorBidi"/>
                  <w:color w:val="4F81BD" w:themeColor="accent1"/>
                  <w:sz w:val="24"/>
                  <w:szCs w:val="24"/>
                </w:rPr>
                <w:t>GMINNY PROGRAM REWITALIZACJI DLA GMINY MIRZEC                             NA LATA 2016-2022</w:t>
              </w:r>
            </w:p>
          </w:tc>
        </w:sdtContent>
      </w:sdt>
    </w:tr>
  </w:tbl>
  <w:p w:rsidR="000D717F" w:rsidRDefault="000D717F">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58" w:type="dxa"/>
        <w:left w:w="115" w:type="dxa"/>
        <w:bottom w:w="58" w:type="dxa"/>
        <w:right w:w="115" w:type="dxa"/>
      </w:tblCellMar>
      <w:tblLook w:val="04A0" w:firstRow="1" w:lastRow="0" w:firstColumn="1" w:lastColumn="0" w:noHBand="0" w:noVBand="1"/>
    </w:tblPr>
    <w:tblGrid>
      <w:gridCol w:w="1395"/>
      <w:gridCol w:w="7907"/>
    </w:tblGrid>
    <w:tr w:rsidR="000D717F">
      <w:tc>
        <w:tcPr>
          <w:tcW w:w="750" w:type="pct"/>
          <w:tcBorders>
            <w:right w:val="single" w:sz="18" w:space="0" w:color="4F81BD" w:themeColor="accent1"/>
          </w:tcBorders>
        </w:tcPr>
        <w:p w:rsidR="000D717F" w:rsidRDefault="000D717F">
          <w:pPr>
            <w:pStyle w:val="Nagwek"/>
          </w:pPr>
          <w:r w:rsidRPr="002335E9">
            <w:rPr>
              <w:rFonts w:ascii="Calibri" w:eastAsia="Calibri" w:hAnsi="Calibri" w:cs="Times New Roman"/>
              <w:noProof/>
              <w:lang w:eastAsia="pl-PL"/>
            </w:rPr>
            <w:drawing>
              <wp:anchor distT="0" distB="0" distL="114300" distR="114300" simplePos="0" relativeHeight="251665408" behindDoc="0" locked="0" layoutInCell="1" allowOverlap="1" wp14:anchorId="715A6505" wp14:editId="33E257C5">
                <wp:simplePos x="0" y="0"/>
                <wp:positionH relativeFrom="column">
                  <wp:posOffset>174879</wp:posOffset>
                </wp:positionH>
                <wp:positionV relativeFrom="paragraph">
                  <wp:posOffset>-168663</wp:posOffset>
                </wp:positionV>
                <wp:extent cx="509114" cy="558140"/>
                <wp:effectExtent l="0" t="0" r="5715" b="0"/>
                <wp:wrapNone/>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9114" cy="558140"/>
                        </a:xfrm>
                        <a:prstGeom prst="rect">
                          <a:avLst/>
                        </a:prstGeom>
                        <a:noFill/>
                        <a:ln>
                          <a:noFill/>
                        </a:ln>
                      </pic:spPr>
                    </pic:pic>
                  </a:graphicData>
                </a:graphic>
              </wp:anchor>
            </w:drawing>
          </w:r>
        </w:p>
      </w:tc>
      <w:sdt>
        <w:sdtPr>
          <w:rPr>
            <w:rFonts w:asciiTheme="majorHAnsi" w:eastAsiaTheme="majorEastAsia" w:hAnsiTheme="majorHAnsi" w:cstheme="majorBidi"/>
            <w:color w:val="4F81BD" w:themeColor="accent1"/>
            <w:sz w:val="24"/>
            <w:szCs w:val="24"/>
          </w:rPr>
          <w:alias w:val="Tytuł"/>
          <w:id w:val="-247967870"/>
          <w:dataBinding w:prefixMappings="xmlns:ns0='http://schemas.openxmlformats.org/package/2006/metadata/core-properties' xmlns:ns1='http://purl.org/dc/elements/1.1/'" w:xpath="/ns0:coreProperties[1]/ns1:title[1]" w:storeItemID="{6C3C8BC8-F283-45AE-878A-BAB7291924A1}"/>
          <w:text/>
        </w:sdtPr>
        <w:sdtContent>
          <w:tc>
            <w:tcPr>
              <w:tcW w:w="4250" w:type="pct"/>
              <w:tcBorders>
                <w:left w:val="single" w:sz="18" w:space="0" w:color="4F81BD" w:themeColor="accent1"/>
              </w:tcBorders>
            </w:tcPr>
            <w:p w:rsidR="000D717F" w:rsidRDefault="000D717F" w:rsidP="00A76BDB">
              <w:pPr>
                <w:pStyle w:val="Nagwek"/>
                <w:rPr>
                  <w:rFonts w:asciiTheme="majorHAnsi" w:eastAsiaTheme="majorEastAsia" w:hAnsiTheme="majorHAnsi" w:cstheme="majorBidi"/>
                  <w:color w:val="4F81BD" w:themeColor="accent1"/>
                  <w:sz w:val="24"/>
                  <w:szCs w:val="24"/>
                </w:rPr>
              </w:pPr>
              <w:r>
                <w:rPr>
                  <w:rFonts w:asciiTheme="majorHAnsi" w:eastAsiaTheme="majorEastAsia" w:hAnsiTheme="majorHAnsi" w:cstheme="majorBidi"/>
                  <w:color w:val="4F81BD" w:themeColor="accent1"/>
                  <w:sz w:val="24"/>
                  <w:szCs w:val="24"/>
                </w:rPr>
                <w:t>GMINNY PROGRAM REWITALIZACJI DLA GMINY MIRZEC                             NA LATA 2016-2022</w:t>
              </w:r>
            </w:p>
          </w:tc>
        </w:sdtContent>
      </w:sdt>
    </w:tr>
  </w:tbl>
  <w:p w:rsidR="000D717F" w:rsidRDefault="000D717F">
    <w:pPr>
      <w:pStyle w:val="Nagwek"/>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58" w:type="dxa"/>
        <w:left w:w="115" w:type="dxa"/>
        <w:bottom w:w="58" w:type="dxa"/>
        <w:right w:w="115" w:type="dxa"/>
      </w:tblCellMar>
      <w:tblLook w:val="04A0" w:firstRow="1" w:lastRow="0" w:firstColumn="1" w:lastColumn="0" w:noHBand="0" w:noVBand="1"/>
    </w:tblPr>
    <w:tblGrid>
      <w:gridCol w:w="1395"/>
      <w:gridCol w:w="7907"/>
    </w:tblGrid>
    <w:tr w:rsidR="000D717F">
      <w:tc>
        <w:tcPr>
          <w:tcW w:w="750" w:type="pct"/>
          <w:tcBorders>
            <w:right w:val="single" w:sz="18" w:space="0" w:color="4F81BD" w:themeColor="accent1"/>
          </w:tcBorders>
        </w:tcPr>
        <w:p w:rsidR="000D717F" w:rsidRDefault="000D717F">
          <w:pPr>
            <w:pStyle w:val="Nagwek"/>
          </w:pPr>
          <w:r w:rsidRPr="00BC1ECD">
            <w:rPr>
              <w:noProof/>
              <w:lang w:eastAsia="pl-PL"/>
            </w:rPr>
            <w:drawing>
              <wp:anchor distT="0" distB="0" distL="114300" distR="114300" simplePos="0" relativeHeight="251659264" behindDoc="0" locked="0" layoutInCell="1" allowOverlap="1">
                <wp:simplePos x="0" y="0"/>
                <wp:positionH relativeFrom="column">
                  <wp:posOffset>215578</wp:posOffset>
                </wp:positionH>
                <wp:positionV relativeFrom="paragraph">
                  <wp:posOffset>-128905</wp:posOffset>
                </wp:positionV>
                <wp:extent cx="509114" cy="558140"/>
                <wp:effectExtent l="0" t="0" r="5715"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9114" cy="558140"/>
                        </a:xfrm>
                        <a:prstGeom prst="rect">
                          <a:avLst/>
                        </a:prstGeom>
                        <a:noFill/>
                        <a:ln>
                          <a:noFill/>
                        </a:ln>
                      </pic:spPr>
                    </pic:pic>
                  </a:graphicData>
                </a:graphic>
              </wp:anchor>
            </w:drawing>
          </w:r>
        </w:p>
      </w:tc>
      <w:sdt>
        <w:sdtPr>
          <w:rPr>
            <w:rFonts w:ascii="Cambria" w:hAnsi="Cambria"/>
            <w:color w:val="4F81BD" w:themeColor="accent1"/>
            <w:sz w:val="24"/>
            <w:szCs w:val="24"/>
          </w:rPr>
          <w:alias w:val="Tytuł"/>
          <w:id w:val="77580493"/>
          <w:dataBinding w:prefixMappings="xmlns:ns0='http://schemas.openxmlformats.org/package/2006/metadata/core-properties' xmlns:ns1='http://purl.org/dc/elements/1.1/'" w:xpath="/ns0:coreProperties[1]/ns1:title[1]" w:storeItemID="{6C3C8BC8-F283-45AE-878A-BAB7291924A1}"/>
          <w:text/>
        </w:sdtPr>
        <w:sdtContent>
          <w:tc>
            <w:tcPr>
              <w:tcW w:w="4250" w:type="pct"/>
              <w:tcBorders>
                <w:left w:val="single" w:sz="18" w:space="0" w:color="4F81BD" w:themeColor="accent1"/>
              </w:tcBorders>
            </w:tcPr>
            <w:p w:rsidR="000D717F" w:rsidRDefault="000D717F" w:rsidP="002549D9">
              <w:pPr>
                <w:pStyle w:val="Nagwek"/>
                <w:rPr>
                  <w:rFonts w:asciiTheme="majorHAnsi" w:eastAsiaTheme="majorEastAsia" w:hAnsiTheme="majorHAnsi" w:cstheme="majorBidi"/>
                  <w:color w:val="4F81BD" w:themeColor="accent1"/>
                  <w:sz w:val="24"/>
                  <w:szCs w:val="24"/>
                </w:rPr>
              </w:pPr>
              <w:r w:rsidRPr="002549D9">
                <w:rPr>
                  <w:rFonts w:ascii="Cambria" w:hAnsi="Cambria"/>
                  <w:color w:val="4F81BD" w:themeColor="accent1"/>
                  <w:sz w:val="24"/>
                  <w:szCs w:val="24"/>
                </w:rPr>
                <w:t>GMINNY PROGRAM REWITALIZACJI DLA GMINY MIRZEC                             NA LATA 2016-2022</w:t>
              </w:r>
            </w:p>
          </w:tc>
        </w:sdtContent>
      </w:sdt>
    </w:tr>
  </w:tbl>
  <w:p w:rsidR="000D717F" w:rsidRDefault="000D717F">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11.2pt;height:11.2pt" o:bullet="t">
        <v:imagedata r:id="rId1" o:title="msoD439"/>
      </v:shape>
    </w:pict>
  </w:numPicBullet>
  <w:abstractNum w:abstractNumId="0">
    <w:nsid w:val="021D3E5B"/>
    <w:multiLevelType w:val="hybridMultilevel"/>
    <w:tmpl w:val="B2421806"/>
    <w:lvl w:ilvl="0" w:tplc="FFFFFFFF">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3811D6D"/>
    <w:multiLevelType w:val="hybridMultilevel"/>
    <w:tmpl w:val="A6602A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88A48CB"/>
    <w:multiLevelType w:val="hybridMultilevel"/>
    <w:tmpl w:val="06FE92D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8CF1160"/>
    <w:multiLevelType w:val="hybridMultilevel"/>
    <w:tmpl w:val="3D8A4CC2"/>
    <w:lvl w:ilvl="0" w:tplc="2F58C230">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nsid w:val="09B3471A"/>
    <w:multiLevelType w:val="hybridMultilevel"/>
    <w:tmpl w:val="98522E1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A785A87"/>
    <w:multiLevelType w:val="hybridMultilevel"/>
    <w:tmpl w:val="4B2EA6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B3641FB"/>
    <w:multiLevelType w:val="hybridMultilevel"/>
    <w:tmpl w:val="0CF440BC"/>
    <w:lvl w:ilvl="0" w:tplc="21F4E6DA">
      <w:numFmt w:val="bullet"/>
      <w:lvlText w:val="•"/>
      <w:lvlJc w:val="left"/>
      <w:pPr>
        <w:ind w:left="1065" w:hanging="705"/>
      </w:pPr>
      <w:rPr>
        <w:rFonts w:ascii="Calibri" w:eastAsiaTheme="minorHAnsi" w:hAnsi="Calibri"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CAF4973"/>
    <w:multiLevelType w:val="hybridMultilevel"/>
    <w:tmpl w:val="771834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1A34B2D"/>
    <w:multiLevelType w:val="hybridMultilevel"/>
    <w:tmpl w:val="642EA65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30852C8"/>
    <w:multiLevelType w:val="hybridMultilevel"/>
    <w:tmpl w:val="F13ACA70"/>
    <w:lvl w:ilvl="0" w:tplc="FFFFFFFF">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31D032B"/>
    <w:multiLevelType w:val="hybridMultilevel"/>
    <w:tmpl w:val="1F1240C4"/>
    <w:lvl w:ilvl="0" w:tplc="F6221878">
      <w:start w:val="1"/>
      <w:numFmt w:val="decimal"/>
      <w:lvlText w:val="%1)"/>
      <w:lvlJc w:val="left"/>
      <w:pPr>
        <w:ind w:left="360" w:hanging="360"/>
      </w:pPr>
      <w:rPr>
        <w:rFonts w:hint="default"/>
        <w:sz w:val="22"/>
        <w:szCs w:val="22"/>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nsid w:val="13D90EDC"/>
    <w:multiLevelType w:val="hybridMultilevel"/>
    <w:tmpl w:val="112E50A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61D1935"/>
    <w:multiLevelType w:val="hybridMultilevel"/>
    <w:tmpl w:val="070CC80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6672A12"/>
    <w:multiLevelType w:val="hybridMultilevel"/>
    <w:tmpl w:val="7D1E46BE"/>
    <w:lvl w:ilvl="0" w:tplc="FFFFFFFF">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16E61DAA"/>
    <w:multiLevelType w:val="hybridMultilevel"/>
    <w:tmpl w:val="667C0890"/>
    <w:lvl w:ilvl="0" w:tplc="B934A514">
      <w:start w:val="1"/>
      <w:numFmt w:val="decimal"/>
      <w:lvlText w:val="%1."/>
      <w:lvlJc w:val="left"/>
      <w:pPr>
        <w:ind w:left="720" w:hanging="360"/>
      </w:pPr>
      <w:rPr>
        <w:rFonts w:eastAsia="+mn-ea" w:cs="+mn-c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91444D8"/>
    <w:multiLevelType w:val="hybridMultilevel"/>
    <w:tmpl w:val="8F96DADE"/>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192C7496"/>
    <w:multiLevelType w:val="hybridMultilevel"/>
    <w:tmpl w:val="F460AE5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BD612FF"/>
    <w:multiLevelType w:val="hybridMultilevel"/>
    <w:tmpl w:val="D08E5B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1C837FE3"/>
    <w:multiLevelType w:val="hybridMultilevel"/>
    <w:tmpl w:val="5B925402"/>
    <w:lvl w:ilvl="0" w:tplc="04150011">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nsid w:val="21DC30AF"/>
    <w:multiLevelType w:val="hybridMultilevel"/>
    <w:tmpl w:val="EA460CDA"/>
    <w:lvl w:ilvl="0" w:tplc="FFFFFFFF">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22887487"/>
    <w:multiLevelType w:val="hybridMultilevel"/>
    <w:tmpl w:val="87AAF4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27DD0F3C"/>
    <w:multiLevelType w:val="hybridMultilevel"/>
    <w:tmpl w:val="3B5A648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nsid w:val="296666CB"/>
    <w:multiLevelType w:val="multilevel"/>
    <w:tmpl w:val="1F7E9016"/>
    <w:lvl w:ilvl="0">
      <w:start w:val="1"/>
      <w:numFmt w:val="decimal"/>
      <w:lvlText w:val="%1."/>
      <w:lvlJc w:val="left"/>
      <w:pPr>
        <w:ind w:left="704" w:hanging="420"/>
      </w:pPr>
      <w:rPr>
        <w:rFonts w:hint="default"/>
      </w:rPr>
    </w:lvl>
    <w:lvl w:ilvl="1">
      <w:start w:val="1"/>
      <w:numFmt w:val="decimal"/>
      <w:isLgl/>
      <w:lvlText w:val="%1.%2."/>
      <w:lvlJc w:val="left"/>
      <w:pPr>
        <w:ind w:left="929" w:hanging="64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3">
    <w:nsid w:val="29A43DC3"/>
    <w:multiLevelType w:val="hybridMultilevel"/>
    <w:tmpl w:val="8DF8F5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E35735E"/>
    <w:multiLevelType w:val="hybridMultilevel"/>
    <w:tmpl w:val="869C944A"/>
    <w:lvl w:ilvl="0" w:tplc="C30C37B4">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30B43529"/>
    <w:multiLevelType w:val="hybridMultilevel"/>
    <w:tmpl w:val="B192B1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34555B7F"/>
    <w:multiLevelType w:val="hybridMultilevel"/>
    <w:tmpl w:val="DE6EB7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35EA0938"/>
    <w:multiLevelType w:val="hybridMultilevel"/>
    <w:tmpl w:val="55864F4A"/>
    <w:lvl w:ilvl="0" w:tplc="FFFFFFFF">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36D665A8"/>
    <w:multiLevelType w:val="multilevel"/>
    <w:tmpl w:val="4B5696A4"/>
    <w:styleLink w:val="WWNum8"/>
    <w:lvl w:ilvl="0">
      <w:start w:val="1"/>
      <w:numFmt w:val="decimal"/>
      <w:lvlText w:val="%1."/>
      <w:lvlJc w:val="left"/>
      <w:rPr>
        <w:rFonts w:cs="Calibri"/>
        <w:b w:val="0"/>
        <w:i w:val="0"/>
        <w:sz w:val="22"/>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9">
    <w:nsid w:val="392F6CAA"/>
    <w:multiLevelType w:val="hybridMultilevel"/>
    <w:tmpl w:val="1EC2540C"/>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3EB97E60"/>
    <w:multiLevelType w:val="multilevel"/>
    <w:tmpl w:val="F62A753A"/>
    <w:styleLink w:val="WWNum9"/>
    <w:lvl w:ilvl="0">
      <w:numFmt w:val="bullet"/>
      <w:lvlText w:val="•"/>
      <w:lvlJc w:val="left"/>
      <w:rPr>
        <w:rFonts w:ascii="Times New Roman" w:hAnsi="Times New Roman"/>
      </w:rPr>
    </w:lvl>
    <w:lvl w:ilvl="1">
      <w:numFmt w:val="bullet"/>
      <w:lvlText w:val="•"/>
      <w:lvlJc w:val="left"/>
      <w:rPr>
        <w:rFonts w:ascii="Times New Roman" w:hAnsi="Times New Roman"/>
      </w:rPr>
    </w:lvl>
    <w:lvl w:ilvl="2">
      <w:numFmt w:val="bullet"/>
      <w:lvlText w:val="•"/>
      <w:lvlJc w:val="left"/>
      <w:rPr>
        <w:rFonts w:ascii="Times New Roman" w:hAnsi="Times New Roman"/>
      </w:rPr>
    </w:lvl>
    <w:lvl w:ilvl="3">
      <w:numFmt w:val="bullet"/>
      <w:lvlText w:val="•"/>
      <w:lvlJc w:val="left"/>
      <w:rPr>
        <w:rFonts w:ascii="Times New Roman" w:hAnsi="Times New Roman"/>
      </w:rPr>
    </w:lvl>
    <w:lvl w:ilvl="4">
      <w:numFmt w:val="bullet"/>
      <w:lvlText w:val="•"/>
      <w:lvlJc w:val="left"/>
      <w:rPr>
        <w:rFonts w:ascii="Times New Roman" w:hAnsi="Times New Roman"/>
      </w:rPr>
    </w:lvl>
    <w:lvl w:ilvl="5">
      <w:numFmt w:val="bullet"/>
      <w:lvlText w:val="•"/>
      <w:lvlJc w:val="left"/>
      <w:rPr>
        <w:rFonts w:ascii="Times New Roman" w:hAnsi="Times New Roman"/>
      </w:rPr>
    </w:lvl>
    <w:lvl w:ilvl="6">
      <w:numFmt w:val="bullet"/>
      <w:lvlText w:val="•"/>
      <w:lvlJc w:val="left"/>
      <w:rPr>
        <w:rFonts w:ascii="Times New Roman" w:hAnsi="Times New Roman"/>
      </w:rPr>
    </w:lvl>
    <w:lvl w:ilvl="7">
      <w:numFmt w:val="bullet"/>
      <w:lvlText w:val="•"/>
      <w:lvlJc w:val="left"/>
      <w:rPr>
        <w:rFonts w:ascii="Times New Roman" w:hAnsi="Times New Roman"/>
      </w:rPr>
    </w:lvl>
    <w:lvl w:ilvl="8">
      <w:numFmt w:val="bullet"/>
      <w:lvlText w:val="•"/>
      <w:lvlJc w:val="left"/>
      <w:rPr>
        <w:rFonts w:ascii="Times New Roman" w:hAnsi="Times New Roman"/>
      </w:rPr>
    </w:lvl>
  </w:abstractNum>
  <w:abstractNum w:abstractNumId="31">
    <w:nsid w:val="3F8D3782"/>
    <w:multiLevelType w:val="multilevel"/>
    <w:tmpl w:val="4A74DB4E"/>
    <w:styleLink w:val="WWNum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2">
    <w:nsid w:val="40C329F8"/>
    <w:multiLevelType w:val="multilevel"/>
    <w:tmpl w:val="A62C5B04"/>
    <w:styleLink w:val="WWNum9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3">
    <w:nsid w:val="464506B8"/>
    <w:multiLevelType w:val="hybridMultilevel"/>
    <w:tmpl w:val="F07C556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47D630CD"/>
    <w:multiLevelType w:val="hybridMultilevel"/>
    <w:tmpl w:val="BA1C538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4C3961CA"/>
    <w:multiLevelType w:val="hybridMultilevel"/>
    <w:tmpl w:val="9FF4F7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4D225784"/>
    <w:multiLevelType w:val="hybridMultilevel"/>
    <w:tmpl w:val="8AE6FEB8"/>
    <w:lvl w:ilvl="0" w:tplc="FFFFFFFF">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4D2C547E"/>
    <w:multiLevelType w:val="hybridMultilevel"/>
    <w:tmpl w:val="626E8002"/>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8">
    <w:nsid w:val="4EDB7DBC"/>
    <w:multiLevelType w:val="hybridMultilevel"/>
    <w:tmpl w:val="77B82B0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nsid w:val="51503846"/>
    <w:multiLevelType w:val="hybridMultilevel"/>
    <w:tmpl w:val="30C43B88"/>
    <w:lvl w:ilvl="0" w:tplc="FFFFFFFF">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52F670C3"/>
    <w:multiLevelType w:val="hybridMultilevel"/>
    <w:tmpl w:val="99C80F5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53A827D8"/>
    <w:multiLevelType w:val="hybridMultilevel"/>
    <w:tmpl w:val="9A26502C"/>
    <w:lvl w:ilvl="0" w:tplc="AA1EC5B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55C47D29"/>
    <w:multiLevelType w:val="hybridMultilevel"/>
    <w:tmpl w:val="AE9ABA92"/>
    <w:lvl w:ilvl="0" w:tplc="274CD122">
      <w:start w:val="1"/>
      <w:numFmt w:val="decimal"/>
      <w:lvlText w:val="%1."/>
      <w:lvlJc w:val="left"/>
      <w:pPr>
        <w:ind w:left="704" w:hanging="4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5A274303"/>
    <w:multiLevelType w:val="hybridMultilevel"/>
    <w:tmpl w:val="06C629CA"/>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4">
    <w:nsid w:val="5AAC4968"/>
    <w:multiLevelType w:val="hybridMultilevel"/>
    <w:tmpl w:val="87A89922"/>
    <w:lvl w:ilvl="0" w:tplc="24146590">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5">
    <w:nsid w:val="5AF109B1"/>
    <w:multiLevelType w:val="hybridMultilevel"/>
    <w:tmpl w:val="0FA6D9A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5F5227D4"/>
    <w:multiLevelType w:val="hybridMultilevel"/>
    <w:tmpl w:val="E63C26BA"/>
    <w:lvl w:ilvl="0" w:tplc="21F4E6DA">
      <w:numFmt w:val="bullet"/>
      <w:lvlText w:val="•"/>
      <w:lvlJc w:val="left"/>
      <w:pPr>
        <w:ind w:left="1065" w:hanging="705"/>
      </w:pPr>
      <w:rPr>
        <w:rFonts w:ascii="Calibri" w:eastAsiaTheme="minorHAnsi" w:hAnsi="Calibri"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5F784CB3"/>
    <w:multiLevelType w:val="hybridMultilevel"/>
    <w:tmpl w:val="73CCCEB0"/>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48">
    <w:nsid w:val="5FA62545"/>
    <w:multiLevelType w:val="hybridMultilevel"/>
    <w:tmpl w:val="31EA350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614F62A0"/>
    <w:multiLevelType w:val="hybridMultilevel"/>
    <w:tmpl w:val="8D72CED0"/>
    <w:lvl w:ilvl="0" w:tplc="B100C982">
      <w:start w:val="1"/>
      <w:numFmt w:val="decimal"/>
      <w:lvlText w:val="%1."/>
      <w:lvlJc w:val="left"/>
      <w:pPr>
        <w:ind w:left="536" w:hanging="360"/>
      </w:pPr>
      <w:rPr>
        <w:rFonts w:asciiTheme="minorHAnsi" w:eastAsia="Times New Roman" w:hAnsiTheme="minorHAnsi"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659E3B23"/>
    <w:multiLevelType w:val="hybridMultilevel"/>
    <w:tmpl w:val="D8D62E72"/>
    <w:lvl w:ilvl="0" w:tplc="2F5655E0">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
    <w:nsid w:val="6E615441"/>
    <w:multiLevelType w:val="hybridMultilevel"/>
    <w:tmpl w:val="7FF665D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nsid w:val="741D591E"/>
    <w:multiLevelType w:val="hybridMultilevel"/>
    <w:tmpl w:val="74E6F6BC"/>
    <w:lvl w:ilvl="0" w:tplc="0FE663D4">
      <w:start w:val="1"/>
      <w:numFmt w:val="decimal"/>
      <w:lvlText w:val="%1."/>
      <w:lvlJc w:val="left"/>
      <w:pPr>
        <w:ind w:left="536" w:hanging="360"/>
      </w:pPr>
      <w:rPr>
        <w:rFonts w:asciiTheme="minorHAnsi" w:eastAsia="Times New Roman" w:hAnsiTheme="minorHAnsi"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7511657A"/>
    <w:multiLevelType w:val="multilevel"/>
    <w:tmpl w:val="8224218C"/>
    <w:styleLink w:val="WWNum7"/>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4">
    <w:nsid w:val="78287957"/>
    <w:multiLevelType w:val="hybridMultilevel"/>
    <w:tmpl w:val="284EB6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79E51CEF"/>
    <w:multiLevelType w:val="hybridMultilevel"/>
    <w:tmpl w:val="9042C85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7D5274C9"/>
    <w:multiLevelType w:val="hybridMultilevel"/>
    <w:tmpl w:val="3B78E9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7F582E68"/>
    <w:multiLevelType w:val="hybridMultilevel"/>
    <w:tmpl w:val="145C5BD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1"/>
  </w:num>
  <w:num w:numId="2">
    <w:abstractNumId w:val="57"/>
  </w:num>
  <w:num w:numId="3">
    <w:abstractNumId w:val="50"/>
  </w:num>
  <w:num w:numId="4">
    <w:abstractNumId w:val="8"/>
  </w:num>
  <w:num w:numId="5">
    <w:abstractNumId w:val="38"/>
  </w:num>
  <w:num w:numId="6">
    <w:abstractNumId w:val="10"/>
  </w:num>
  <w:num w:numId="7">
    <w:abstractNumId w:val="18"/>
  </w:num>
  <w:num w:numId="8">
    <w:abstractNumId w:val="12"/>
  </w:num>
  <w:num w:numId="9">
    <w:abstractNumId w:val="51"/>
  </w:num>
  <w:num w:numId="10">
    <w:abstractNumId w:val="20"/>
  </w:num>
  <w:num w:numId="11">
    <w:abstractNumId w:val="55"/>
  </w:num>
  <w:num w:numId="12">
    <w:abstractNumId w:val="14"/>
  </w:num>
  <w:num w:numId="13">
    <w:abstractNumId w:val="4"/>
  </w:num>
  <w:num w:numId="14">
    <w:abstractNumId w:val="45"/>
  </w:num>
  <w:num w:numId="15">
    <w:abstractNumId w:val="25"/>
  </w:num>
  <w:num w:numId="16">
    <w:abstractNumId w:val="7"/>
  </w:num>
  <w:num w:numId="17">
    <w:abstractNumId w:val="47"/>
  </w:num>
  <w:num w:numId="18">
    <w:abstractNumId w:val="2"/>
  </w:num>
  <w:num w:numId="19">
    <w:abstractNumId w:val="40"/>
  </w:num>
  <w:num w:numId="20">
    <w:abstractNumId w:val="23"/>
  </w:num>
  <w:num w:numId="21">
    <w:abstractNumId w:val="54"/>
  </w:num>
  <w:num w:numId="22">
    <w:abstractNumId w:val="49"/>
  </w:num>
  <w:num w:numId="23">
    <w:abstractNumId w:val="52"/>
  </w:num>
  <w:num w:numId="24">
    <w:abstractNumId w:val="22"/>
  </w:num>
  <w:num w:numId="25">
    <w:abstractNumId w:val="42"/>
  </w:num>
  <w:num w:numId="26">
    <w:abstractNumId w:val="44"/>
  </w:num>
  <w:num w:numId="27">
    <w:abstractNumId w:val="32"/>
  </w:num>
  <w:num w:numId="28">
    <w:abstractNumId w:val="35"/>
  </w:num>
  <w:num w:numId="29">
    <w:abstractNumId w:val="46"/>
  </w:num>
  <w:num w:numId="30">
    <w:abstractNumId w:val="6"/>
  </w:num>
  <w:num w:numId="31">
    <w:abstractNumId w:val="26"/>
  </w:num>
  <w:num w:numId="32">
    <w:abstractNumId w:val="33"/>
  </w:num>
  <w:num w:numId="33">
    <w:abstractNumId w:val="43"/>
  </w:num>
  <w:num w:numId="34">
    <w:abstractNumId w:val="11"/>
  </w:num>
  <w:num w:numId="35">
    <w:abstractNumId w:val="5"/>
  </w:num>
  <w:num w:numId="36">
    <w:abstractNumId w:val="15"/>
  </w:num>
  <w:num w:numId="37">
    <w:abstractNumId w:val="17"/>
  </w:num>
  <w:num w:numId="38">
    <w:abstractNumId w:val="56"/>
  </w:num>
  <w:num w:numId="39">
    <w:abstractNumId w:val="3"/>
  </w:num>
  <w:num w:numId="40">
    <w:abstractNumId w:val="24"/>
  </w:num>
  <w:num w:numId="41">
    <w:abstractNumId w:val="0"/>
  </w:num>
  <w:num w:numId="42">
    <w:abstractNumId w:val="48"/>
  </w:num>
  <w:num w:numId="43">
    <w:abstractNumId w:val="39"/>
  </w:num>
  <w:num w:numId="44">
    <w:abstractNumId w:val="34"/>
  </w:num>
  <w:num w:numId="45">
    <w:abstractNumId w:val="31"/>
  </w:num>
  <w:num w:numId="46">
    <w:abstractNumId w:val="53"/>
  </w:num>
  <w:num w:numId="47">
    <w:abstractNumId w:val="1"/>
  </w:num>
  <w:num w:numId="48">
    <w:abstractNumId w:val="28"/>
  </w:num>
  <w:num w:numId="49">
    <w:abstractNumId w:val="30"/>
  </w:num>
  <w:num w:numId="50">
    <w:abstractNumId w:val="28"/>
    <w:lvlOverride w:ilvl="0">
      <w:startOverride w:val="1"/>
    </w:lvlOverride>
  </w:num>
  <w:num w:numId="51">
    <w:abstractNumId w:val="37"/>
  </w:num>
  <w:num w:numId="52">
    <w:abstractNumId w:val="29"/>
  </w:num>
  <w:num w:numId="53">
    <w:abstractNumId w:val="16"/>
  </w:num>
  <w:num w:numId="54">
    <w:abstractNumId w:val="41"/>
  </w:num>
  <w:num w:numId="55">
    <w:abstractNumId w:val="19"/>
  </w:num>
  <w:num w:numId="56">
    <w:abstractNumId w:val="13"/>
  </w:num>
  <w:num w:numId="57">
    <w:abstractNumId w:val="36"/>
  </w:num>
  <w:num w:numId="58">
    <w:abstractNumId w:val="9"/>
  </w:num>
  <w:num w:numId="59">
    <w:abstractNumId w:val="27"/>
  </w:num>
  <w:num w:numId="60">
    <w:abstractNumId w:val="56"/>
    <w:lvlOverride w:ilvl="0"/>
    <w:lvlOverride w:ilvl="1"/>
    <w:lvlOverride w:ilvl="2"/>
    <w:lvlOverride w:ilvl="3"/>
    <w:lvlOverride w:ilvl="4"/>
    <w:lvlOverride w:ilvl="5"/>
    <w:lvlOverride w:ilvl="6"/>
    <w:lvlOverride w:ilvl="7"/>
    <w:lvlOverride w:ilvl="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6085B"/>
    <w:rsid w:val="00037919"/>
    <w:rsid w:val="00072FFD"/>
    <w:rsid w:val="0007475D"/>
    <w:rsid w:val="00090CA4"/>
    <w:rsid w:val="000B6F65"/>
    <w:rsid w:val="000D0205"/>
    <w:rsid w:val="000D717F"/>
    <w:rsid w:val="00117F51"/>
    <w:rsid w:val="00170743"/>
    <w:rsid w:val="001B3CFD"/>
    <w:rsid w:val="001B3D12"/>
    <w:rsid w:val="001C12BF"/>
    <w:rsid w:val="001D466A"/>
    <w:rsid w:val="001D6E9E"/>
    <w:rsid w:val="001E58A6"/>
    <w:rsid w:val="00234BBD"/>
    <w:rsid w:val="002549D9"/>
    <w:rsid w:val="0026665B"/>
    <w:rsid w:val="00270C54"/>
    <w:rsid w:val="00281899"/>
    <w:rsid w:val="002B09B7"/>
    <w:rsid w:val="002B6E3A"/>
    <w:rsid w:val="003005F7"/>
    <w:rsid w:val="00304492"/>
    <w:rsid w:val="003262E0"/>
    <w:rsid w:val="00337302"/>
    <w:rsid w:val="00340373"/>
    <w:rsid w:val="0035770A"/>
    <w:rsid w:val="003921CB"/>
    <w:rsid w:val="003978E3"/>
    <w:rsid w:val="003E259E"/>
    <w:rsid w:val="004140DA"/>
    <w:rsid w:val="00426CE8"/>
    <w:rsid w:val="0045385A"/>
    <w:rsid w:val="0048644A"/>
    <w:rsid w:val="004A7D6B"/>
    <w:rsid w:val="004A7FC0"/>
    <w:rsid w:val="004B1B81"/>
    <w:rsid w:val="00514A8C"/>
    <w:rsid w:val="005226AA"/>
    <w:rsid w:val="005301AB"/>
    <w:rsid w:val="00544EC7"/>
    <w:rsid w:val="00547550"/>
    <w:rsid w:val="00561D29"/>
    <w:rsid w:val="00574D46"/>
    <w:rsid w:val="00595156"/>
    <w:rsid w:val="005C4594"/>
    <w:rsid w:val="005E3F13"/>
    <w:rsid w:val="005E59F1"/>
    <w:rsid w:val="006128BA"/>
    <w:rsid w:val="00652A39"/>
    <w:rsid w:val="006974DE"/>
    <w:rsid w:val="006A3D8D"/>
    <w:rsid w:val="006B153B"/>
    <w:rsid w:val="006C1D4A"/>
    <w:rsid w:val="006D26E0"/>
    <w:rsid w:val="0071482D"/>
    <w:rsid w:val="00720731"/>
    <w:rsid w:val="0074134F"/>
    <w:rsid w:val="0078683D"/>
    <w:rsid w:val="007C16CC"/>
    <w:rsid w:val="00813EA6"/>
    <w:rsid w:val="00853156"/>
    <w:rsid w:val="00854CED"/>
    <w:rsid w:val="008903A4"/>
    <w:rsid w:val="00896A64"/>
    <w:rsid w:val="008C1AD2"/>
    <w:rsid w:val="008C1C2E"/>
    <w:rsid w:val="008E229B"/>
    <w:rsid w:val="008E6844"/>
    <w:rsid w:val="008F01FE"/>
    <w:rsid w:val="008F1894"/>
    <w:rsid w:val="009635CF"/>
    <w:rsid w:val="00967AA9"/>
    <w:rsid w:val="009D5EBC"/>
    <w:rsid w:val="009D7955"/>
    <w:rsid w:val="00A0323D"/>
    <w:rsid w:val="00A16344"/>
    <w:rsid w:val="00A17B6E"/>
    <w:rsid w:val="00A25D60"/>
    <w:rsid w:val="00A6085B"/>
    <w:rsid w:val="00A74F68"/>
    <w:rsid w:val="00A7567D"/>
    <w:rsid w:val="00A76BDB"/>
    <w:rsid w:val="00A91EF2"/>
    <w:rsid w:val="00AB2789"/>
    <w:rsid w:val="00AB38BB"/>
    <w:rsid w:val="00AC1942"/>
    <w:rsid w:val="00AC70EF"/>
    <w:rsid w:val="00AD5867"/>
    <w:rsid w:val="00B05FB3"/>
    <w:rsid w:val="00B1561B"/>
    <w:rsid w:val="00B41986"/>
    <w:rsid w:val="00B4612A"/>
    <w:rsid w:val="00B46559"/>
    <w:rsid w:val="00B529A2"/>
    <w:rsid w:val="00B55477"/>
    <w:rsid w:val="00BB1DFD"/>
    <w:rsid w:val="00BC2E09"/>
    <w:rsid w:val="00BD04AA"/>
    <w:rsid w:val="00C04E36"/>
    <w:rsid w:val="00C23CED"/>
    <w:rsid w:val="00C255D3"/>
    <w:rsid w:val="00C346F4"/>
    <w:rsid w:val="00C80434"/>
    <w:rsid w:val="00C84CBC"/>
    <w:rsid w:val="00CC5859"/>
    <w:rsid w:val="00CD1523"/>
    <w:rsid w:val="00CD1B56"/>
    <w:rsid w:val="00CD530F"/>
    <w:rsid w:val="00CE0AE5"/>
    <w:rsid w:val="00CE614F"/>
    <w:rsid w:val="00D06C52"/>
    <w:rsid w:val="00D11B74"/>
    <w:rsid w:val="00D12A69"/>
    <w:rsid w:val="00D31169"/>
    <w:rsid w:val="00D31D10"/>
    <w:rsid w:val="00D44BF2"/>
    <w:rsid w:val="00D55655"/>
    <w:rsid w:val="00D75EBA"/>
    <w:rsid w:val="00DC61B1"/>
    <w:rsid w:val="00E01192"/>
    <w:rsid w:val="00E421E1"/>
    <w:rsid w:val="00E42DF2"/>
    <w:rsid w:val="00E449E1"/>
    <w:rsid w:val="00E75EBD"/>
    <w:rsid w:val="00E90ECC"/>
    <w:rsid w:val="00EA00F7"/>
    <w:rsid w:val="00EA1A6E"/>
    <w:rsid w:val="00EB6F3B"/>
    <w:rsid w:val="00EE0C8C"/>
    <w:rsid w:val="00EE6F41"/>
    <w:rsid w:val="00EF4EF2"/>
    <w:rsid w:val="00F02F4D"/>
    <w:rsid w:val="00F22ECD"/>
    <w:rsid w:val="00F3057B"/>
    <w:rsid w:val="00F32BC4"/>
    <w:rsid w:val="00F658DF"/>
    <w:rsid w:val="00F71FC5"/>
    <w:rsid w:val="00FB37A8"/>
    <w:rsid w:val="00FB5EB2"/>
    <w:rsid w:val="00FC3FE7"/>
    <w:rsid w:val="00FF263C"/>
    <w:rsid w:val="00FF402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42DF2"/>
  </w:style>
  <w:style w:type="paragraph" w:styleId="Nagwek1">
    <w:name w:val="heading 1"/>
    <w:basedOn w:val="Normalny"/>
    <w:next w:val="Normalny"/>
    <w:link w:val="Nagwek1Znak"/>
    <w:uiPriority w:val="9"/>
    <w:qFormat/>
    <w:rsid w:val="00E449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EE0C8C"/>
    <w:pPr>
      <w:keepNext/>
      <w:keepLines/>
      <w:spacing w:before="200" w:after="0"/>
      <w:outlineLvl w:val="1"/>
    </w:pPr>
    <w:rPr>
      <w:rFonts w:ascii="Cambria" w:eastAsia="Times New Roman" w:hAnsi="Cambria" w:cs="Times New Roman"/>
      <w:b/>
      <w:bCs/>
      <w:color w:val="4F81BD"/>
      <w:sz w:val="26"/>
      <w:szCs w:val="26"/>
    </w:rPr>
  </w:style>
  <w:style w:type="paragraph" w:styleId="Nagwek3">
    <w:name w:val="heading 3"/>
    <w:basedOn w:val="Normalny"/>
    <w:next w:val="Normalny"/>
    <w:link w:val="Nagwek3Znak"/>
    <w:uiPriority w:val="9"/>
    <w:unhideWhenUsed/>
    <w:qFormat/>
    <w:rsid w:val="00EE0C8C"/>
    <w:pPr>
      <w:keepNext/>
      <w:keepLines/>
      <w:spacing w:before="200" w:after="0"/>
      <w:outlineLvl w:val="2"/>
    </w:pPr>
    <w:rPr>
      <w:rFonts w:ascii="Cambria" w:eastAsia="Times New Roman" w:hAnsi="Cambria" w:cs="Times New Roman"/>
      <w:b/>
      <w:bCs/>
      <w:color w:val="4F81BD"/>
    </w:rPr>
  </w:style>
  <w:style w:type="paragraph" w:styleId="Nagwek4">
    <w:name w:val="heading 4"/>
    <w:basedOn w:val="Normalny"/>
    <w:next w:val="Normalny"/>
    <w:link w:val="Nagwek4Znak"/>
    <w:uiPriority w:val="9"/>
    <w:semiHidden/>
    <w:unhideWhenUsed/>
    <w:qFormat/>
    <w:rsid w:val="00EE0C8C"/>
    <w:pPr>
      <w:keepNext/>
      <w:keepLines/>
      <w:spacing w:before="200" w:after="0"/>
      <w:outlineLvl w:val="3"/>
    </w:pPr>
    <w:rPr>
      <w:rFonts w:ascii="Cambria" w:eastAsia="Times New Roman" w:hAnsi="Cambria" w:cs="Times New Roman"/>
      <w:b/>
      <w:bCs/>
      <w:i/>
      <w:iCs/>
      <w:color w:val="4F81BD"/>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aliases w:val="Footnote,Podrozdzia3,-E Fuﬂnotentext,Fuﬂnotentext Ursprung,Fußnotentext Ursprung,-E Fußnotentext,Footnote text,Tekst przypisu Znak Znak Znak Znak,Tekst przypisu Znak Znak Znak Znak Znak,footnote text,Fußnote,FOOTNOTES,o,fn"/>
    <w:basedOn w:val="Normalny"/>
    <w:link w:val="TekstprzypisudolnegoZnak"/>
    <w:uiPriority w:val="99"/>
    <w:unhideWhenUsed/>
    <w:rsid w:val="00A6085B"/>
    <w:pPr>
      <w:spacing w:after="0" w:line="240" w:lineRule="auto"/>
    </w:pPr>
    <w:rPr>
      <w:sz w:val="20"/>
      <w:szCs w:val="20"/>
    </w:rPr>
  </w:style>
  <w:style w:type="character" w:customStyle="1" w:styleId="TekstprzypisudolnegoZnak">
    <w:name w:val="Tekst przypisu dolnego Znak"/>
    <w:aliases w:val="Footnote Znak,Podrozdzia3 Znak,-E Fuﬂnotentext Znak,Fuﬂnotentext Ursprung Znak,Fußnotentext Ursprung Znak,-E Fußnotentext Znak,Footnote text Znak,Tekst przypisu Znak Znak Znak Znak Znak1,footnote text Znak,Fußnote Znak,o Znak"/>
    <w:basedOn w:val="Domylnaczcionkaakapitu"/>
    <w:link w:val="Tekstprzypisudolnego"/>
    <w:uiPriority w:val="99"/>
    <w:rsid w:val="00A6085B"/>
    <w:rPr>
      <w:sz w:val="20"/>
      <w:szCs w:val="20"/>
    </w:rPr>
  </w:style>
  <w:style w:type="character" w:styleId="Odwoanieprzypisudolnego">
    <w:name w:val="footnote reference"/>
    <w:aliases w:val="Footnote Reference Number,Footnote symbol"/>
    <w:uiPriority w:val="99"/>
    <w:unhideWhenUsed/>
    <w:rsid w:val="00A6085B"/>
    <w:rPr>
      <w:vertAlign w:val="superscript"/>
    </w:rPr>
  </w:style>
  <w:style w:type="paragraph" w:styleId="Tekstdymka">
    <w:name w:val="Balloon Text"/>
    <w:basedOn w:val="Normalny"/>
    <w:link w:val="TekstdymkaZnak"/>
    <w:uiPriority w:val="99"/>
    <w:semiHidden/>
    <w:unhideWhenUsed/>
    <w:rsid w:val="00A6085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6085B"/>
    <w:rPr>
      <w:rFonts w:ascii="Tahoma" w:hAnsi="Tahoma" w:cs="Tahoma"/>
      <w:sz w:val="16"/>
      <w:szCs w:val="16"/>
    </w:rPr>
  </w:style>
  <w:style w:type="table" w:styleId="Tabela-Siatka">
    <w:name w:val="Table Grid"/>
    <w:basedOn w:val="Standardowy"/>
    <w:uiPriority w:val="59"/>
    <w:rsid w:val="003005F7"/>
    <w:pPr>
      <w:spacing w:after="0" w:line="240" w:lineRule="auto"/>
    </w:pPr>
    <w:rPr>
      <w:rFonts w:eastAsiaTheme="minorEastAsia"/>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2549D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549D9"/>
  </w:style>
  <w:style w:type="paragraph" w:styleId="Stopka">
    <w:name w:val="footer"/>
    <w:basedOn w:val="Normalny"/>
    <w:link w:val="StopkaZnak"/>
    <w:uiPriority w:val="99"/>
    <w:unhideWhenUsed/>
    <w:rsid w:val="002549D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549D9"/>
  </w:style>
  <w:style w:type="character" w:customStyle="1" w:styleId="Nagwek1Znak">
    <w:name w:val="Nagłówek 1 Znak"/>
    <w:basedOn w:val="Domylnaczcionkaakapitu"/>
    <w:link w:val="Nagwek1"/>
    <w:uiPriority w:val="9"/>
    <w:rsid w:val="00E449E1"/>
    <w:rPr>
      <w:rFonts w:asciiTheme="majorHAnsi" w:eastAsiaTheme="majorEastAsia" w:hAnsiTheme="majorHAnsi" w:cstheme="majorBidi"/>
      <w:b/>
      <w:bCs/>
      <w:color w:val="365F91" w:themeColor="accent1" w:themeShade="BF"/>
      <w:sz w:val="28"/>
      <w:szCs w:val="28"/>
    </w:rPr>
  </w:style>
  <w:style w:type="paragraph" w:styleId="Tytu">
    <w:name w:val="Title"/>
    <w:basedOn w:val="Normalny"/>
    <w:next w:val="Normalny"/>
    <w:link w:val="TytuZnak"/>
    <w:uiPriority w:val="10"/>
    <w:qFormat/>
    <w:rsid w:val="00E449E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E449E1"/>
    <w:rPr>
      <w:rFonts w:asciiTheme="majorHAnsi" w:eastAsiaTheme="majorEastAsia" w:hAnsiTheme="majorHAnsi" w:cstheme="majorBidi"/>
      <w:color w:val="17365D" w:themeColor="text2" w:themeShade="BF"/>
      <w:spacing w:val="5"/>
      <w:kern w:val="28"/>
      <w:sz w:val="52"/>
      <w:szCs w:val="52"/>
    </w:rPr>
  </w:style>
  <w:style w:type="paragraph" w:customStyle="1" w:styleId="Nagwek21">
    <w:name w:val="Nagłówek 21"/>
    <w:basedOn w:val="Normalny"/>
    <w:next w:val="Normalny"/>
    <w:uiPriority w:val="9"/>
    <w:unhideWhenUsed/>
    <w:qFormat/>
    <w:rsid w:val="00EE0C8C"/>
    <w:pPr>
      <w:keepNext/>
      <w:keepLines/>
      <w:spacing w:before="200" w:after="0"/>
      <w:outlineLvl w:val="1"/>
    </w:pPr>
    <w:rPr>
      <w:rFonts w:ascii="Cambria" w:eastAsia="Times New Roman" w:hAnsi="Cambria" w:cs="Times New Roman"/>
      <w:b/>
      <w:bCs/>
      <w:color w:val="4F81BD"/>
      <w:sz w:val="26"/>
      <w:szCs w:val="26"/>
    </w:rPr>
  </w:style>
  <w:style w:type="paragraph" w:customStyle="1" w:styleId="Nagwek31">
    <w:name w:val="Nagłówek 31"/>
    <w:basedOn w:val="Normalny"/>
    <w:next w:val="Normalny"/>
    <w:uiPriority w:val="9"/>
    <w:unhideWhenUsed/>
    <w:qFormat/>
    <w:rsid w:val="00EE0C8C"/>
    <w:pPr>
      <w:keepNext/>
      <w:keepLines/>
      <w:spacing w:before="200" w:after="0"/>
      <w:outlineLvl w:val="2"/>
    </w:pPr>
    <w:rPr>
      <w:rFonts w:ascii="Cambria" w:eastAsia="Times New Roman" w:hAnsi="Cambria" w:cs="Times New Roman"/>
      <w:b/>
      <w:bCs/>
      <w:color w:val="4F81BD"/>
    </w:rPr>
  </w:style>
  <w:style w:type="paragraph" w:customStyle="1" w:styleId="Nagwek41">
    <w:name w:val="Nagłówek 41"/>
    <w:basedOn w:val="Normalny"/>
    <w:next w:val="Normalny"/>
    <w:uiPriority w:val="9"/>
    <w:unhideWhenUsed/>
    <w:qFormat/>
    <w:rsid w:val="00EE0C8C"/>
    <w:pPr>
      <w:keepNext/>
      <w:keepLines/>
      <w:spacing w:before="200" w:after="0"/>
      <w:outlineLvl w:val="3"/>
    </w:pPr>
    <w:rPr>
      <w:rFonts w:ascii="Cambria" w:eastAsia="Times New Roman" w:hAnsi="Cambria" w:cs="Times New Roman"/>
      <w:b/>
      <w:bCs/>
      <w:i/>
      <w:iCs/>
      <w:color w:val="4F81BD"/>
    </w:rPr>
  </w:style>
  <w:style w:type="numbering" w:customStyle="1" w:styleId="Bezlisty1">
    <w:name w:val="Bez listy1"/>
    <w:next w:val="Bezlisty"/>
    <w:uiPriority w:val="99"/>
    <w:semiHidden/>
    <w:unhideWhenUsed/>
    <w:rsid w:val="00EE0C8C"/>
  </w:style>
  <w:style w:type="character" w:customStyle="1" w:styleId="Nagwek2Znak">
    <w:name w:val="Nagłówek 2 Znak"/>
    <w:basedOn w:val="Domylnaczcionkaakapitu"/>
    <w:link w:val="Nagwek2"/>
    <w:uiPriority w:val="9"/>
    <w:rsid w:val="00EE0C8C"/>
    <w:rPr>
      <w:rFonts w:ascii="Cambria" w:eastAsia="Times New Roman" w:hAnsi="Cambria" w:cs="Times New Roman"/>
      <w:b/>
      <w:bCs/>
      <w:color w:val="4F81BD"/>
      <w:sz w:val="26"/>
      <w:szCs w:val="26"/>
      <w:lang w:eastAsia="en-US"/>
    </w:rPr>
  </w:style>
  <w:style w:type="character" w:customStyle="1" w:styleId="Nagwek3Znak">
    <w:name w:val="Nagłówek 3 Znak"/>
    <w:basedOn w:val="Domylnaczcionkaakapitu"/>
    <w:link w:val="Nagwek3"/>
    <w:uiPriority w:val="9"/>
    <w:rsid w:val="00EE0C8C"/>
    <w:rPr>
      <w:rFonts w:ascii="Cambria" w:eastAsia="Times New Roman" w:hAnsi="Cambria" w:cs="Times New Roman"/>
      <w:b/>
      <w:bCs/>
      <w:color w:val="4F81BD"/>
      <w:lang w:eastAsia="en-US"/>
    </w:rPr>
  </w:style>
  <w:style w:type="character" w:customStyle="1" w:styleId="Nagwek4Znak">
    <w:name w:val="Nagłówek 4 Znak"/>
    <w:basedOn w:val="Domylnaczcionkaakapitu"/>
    <w:link w:val="Nagwek4"/>
    <w:uiPriority w:val="9"/>
    <w:rsid w:val="00EE0C8C"/>
    <w:rPr>
      <w:rFonts w:ascii="Cambria" w:eastAsia="Times New Roman" w:hAnsi="Cambria" w:cs="Times New Roman"/>
      <w:b/>
      <w:bCs/>
      <w:i/>
      <w:iCs/>
      <w:color w:val="4F81BD"/>
      <w:lang w:eastAsia="en-US"/>
    </w:rPr>
  </w:style>
  <w:style w:type="paragraph" w:customStyle="1" w:styleId="Akapitzlist1">
    <w:name w:val="Akapit z listą1"/>
    <w:basedOn w:val="Normalny"/>
    <w:next w:val="Akapitzlist"/>
    <w:uiPriority w:val="34"/>
    <w:qFormat/>
    <w:rsid w:val="00EE0C8C"/>
    <w:pPr>
      <w:ind w:left="720"/>
      <w:contextualSpacing/>
    </w:pPr>
  </w:style>
  <w:style w:type="paragraph" w:customStyle="1" w:styleId="Nagwekspisutreci1">
    <w:name w:val="Nagłówek spisu treści1"/>
    <w:basedOn w:val="Nagwek1"/>
    <w:next w:val="Normalny"/>
    <w:uiPriority w:val="39"/>
    <w:semiHidden/>
    <w:unhideWhenUsed/>
    <w:qFormat/>
    <w:rsid w:val="00EE0C8C"/>
    <w:pPr>
      <w:outlineLvl w:val="9"/>
    </w:pPr>
    <w:rPr>
      <w:lang w:eastAsia="pl-PL"/>
    </w:rPr>
  </w:style>
  <w:style w:type="paragraph" w:customStyle="1" w:styleId="Spistreci11">
    <w:name w:val="Spis treści 11"/>
    <w:basedOn w:val="Normalny"/>
    <w:next w:val="Normalny"/>
    <w:autoRedefine/>
    <w:uiPriority w:val="39"/>
    <w:unhideWhenUsed/>
    <w:rsid w:val="00EE0C8C"/>
    <w:pPr>
      <w:spacing w:after="100"/>
    </w:pPr>
  </w:style>
  <w:style w:type="paragraph" w:customStyle="1" w:styleId="Spistreci21">
    <w:name w:val="Spis treści 21"/>
    <w:basedOn w:val="Normalny"/>
    <w:next w:val="Normalny"/>
    <w:autoRedefine/>
    <w:uiPriority w:val="39"/>
    <w:unhideWhenUsed/>
    <w:rsid w:val="00EE0C8C"/>
    <w:pPr>
      <w:spacing w:after="100"/>
      <w:ind w:left="220"/>
    </w:pPr>
  </w:style>
  <w:style w:type="paragraph" w:customStyle="1" w:styleId="Spistreci31">
    <w:name w:val="Spis treści 31"/>
    <w:basedOn w:val="Normalny"/>
    <w:next w:val="Normalny"/>
    <w:autoRedefine/>
    <w:uiPriority w:val="39"/>
    <w:unhideWhenUsed/>
    <w:rsid w:val="00EE0C8C"/>
    <w:pPr>
      <w:spacing w:after="100"/>
      <w:ind w:left="440"/>
    </w:pPr>
  </w:style>
  <w:style w:type="character" w:customStyle="1" w:styleId="Hipercze1">
    <w:name w:val="Hiperłącze1"/>
    <w:basedOn w:val="Domylnaczcionkaakapitu"/>
    <w:uiPriority w:val="99"/>
    <w:unhideWhenUsed/>
    <w:rsid w:val="00EE0C8C"/>
    <w:rPr>
      <w:color w:val="0000FF"/>
      <w:u w:val="single"/>
    </w:rPr>
  </w:style>
  <w:style w:type="paragraph" w:styleId="NormalnyWeb">
    <w:name w:val="Normal (Web)"/>
    <w:basedOn w:val="Normalny"/>
    <w:uiPriority w:val="99"/>
    <w:unhideWhenUsed/>
    <w:rsid w:val="00EE0C8C"/>
    <w:pPr>
      <w:spacing w:before="100" w:beforeAutospacing="1" w:after="100" w:afterAutospacing="1" w:line="240" w:lineRule="auto"/>
    </w:pPr>
    <w:rPr>
      <w:rFonts w:ascii="Times New Roman" w:eastAsia="Times New Roman" w:hAnsi="Times New Roman" w:cs="Times New Roman"/>
      <w:sz w:val="24"/>
      <w:szCs w:val="24"/>
      <w:lang w:eastAsia="pl-PL"/>
    </w:rPr>
  </w:style>
  <w:style w:type="table" w:customStyle="1" w:styleId="Jasnalistaakcent51">
    <w:name w:val="Jasna lista — akcent 51"/>
    <w:basedOn w:val="Standardowy"/>
    <w:next w:val="Jasnalistaakcent5"/>
    <w:uiPriority w:val="61"/>
    <w:rsid w:val="00EE0C8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Jasnecieniowanieakcent51">
    <w:name w:val="Jasne cieniowanie — akcent 51"/>
    <w:basedOn w:val="Standardowy"/>
    <w:next w:val="Jasnecieniowanieakcent5"/>
    <w:uiPriority w:val="60"/>
    <w:rsid w:val="00EE0C8C"/>
    <w:pPr>
      <w:spacing w:after="0" w:line="240" w:lineRule="auto"/>
    </w:pPr>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redniecieniowanie2akcent51">
    <w:name w:val="Średnie cieniowanie 2 — akcent 51"/>
    <w:basedOn w:val="Standardowy"/>
    <w:next w:val="redniecieniowanie2akcent5"/>
    <w:uiPriority w:val="64"/>
    <w:rsid w:val="00EE0C8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Pogrubienie">
    <w:name w:val="Strong"/>
    <w:basedOn w:val="Domylnaczcionkaakapitu"/>
    <w:uiPriority w:val="22"/>
    <w:qFormat/>
    <w:rsid w:val="00EE0C8C"/>
    <w:rPr>
      <w:b/>
      <w:bCs/>
    </w:rPr>
  </w:style>
  <w:style w:type="paragraph" w:customStyle="1" w:styleId="Default">
    <w:name w:val="Default"/>
    <w:rsid w:val="00EE0C8C"/>
    <w:pPr>
      <w:widowControl w:val="0"/>
      <w:suppressAutoHyphens/>
      <w:autoSpaceDN w:val="0"/>
      <w:spacing w:after="0" w:line="240" w:lineRule="auto"/>
    </w:pPr>
    <w:rPr>
      <w:rFonts w:ascii="Calibri" w:eastAsia="SimSun" w:hAnsi="Calibri" w:cs="Mangal"/>
      <w:color w:val="000000"/>
      <w:kern w:val="3"/>
      <w:sz w:val="24"/>
      <w:szCs w:val="24"/>
      <w:lang w:eastAsia="zh-CN" w:bidi="hi-IN"/>
    </w:rPr>
  </w:style>
  <w:style w:type="table" w:customStyle="1" w:styleId="redniecieniowanie1akcent51">
    <w:name w:val="Średnie cieniowanie 1 — akcent 51"/>
    <w:basedOn w:val="Standardowy"/>
    <w:next w:val="redniecieniowanie1akcent5"/>
    <w:uiPriority w:val="63"/>
    <w:rsid w:val="00EE0C8C"/>
    <w:pPr>
      <w:spacing w:after="0" w:line="240" w:lineRule="auto"/>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redniasiatka1akcent51">
    <w:name w:val="Średnia siatka 1 — akcent 51"/>
    <w:basedOn w:val="Standardowy"/>
    <w:next w:val="redniasiatka1akcent5"/>
    <w:uiPriority w:val="67"/>
    <w:rsid w:val="00EE0C8C"/>
    <w:pPr>
      <w:spacing w:after="0" w:line="240" w:lineRule="auto"/>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redniasiatka3akcent51">
    <w:name w:val="Średnia siatka 3 — akcent 51"/>
    <w:basedOn w:val="Standardowy"/>
    <w:next w:val="redniasiatka3akcent5"/>
    <w:uiPriority w:val="69"/>
    <w:rsid w:val="00EE0C8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Kolorowasiatkaakcent51">
    <w:name w:val="Kolorowa siatka — akcent 51"/>
    <w:basedOn w:val="Standardowy"/>
    <w:next w:val="Kolorowasiatkaakcent5"/>
    <w:uiPriority w:val="73"/>
    <w:rsid w:val="00EE0C8C"/>
    <w:pPr>
      <w:spacing w:after="0" w:line="240" w:lineRule="auto"/>
    </w:pPr>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Jasnasiatkaakcent51">
    <w:name w:val="Jasna siatka — akcent 51"/>
    <w:basedOn w:val="Standardowy"/>
    <w:next w:val="Jasnasiatkaakcent5"/>
    <w:uiPriority w:val="62"/>
    <w:rsid w:val="00EE0C8C"/>
    <w:pPr>
      <w:spacing w:after="0" w:line="240" w:lineRule="auto"/>
    </w:pPr>
    <w:rPr>
      <w:rFonts w:eastAsia="Times New Roman"/>
      <w:lang w:eastAsia="pl-P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Jasnasiatkaakcent52">
    <w:name w:val="Jasna siatka — akcent 52"/>
    <w:basedOn w:val="Standardowy"/>
    <w:next w:val="Jasnasiatkaakcent5"/>
    <w:uiPriority w:val="62"/>
    <w:rsid w:val="00EE0C8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Standard">
    <w:name w:val="Standard"/>
    <w:rsid w:val="00EE0C8C"/>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numbering" w:customStyle="1" w:styleId="WWNum97">
    <w:name w:val="WWNum97"/>
    <w:basedOn w:val="Bezlisty"/>
    <w:rsid w:val="00EE0C8C"/>
    <w:pPr>
      <w:numPr>
        <w:numId w:val="27"/>
      </w:numPr>
    </w:pPr>
  </w:style>
  <w:style w:type="paragraph" w:customStyle="1" w:styleId="Bezodstpw1">
    <w:name w:val="Bez odstępów1"/>
    <w:next w:val="Bezodstpw"/>
    <w:uiPriority w:val="1"/>
    <w:qFormat/>
    <w:rsid w:val="00EE0C8C"/>
    <w:pPr>
      <w:spacing w:after="0" w:line="240" w:lineRule="auto"/>
    </w:pPr>
    <w:rPr>
      <w:rFonts w:eastAsia="Times New Roman"/>
      <w:lang w:eastAsia="pl-PL"/>
    </w:rPr>
  </w:style>
  <w:style w:type="table" w:customStyle="1" w:styleId="Tabela-Siatka1">
    <w:name w:val="Tabela - Siatka1"/>
    <w:basedOn w:val="Standardowy"/>
    <w:next w:val="Tabela-Siatka"/>
    <w:uiPriority w:val="59"/>
    <w:rsid w:val="00EE0C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EE0C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EE0C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EE0C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akcent41">
    <w:name w:val="Jasne cieniowanie — akcent 41"/>
    <w:basedOn w:val="Standardowy"/>
    <w:next w:val="Jasnecieniowanieakcent4"/>
    <w:uiPriority w:val="60"/>
    <w:rsid w:val="00EE0C8C"/>
    <w:pPr>
      <w:spacing w:after="0" w:line="240" w:lineRule="auto"/>
    </w:pPr>
    <w:rPr>
      <w:rFonts w:eastAsia="Times New Roman"/>
      <w:color w:val="5F497A"/>
      <w:lang w:eastAsia="pl-PL"/>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Jasnecieniowanieakcent21">
    <w:name w:val="Jasne cieniowanie — akcent 21"/>
    <w:basedOn w:val="Standardowy"/>
    <w:next w:val="Jasnecieniowanieakcent2"/>
    <w:uiPriority w:val="60"/>
    <w:rsid w:val="00EE0C8C"/>
    <w:pPr>
      <w:spacing w:after="0" w:line="240" w:lineRule="auto"/>
    </w:pPr>
    <w:rPr>
      <w:rFonts w:eastAsia="Times New Roman"/>
      <w:color w:val="943634"/>
      <w:lang w:eastAsia="pl-PL"/>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Jasnecieniowanieakcent61">
    <w:name w:val="Jasne cieniowanie — akcent 61"/>
    <w:basedOn w:val="Standardowy"/>
    <w:next w:val="Jasnecieniowanieakcent6"/>
    <w:uiPriority w:val="60"/>
    <w:rsid w:val="00EE0C8C"/>
    <w:pPr>
      <w:spacing w:after="0" w:line="240" w:lineRule="auto"/>
    </w:pPr>
    <w:rPr>
      <w:rFonts w:eastAsia="Times New Roman"/>
      <w:color w:val="E36C0A"/>
      <w:lang w:eastAsia="pl-PL"/>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Jasnalistaakcent31">
    <w:name w:val="Jasna lista — akcent 31"/>
    <w:basedOn w:val="Standardowy"/>
    <w:next w:val="Jasnalistaakcent3"/>
    <w:uiPriority w:val="61"/>
    <w:rsid w:val="00EE0C8C"/>
    <w:pPr>
      <w:spacing w:after="0" w:line="240" w:lineRule="auto"/>
    </w:pPr>
    <w:rPr>
      <w:rFonts w:eastAsia="Times New Roman"/>
      <w:lang w:eastAsia="pl-P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Tekstprzypisukocowego1">
    <w:name w:val="Tekst przypisu końcowego1"/>
    <w:basedOn w:val="Normalny"/>
    <w:next w:val="Tekstprzypisukocowego"/>
    <w:link w:val="TekstprzypisukocowegoZnak"/>
    <w:uiPriority w:val="99"/>
    <w:semiHidden/>
    <w:unhideWhenUsed/>
    <w:rsid w:val="00EE0C8C"/>
    <w:pPr>
      <w:spacing w:after="0" w:line="240" w:lineRule="auto"/>
    </w:pPr>
    <w:rPr>
      <w:sz w:val="20"/>
      <w:szCs w:val="20"/>
    </w:rPr>
  </w:style>
  <w:style w:type="character" w:customStyle="1" w:styleId="TekstprzypisukocowegoZnak">
    <w:name w:val="Tekst przypisu końcowego Znak"/>
    <w:basedOn w:val="Domylnaczcionkaakapitu"/>
    <w:link w:val="Tekstprzypisukocowego1"/>
    <w:uiPriority w:val="99"/>
    <w:semiHidden/>
    <w:rsid w:val="00EE0C8C"/>
    <w:rPr>
      <w:sz w:val="20"/>
      <w:szCs w:val="20"/>
    </w:rPr>
  </w:style>
  <w:style w:type="character" w:styleId="Odwoanieprzypisukocowego">
    <w:name w:val="endnote reference"/>
    <w:basedOn w:val="Domylnaczcionkaakapitu"/>
    <w:uiPriority w:val="99"/>
    <w:semiHidden/>
    <w:unhideWhenUsed/>
    <w:rsid w:val="00EE0C8C"/>
    <w:rPr>
      <w:vertAlign w:val="superscript"/>
    </w:rPr>
  </w:style>
  <w:style w:type="character" w:customStyle="1" w:styleId="Nagwek2Znak1">
    <w:name w:val="Nagłówek 2 Znak1"/>
    <w:basedOn w:val="Domylnaczcionkaakapitu"/>
    <w:uiPriority w:val="9"/>
    <w:semiHidden/>
    <w:rsid w:val="00EE0C8C"/>
    <w:rPr>
      <w:rFonts w:asciiTheme="majorHAnsi" w:eastAsiaTheme="majorEastAsia" w:hAnsiTheme="majorHAnsi" w:cstheme="majorBidi"/>
      <w:b/>
      <w:bCs/>
      <w:color w:val="4F81BD" w:themeColor="accent1"/>
      <w:sz w:val="26"/>
      <w:szCs w:val="26"/>
    </w:rPr>
  </w:style>
  <w:style w:type="character" w:customStyle="1" w:styleId="Nagwek3Znak1">
    <w:name w:val="Nagłówek 3 Znak1"/>
    <w:basedOn w:val="Domylnaczcionkaakapitu"/>
    <w:uiPriority w:val="9"/>
    <w:semiHidden/>
    <w:rsid w:val="00EE0C8C"/>
    <w:rPr>
      <w:rFonts w:asciiTheme="majorHAnsi" w:eastAsiaTheme="majorEastAsia" w:hAnsiTheme="majorHAnsi" w:cstheme="majorBidi"/>
      <w:b/>
      <w:bCs/>
      <w:color w:val="4F81BD" w:themeColor="accent1"/>
    </w:rPr>
  </w:style>
  <w:style w:type="character" w:customStyle="1" w:styleId="Nagwek4Znak1">
    <w:name w:val="Nagłówek 4 Znak1"/>
    <w:basedOn w:val="Domylnaczcionkaakapitu"/>
    <w:uiPriority w:val="9"/>
    <w:semiHidden/>
    <w:rsid w:val="00EE0C8C"/>
    <w:rPr>
      <w:rFonts w:asciiTheme="majorHAnsi" w:eastAsiaTheme="majorEastAsia" w:hAnsiTheme="majorHAnsi" w:cstheme="majorBidi"/>
      <w:b/>
      <w:bCs/>
      <w:i/>
      <w:iCs/>
      <w:color w:val="4F81BD" w:themeColor="accent1"/>
    </w:rPr>
  </w:style>
  <w:style w:type="paragraph" w:styleId="Akapitzlist">
    <w:name w:val="List Paragraph"/>
    <w:basedOn w:val="Normalny"/>
    <w:uiPriority w:val="34"/>
    <w:qFormat/>
    <w:rsid w:val="00EE0C8C"/>
    <w:pPr>
      <w:ind w:left="720"/>
      <w:contextualSpacing/>
    </w:pPr>
  </w:style>
  <w:style w:type="character" w:styleId="Hipercze">
    <w:name w:val="Hyperlink"/>
    <w:basedOn w:val="Domylnaczcionkaakapitu"/>
    <w:uiPriority w:val="99"/>
    <w:unhideWhenUsed/>
    <w:rsid w:val="00EE0C8C"/>
    <w:rPr>
      <w:color w:val="0000FF" w:themeColor="hyperlink"/>
      <w:u w:val="single"/>
    </w:rPr>
  </w:style>
  <w:style w:type="table" w:styleId="Jasnalistaakcent5">
    <w:name w:val="Light List Accent 5"/>
    <w:basedOn w:val="Standardowy"/>
    <w:uiPriority w:val="61"/>
    <w:rsid w:val="00EE0C8C"/>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Jasnecieniowanieakcent5">
    <w:name w:val="Light Shading Accent 5"/>
    <w:basedOn w:val="Standardowy"/>
    <w:uiPriority w:val="60"/>
    <w:rsid w:val="00EE0C8C"/>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redniecieniowanie2akcent5">
    <w:name w:val="Medium Shading 2 Accent 5"/>
    <w:basedOn w:val="Standardowy"/>
    <w:uiPriority w:val="64"/>
    <w:rsid w:val="00EE0C8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1akcent5">
    <w:name w:val="Medium Shading 1 Accent 5"/>
    <w:basedOn w:val="Standardowy"/>
    <w:uiPriority w:val="63"/>
    <w:rsid w:val="00EE0C8C"/>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redniasiatka1akcent5">
    <w:name w:val="Medium Grid 1 Accent 5"/>
    <w:basedOn w:val="Standardowy"/>
    <w:uiPriority w:val="67"/>
    <w:rsid w:val="00EE0C8C"/>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dniasiatka3akcent5">
    <w:name w:val="Medium Grid 3 Accent 5"/>
    <w:basedOn w:val="Standardowy"/>
    <w:uiPriority w:val="69"/>
    <w:rsid w:val="00EE0C8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Kolorowasiatkaakcent5">
    <w:name w:val="Colorful Grid Accent 5"/>
    <w:basedOn w:val="Standardowy"/>
    <w:uiPriority w:val="73"/>
    <w:rsid w:val="00EE0C8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Jasnasiatkaakcent5">
    <w:name w:val="Light Grid Accent 5"/>
    <w:basedOn w:val="Standardowy"/>
    <w:uiPriority w:val="62"/>
    <w:rsid w:val="00EE0C8C"/>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Bezodstpw">
    <w:name w:val="No Spacing"/>
    <w:uiPriority w:val="1"/>
    <w:qFormat/>
    <w:rsid w:val="00EE0C8C"/>
    <w:pPr>
      <w:spacing w:after="0" w:line="240" w:lineRule="auto"/>
    </w:pPr>
  </w:style>
  <w:style w:type="table" w:styleId="Jasnecieniowanieakcent4">
    <w:name w:val="Light Shading Accent 4"/>
    <w:basedOn w:val="Standardowy"/>
    <w:uiPriority w:val="60"/>
    <w:rsid w:val="00EE0C8C"/>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Jasnecieniowanieakcent2">
    <w:name w:val="Light Shading Accent 2"/>
    <w:basedOn w:val="Standardowy"/>
    <w:uiPriority w:val="60"/>
    <w:rsid w:val="00EE0C8C"/>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Jasnecieniowanieakcent6">
    <w:name w:val="Light Shading Accent 6"/>
    <w:basedOn w:val="Standardowy"/>
    <w:uiPriority w:val="60"/>
    <w:rsid w:val="00EE0C8C"/>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Jasnalistaakcent3">
    <w:name w:val="Light List Accent 3"/>
    <w:basedOn w:val="Standardowy"/>
    <w:uiPriority w:val="61"/>
    <w:rsid w:val="00EE0C8C"/>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Tekstprzypisukocowego">
    <w:name w:val="endnote text"/>
    <w:basedOn w:val="Normalny"/>
    <w:link w:val="TekstprzypisukocowegoZnak1"/>
    <w:uiPriority w:val="99"/>
    <w:semiHidden/>
    <w:unhideWhenUsed/>
    <w:rsid w:val="00EE0C8C"/>
    <w:pPr>
      <w:spacing w:after="0" w:line="240" w:lineRule="auto"/>
    </w:pPr>
    <w:rPr>
      <w:sz w:val="20"/>
      <w:szCs w:val="20"/>
    </w:rPr>
  </w:style>
  <w:style w:type="character" w:customStyle="1" w:styleId="TekstprzypisukocowegoZnak1">
    <w:name w:val="Tekst przypisu końcowego Znak1"/>
    <w:basedOn w:val="Domylnaczcionkaakapitu"/>
    <w:link w:val="Tekstprzypisukocowego"/>
    <w:uiPriority w:val="99"/>
    <w:semiHidden/>
    <w:rsid w:val="00EE0C8C"/>
    <w:rPr>
      <w:sz w:val="20"/>
      <w:szCs w:val="20"/>
    </w:rPr>
  </w:style>
  <w:style w:type="paragraph" w:styleId="Cytatintensywny">
    <w:name w:val="Intense Quote"/>
    <w:basedOn w:val="Normalny"/>
    <w:next w:val="Normalny"/>
    <w:link w:val="CytatintensywnyZnak"/>
    <w:uiPriority w:val="30"/>
    <w:qFormat/>
    <w:rsid w:val="00EE0C8C"/>
    <w:pPr>
      <w:pBdr>
        <w:bottom w:val="single" w:sz="4" w:space="4" w:color="4F81BD" w:themeColor="accent1"/>
      </w:pBdr>
      <w:spacing w:before="200" w:after="280"/>
      <w:ind w:left="936" w:right="936"/>
    </w:pPr>
    <w:rPr>
      <w:b/>
      <w:bCs/>
      <w:i/>
      <w:iCs/>
      <w:color w:val="4F81BD" w:themeColor="accent1"/>
    </w:rPr>
  </w:style>
  <w:style w:type="character" w:customStyle="1" w:styleId="CytatintensywnyZnak">
    <w:name w:val="Cytat intensywny Znak"/>
    <w:basedOn w:val="Domylnaczcionkaakapitu"/>
    <w:link w:val="Cytatintensywny"/>
    <w:uiPriority w:val="30"/>
    <w:rsid w:val="00EE0C8C"/>
    <w:rPr>
      <w:b/>
      <w:bCs/>
      <w:i/>
      <w:iCs/>
      <w:color w:val="4F81BD" w:themeColor="accent1"/>
    </w:rPr>
  </w:style>
  <w:style w:type="character" w:styleId="Wyrnienieintensywne">
    <w:name w:val="Intense Emphasis"/>
    <w:basedOn w:val="Domylnaczcionkaakapitu"/>
    <w:uiPriority w:val="21"/>
    <w:qFormat/>
    <w:rsid w:val="00EE0C8C"/>
    <w:rPr>
      <w:b/>
      <w:bCs/>
      <w:i/>
      <w:iCs/>
      <w:color w:val="4F81BD" w:themeColor="accent1"/>
    </w:rPr>
  </w:style>
  <w:style w:type="table" w:customStyle="1" w:styleId="Tabela-Siatka5">
    <w:name w:val="Tabela - Siatka5"/>
    <w:basedOn w:val="Standardowy"/>
    <w:next w:val="Tabela-Siatka"/>
    <w:uiPriority w:val="59"/>
    <w:rsid w:val="00EE0C8C"/>
    <w:pPr>
      <w:spacing w:after="0" w:line="240" w:lineRule="auto"/>
    </w:pPr>
    <w:rPr>
      <w:rFonts w:eastAsia="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59"/>
    <w:rsid w:val="00EE0C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lorowalistaakcent61">
    <w:name w:val="Kolorowa lista — akcent 61"/>
    <w:basedOn w:val="Standardowy"/>
    <w:next w:val="Kolorowalistaakcent6"/>
    <w:uiPriority w:val="72"/>
    <w:rsid w:val="00EE0C8C"/>
    <w:pPr>
      <w:spacing w:after="0" w:line="240" w:lineRule="auto"/>
    </w:pPr>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Kolorowalistaakcent6">
    <w:name w:val="Colorful List Accent 6"/>
    <w:basedOn w:val="Standardowy"/>
    <w:uiPriority w:val="72"/>
    <w:rsid w:val="00EE0C8C"/>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numbering" w:customStyle="1" w:styleId="WWNum6">
    <w:name w:val="WWNum6"/>
    <w:basedOn w:val="Bezlisty"/>
    <w:rsid w:val="00EE0C8C"/>
    <w:pPr>
      <w:numPr>
        <w:numId w:val="45"/>
      </w:numPr>
    </w:pPr>
  </w:style>
  <w:style w:type="numbering" w:customStyle="1" w:styleId="WWNum7">
    <w:name w:val="WWNum7"/>
    <w:basedOn w:val="Bezlisty"/>
    <w:rsid w:val="00EE0C8C"/>
    <w:pPr>
      <w:numPr>
        <w:numId w:val="46"/>
      </w:numPr>
    </w:pPr>
  </w:style>
  <w:style w:type="numbering" w:customStyle="1" w:styleId="WWNum8">
    <w:name w:val="WWNum8"/>
    <w:basedOn w:val="Bezlisty"/>
    <w:rsid w:val="00EE0C8C"/>
    <w:pPr>
      <w:numPr>
        <w:numId w:val="48"/>
      </w:numPr>
    </w:pPr>
  </w:style>
  <w:style w:type="numbering" w:customStyle="1" w:styleId="WWNum9">
    <w:name w:val="WWNum9"/>
    <w:basedOn w:val="Bezlisty"/>
    <w:rsid w:val="00EE0C8C"/>
    <w:pPr>
      <w:numPr>
        <w:numId w:val="49"/>
      </w:numPr>
    </w:pPr>
  </w:style>
  <w:style w:type="paragraph" w:styleId="Nagwekspisutreci">
    <w:name w:val="TOC Heading"/>
    <w:basedOn w:val="Nagwek1"/>
    <w:next w:val="Normalny"/>
    <w:uiPriority w:val="39"/>
    <w:unhideWhenUsed/>
    <w:qFormat/>
    <w:rsid w:val="00A76BDB"/>
    <w:pPr>
      <w:outlineLvl w:val="9"/>
    </w:pPr>
    <w:rPr>
      <w:lang w:eastAsia="pl-PL"/>
    </w:rPr>
  </w:style>
  <w:style w:type="paragraph" w:styleId="Spistreci3">
    <w:name w:val="toc 3"/>
    <w:basedOn w:val="Normalny"/>
    <w:next w:val="Normalny"/>
    <w:autoRedefine/>
    <w:uiPriority w:val="39"/>
    <w:unhideWhenUsed/>
    <w:qFormat/>
    <w:rsid w:val="00B1561B"/>
    <w:pPr>
      <w:tabs>
        <w:tab w:val="right" w:leader="dot" w:pos="9062"/>
      </w:tabs>
      <w:spacing w:after="100"/>
    </w:pPr>
    <w:rPr>
      <w:rFonts w:ascii="Cambria" w:eastAsia="Times New Roman" w:hAnsi="Cambria" w:cs="Times New Roman"/>
      <w:bCs/>
      <w:noProof/>
      <w:lang w:eastAsia="pl-PL"/>
    </w:rPr>
  </w:style>
  <w:style w:type="paragraph" w:styleId="Spistreci2">
    <w:name w:val="toc 2"/>
    <w:basedOn w:val="Normalny"/>
    <w:next w:val="Normalny"/>
    <w:autoRedefine/>
    <w:uiPriority w:val="39"/>
    <w:unhideWhenUsed/>
    <w:qFormat/>
    <w:rsid w:val="00A76BDB"/>
    <w:pPr>
      <w:spacing w:after="100"/>
      <w:ind w:left="220"/>
    </w:pPr>
  </w:style>
  <w:style w:type="paragraph" w:styleId="Spistreci1">
    <w:name w:val="toc 1"/>
    <w:basedOn w:val="Normalny"/>
    <w:next w:val="Normalny"/>
    <w:autoRedefine/>
    <w:uiPriority w:val="39"/>
    <w:semiHidden/>
    <w:unhideWhenUsed/>
    <w:qFormat/>
    <w:rsid w:val="008903A4"/>
    <w:pPr>
      <w:spacing w:after="100"/>
    </w:pPr>
    <w:rPr>
      <w:rFonts w:eastAsiaTheme="minorEastAsia"/>
      <w:lang w:eastAsia="pl-PL"/>
    </w:rPr>
  </w:style>
  <w:style w:type="character" w:styleId="Tytuksiki">
    <w:name w:val="Book Title"/>
    <w:basedOn w:val="Domylnaczcionkaakapitu"/>
    <w:uiPriority w:val="33"/>
    <w:qFormat/>
    <w:rsid w:val="008903A4"/>
    <w:rPr>
      <w:b/>
      <w:bCs/>
      <w:smallCaps/>
      <w:spacing w:val="5"/>
    </w:rPr>
  </w:style>
  <w:style w:type="table" w:customStyle="1" w:styleId="Tabela-Siatka61">
    <w:name w:val="Tabela - Siatka61"/>
    <w:basedOn w:val="Standardowy"/>
    <w:uiPriority w:val="59"/>
    <w:rsid w:val="0017074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E449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EE0C8C"/>
    <w:pPr>
      <w:keepNext/>
      <w:keepLines/>
      <w:spacing w:before="200" w:after="0"/>
      <w:outlineLvl w:val="1"/>
    </w:pPr>
    <w:rPr>
      <w:rFonts w:ascii="Cambria" w:eastAsia="Times New Roman" w:hAnsi="Cambria" w:cs="Times New Roman"/>
      <w:b/>
      <w:bCs/>
      <w:color w:val="4F81BD"/>
      <w:sz w:val="26"/>
      <w:szCs w:val="26"/>
    </w:rPr>
  </w:style>
  <w:style w:type="paragraph" w:styleId="Nagwek3">
    <w:name w:val="heading 3"/>
    <w:basedOn w:val="Normalny"/>
    <w:next w:val="Normalny"/>
    <w:link w:val="Nagwek3Znak"/>
    <w:uiPriority w:val="9"/>
    <w:unhideWhenUsed/>
    <w:qFormat/>
    <w:rsid w:val="00EE0C8C"/>
    <w:pPr>
      <w:keepNext/>
      <w:keepLines/>
      <w:spacing w:before="200" w:after="0"/>
      <w:outlineLvl w:val="2"/>
    </w:pPr>
    <w:rPr>
      <w:rFonts w:ascii="Cambria" w:eastAsia="Times New Roman" w:hAnsi="Cambria" w:cs="Times New Roman"/>
      <w:b/>
      <w:bCs/>
      <w:color w:val="4F81BD"/>
    </w:rPr>
  </w:style>
  <w:style w:type="paragraph" w:styleId="Nagwek4">
    <w:name w:val="heading 4"/>
    <w:basedOn w:val="Normalny"/>
    <w:next w:val="Normalny"/>
    <w:link w:val="Nagwek4Znak"/>
    <w:uiPriority w:val="9"/>
    <w:semiHidden/>
    <w:unhideWhenUsed/>
    <w:qFormat/>
    <w:rsid w:val="00EE0C8C"/>
    <w:pPr>
      <w:keepNext/>
      <w:keepLines/>
      <w:spacing w:before="200" w:after="0"/>
      <w:outlineLvl w:val="3"/>
    </w:pPr>
    <w:rPr>
      <w:rFonts w:ascii="Cambria" w:eastAsia="Times New Roman" w:hAnsi="Cambria" w:cs="Times New Roman"/>
      <w:b/>
      <w:bCs/>
      <w:i/>
      <w:iCs/>
      <w:color w:val="4F81BD"/>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aliases w:val="Footnote,Podrozdzia3,-E Fuﬂnotentext,Fuﬂnotentext Ursprung,Fußnotentext Ursprung,-E Fußnotentext,Footnote text,Tekst przypisu Znak Znak Znak Znak,Tekst przypisu Znak Znak Znak Znak Znak,footnote text,Fußnote,FOOTNOTES,o,fn"/>
    <w:basedOn w:val="Normalny"/>
    <w:link w:val="TekstprzypisudolnegoZnak"/>
    <w:uiPriority w:val="99"/>
    <w:unhideWhenUsed/>
    <w:rsid w:val="00A6085B"/>
    <w:pPr>
      <w:spacing w:after="0" w:line="240" w:lineRule="auto"/>
    </w:pPr>
    <w:rPr>
      <w:sz w:val="20"/>
      <w:szCs w:val="20"/>
    </w:rPr>
  </w:style>
  <w:style w:type="character" w:customStyle="1" w:styleId="TekstprzypisudolnegoZnak">
    <w:name w:val="Tekst przypisu dolnego Znak"/>
    <w:aliases w:val="Footnote Znak,Podrozdzia3 Znak,-E Fuﬂnotentext Znak,Fuﬂnotentext Ursprung Znak,Fußnotentext Ursprung Znak,-E Fußnotentext Znak,Footnote text Znak,Tekst przypisu Znak Znak Znak Znak Znak1,footnote text Znak,Fußnote Znak,o Znak"/>
    <w:basedOn w:val="Domylnaczcionkaakapitu"/>
    <w:link w:val="Tekstprzypisudolnego"/>
    <w:uiPriority w:val="99"/>
    <w:rsid w:val="00A6085B"/>
    <w:rPr>
      <w:sz w:val="20"/>
      <w:szCs w:val="20"/>
    </w:rPr>
  </w:style>
  <w:style w:type="character" w:styleId="Odwoanieprzypisudolnego">
    <w:name w:val="footnote reference"/>
    <w:aliases w:val="Footnote Reference Number,Footnote symbol"/>
    <w:uiPriority w:val="99"/>
    <w:unhideWhenUsed/>
    <w:rsid w:val="00A6085B"/>
    <w:rPr>
      <w:vertAlign w:val="superscript"/>
    </w:rPr>
  </w:style>
  <w:style w:type="paragraph" w:styleId="Tekstdymka">
    <w:name w:val="Balloon Text"/>
    <w:basedOn w:val="Normalny"/>
    <w:link w:val="TekstdymkaZnak"/>
    <w:uiPriority w:val="99"/>
    <w:semiHidden/>
    <w:unhideWhenUsed/>
    <w:rsid w:val="00A6085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6085B"/>
    <w:rPr>
      <w:rFonts w:ascii="Tahoma" w:hAnsi="Tahoma" w:cs="Tahoma"/>
      <w:sz w:val="16"/>
      <w:szCs w:val="16"/>
    </w:rPr>
  </w:style>
  <w:style w:type="table" w:styleId="Tabela-Siatka">
    <w:name w:val="Table Grid"/>
    <w:basedOn w:val="Standardowy"/>
    <w:uiPriority w:val="59"/>
    <w:rsid w:val="003005F7"/>
    <w:pPr>
      <w:spacing w:after="0" w:line="240" w:lineRule="auto"/>
    </w:pPr>
    <w:rPr>
      <w:rFonts w:eastAsiaTheme="minorEastAsia"/>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2549D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549D9"/>
  </w:style>
  <w:style w:type="paragraph" w:styleId="Stopka">
    <w:name w:val="footer"/>
    <w:basedOn w:val="Normalny"/>
    <w:link w:val="StopkaZnak"/>
    <w:uiPriority w:val="99"/>
    <w:unhideWhenUsed/>
    <w:rsid w:val="002549D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549D9"/>
  </w:style>
  <w:style w:type="character" w:customStyle="1" w:styleId="Nagwek1Znak">
    <w:name w:val="Nagłówek 1 Znak"/>
    <w:basedOn w:val="Domylnaczcionkaakapitu"/>
    <w:link w:val="Nagwek1"/>
    <w:uiPriority w:val="9"/>
    <w:rsid w:val="00E449E1"/>
    <w:rPr>
      <w:rFonts w:asciiTheme="majorHAnsi" w:eastAsiaTheme="majorEastAsia" w:hAnsiTheme="majorHAnsi" w:cstheme="majorBidi"/>
      <w:b/>
      <w:bCs/>
      <w:color w:val="365F91" w:themeColor="accent1" w:themeShade="BF"/>
      <w:sz w:val="28"/>
      <w:szCs w:val="28"/>
    </w:rPr>
  </w:style>
  <w:style w:type="paragraph" w:styleId="Tytu">
    <w:name w:val="Title"/>
    <w:basedOn w:val="Normalny"/>
    <w:next w:val="Normalny"/>
    <w:link w:val="TytuZnak"/>
    <w:uiPriority w:val="10"/>
    <w:qFormat/>
    <w:rsid w:val="00E449E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E449E1"/>
    <w:rPr>
      <w:rFonts w:asciiTheme="majorHAnsi" w:eastAsiaTheme="majorEastAsia" w:hAnsiTheme="majorHAnsi" w:cstheme="majorBidi"/>
      <w:color w:val="17365D" w:themeColor="text2" w:themeShade="BF"/>
      <w:spacing w:val="5"/>
      <w:kern w:val="28"/>
      <w:sz w:val="52"/>
      <w:szCs w:val="52"/>
    </w:rPr>
  </w:style>
  <w:style w:type="paragraph" w:customStyle="1" w:styleId="Nagwek21">
    <w:name w:val="Nagłówek 21"/>
    <w:basedOn w:val="Normalny"/>
    <w:next w:val="Normalny"/>
    <w:uiPriority w:val="9"/>
    <w:unhideWhenUsed/>
    <w:qFormat/>
    <w:rsid w:val="00EE0C8C"/>
    <w:pPr>
      <w:keepNext/>
      <w:keepLines/>
      <w:spacing w:before="200" w:after="0"/>
      <w:outlineLvl w:val="1"/>
    </w:pPr>
    <w:rPr>
      <w:rFonts w:ascii="Cambria" w:eastAsia="Times New Roman" w:hAnsi="Cambria" w:cs="Times New Roman"/>
      <w:b/>
      <w:bCs/>
      <w:color w:val="4F81BD"/>
      <w:sz w:val="26"/>
      <w:szCs w:val="26"/>
    </w:rPr>
  </w:style>
  <w:style w:type="paragraph" w:customStyle="1" w:styleId="Nagwek31">
    <w:name w:val="Nagłówek 31"/>
    <w:basedOn w:val="Normalny"/>
    <w:next w:val="Normalny"/>
    <w:uiPriority w:val="9"/>
    <w:unhideWhenUsed/>
    <w:qFormat/>
    <w:rsid w:val="00EE0C8C"/>
    <w:pPr>
      <w:keepNext/>
      <w:keepLines/>
      <w:spacing w:before="200" w:after="0"/>
      <w:outlineLvl w:val="2"/>
    </w:pPr>
    <w:rPr>
      <w:rFonts w:ascii="Cambria" w:eastAsia="Times New Roman" w:hAnsi="Cambria" w:cs="Times New Roman"/>
      <w:b/>
      <w:bCs/>
      <w:color w:val="4F81BD"/>
    </w:rPr>
  </w:style>
  <w:style w:type="paragraph" w:customStyle="1" w:styleId="Nagwek41">
    <w:name w:val="Nagłówek 41"/>
    <w:basedOn w:val="Normalny"/>
    <w:next w:val="Normalny"/>
    <w:uiPriority w:val="9"/>
    <w:unhideWhenUsed/>
    <w:qFormat/>
    <w:rsid w:val="00EE0C8C"/>
    <w:pPr>
      <w:keepNext/>
      <w:keepLines/>
      <w:spacing w:before="200" w:after="0"/>
      <w:outlineLvl w:val="3"/>
    </w:pPr>
    <w:rPr>
      <w:rFonts w:ascii="Cambria" w:eastAsia="Times New Roman" w:hAnsi="Cambria" w:cs="Times New Roman"/>
      <w:b/>
      <w:bCs/>
      <w:i/>
      <w:iCs/>
      <w:color w:val="4F81BD"/>
    </w:rPr>
  </w:style>
  <w:style w:type="numbering" w:customStyle="1" w:styleId="Bezlisty1">
    <w:name w:val="Bez listy1"/>
    <w:next w:val="Bezlisty"/>
    <w:uiPriority w:val="99"/>
    <w:semiHidden/>
    <w:unhideWhenUsed/>
    <w:rsid w:val="00EE0C8C"/>
  </w:style>
  <w:style w:type="character" w:customStyle="1" w:styleId="Nagwek2Znak">
    <w:name w:val="Nagłówek 2 Znak"/>
    <w:basedOn w:val="Domylnaczcionkaakapitu"/>
    <w:link w:val="Nagwek2"/>
    <w:uiPriority w:val="9"/>
    <w:rsid w:val="00EE0C8C"/>
    <w:rPr>
      <w:rFonts w:ascii="Cambria" w:eastAsia="Times New Roman" w:hAnsi="Cambria" w:cs="Times New Roman"/>
      <w:b/>
      <w:bCs/>
      <w:color w:val="4F81BD"/>
      <w:sz w:val="26"/>
      <w:szCs w:val="26"/>
      <w:lang w:eastAsia="en-US"/>
    </w:rPr>
  </w:style>
  <w:style w:type="character" w:customStyle="1" w:styleId="Nagwek3Znak">
    <w:name w:val="Nagłówek 3 Znak"/>
    <w:basedOn w:val="Domylnaczcionkaakapitu"/>
    <w:link w:val="Nagwek3"/>
    <w:uiPriority w:val="9"/>
    <w:rsid w:val="00EE0C8C"/>
    <w:rPr>
      <w:rFonts w:ascii="Cambria" w:eastAsia="Times New Roman" w:hAnsi="Cambria" w:cs="Times New Roman"/>
      <w:b/>
      <w:bCs/>
      <w:color w:val="4F81BD"/>
      <w:lang w:eastAsia="en-US"/>
    </w:rPr>
  </w:style>
  <w:style w:type="character" w:customStyle="1" w:styleId="Nagwek4Znak">
    <w:name w:val="Nagłówek 4 Znak"/>
    <w:basedOn w:val="Domylnaczcionkaakapitu"/>
    <w:link w:val="Nagwek4"/>
    <w:uiPriority w:val="9"/>
    <w:rsid w:val="00EE0C8C"/>
    <w:rPr>
      <w:rFonts w:ascii="Cambria" w:eastAsia="Times New Roman" w:hAnsi="Cambria" w:cs="Times New Roman"/>
      <w:b/>
      <w:bCs/>
      <w:i/>
      <w:iCs/>
      <w:color w:val="4F81BD"/>
      <w:lang w:eastAsia="en-US"/>
    </w:rPr>
  </w:style>
  <w:style w:type="paragraph" w:customStyle="1" w:styleId="Akapitzlist1">
    <w:name w:val="Akapit z listą1"/>
    <w:basedOn w:val="Normalny"/>
    <w:next w:val="Akapitzlist"/>
    <w:uiPriority w:val="34"/>
    <w:qFormat/>
    <w:rsid w:val="00EE0C8C"/>
    <w:pPr>
      <w:ind w:left="720"/>
      <w:contextualSpacing/>
    </w:pPr>
  </w:style>
  <w:style w:type="paragraph" w:customStyle="1" w:styleId="Nagwekspisutreci1">
    <w:name w:val="Nagłówek spisu treści1"/>
    <w:basedOn w:val="Nagwek1"/>
    <w:next w:val="Normalny"/>
    <w:uiPriority w:val="39"/>
    <w:semiHidden/>
    <w:unhideWhenUsed/>
    <w:qFormat/>
    <w:rsid w:val="00EE0C8C"/>
    <w:pPr>
      <w:outlineLvl w:val="9"/>
    </w:pPr>
    <w:rPr>
      <w:lang w:eastAsia="pl-PL"/>
    </w:rPr>
  </w:style>
  <w:style w:type="paragraph" w:customStyle="1" w:styleId="Spistreci11">
    <w:name w:val="Spis treści 11"/>
    <w:basedOn w:val="Normalny"/>
    <w:next w:val="Normalny"/>
    <w:autoRedefine/>
    <w:uiPriority w:val="39"/>
    <w:unhideWhenUsed/>
    <w:rsid w:val="00EE0C8C"/>
    <w:pPr>
      <w:spacing w:after="100"/>
    </w:pPr>
  </w:style>
  <w:style w:type="paragraph" w:customStyle="1" w:styleId="Spistreci21">
    <w:name w:val="Spis treści 21"/>
    <w:basedOn w:val="Normalny"/>
    <w:next w:val="Normalny"/>
    <w:autoRedefine/>
    <w:uiPriority w:val="39"/>
    <w:unhideWhenUsed/>
    <w:rsid w:val="00EE0C8C"/>
    <w:pPr>
      <w:spacing w:after="100"/>
      <w:ind w:left="220"/>
    </w:pPr>
  </w:style>
  <w:style w:type="paragraph" w:customStyle="1" w:styleId="Spistreci31">
    <w:name w:val="Spis treści 31"/>
    <w:basedOn w:val="Normalny"/>
    <w:next w:val="Normalny"/>
    <w:autoRedefine/>
    <w:uiPriority w:val="39"/>
    <w:unhideWhenUsed/>
    <w:rsid w:val="00EE0C8C"/>
    <w:pPr>
      <w:spacing w:after="100"/>
      <w:ind w:left="440"/>
    </w:pPr>
  </w:style>
  <w:style w:type="character" w:customStyle="1" w:styleId="Hipercze1">
    <w:name w:val="Hiperłącze1"/>
    <w:basedOn w:val="Domylnaczcionkaakapitu"/>
    <w:uiPriority w:val="99"/>
    <w:unhideWhenUsed/>
    <w:rsid w:val="00EE0C8C"/>
    <w:rPr>
      <w:color w:val="0000FF"/>
      <w:u w:val="single"/>
    </w:rPr>
  </w:style>
  <w:style w:type="paragraph" w:styleId="NormalnyWeb">
    <w:name w:val="Normal (Web)"/>
    <w:basedOn w:val="Normalny"/>
    <w:uiPriority w:val="99"/>
    <w:unhideWhenUsed/>
    <w:rsid w:val="00EE0C8C"/>
    <w:pPr>
      <w:spacing w:before="100" w:beforeAutospacing="1" w:after="100" w:afterAutospacing="1" w:line="240" w:lineRule="auto"/>
    </w:pPr>
    <w:rPr>
      <w:rFonts w:ascii="Times New Roman" w:eastAsia="Times New Roman" w:hAnsi="Times New Roman" w:cs="Times New Roman"/>
      <w:sz w:val="24"/>
      <w:szCs w:val="24"/>
      <w:lang w:eastAsia="pl-PL"/>
    </w:rPr>
  </w:style>
  <w:style w:type="table" w:customStyle="1" w:styleId="Jasnalistaakcent51">
    <w:name w:val="Jasna lista — akcent 51"/>
    <w:basedOn w:val="Standardowy"/>
    <w:next w:val="Jasnalistaakcent5"/>
    <w:uiPriority w:val="61"/>
    <w:rsid w:val="00EE0C8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Jasnecieniowanieakcent51">
    <w:name w:val="Jasne cieniowanie — akcent 51"/>
    <w:basedOn w:val="Standardowy"/>
    <w:next w:val="Jasnecieniowanieakcent5"/>
    <w:uiPriority w:val="60"/>
    <w:rsid w:val="00EE0C8C"/>
    <w:pPr>
      <w:spacing w:after="0" w:line="240" w:lineRule="auto"/>
    </w:pPr>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redniecieniowanie2akcent51">
    <w:name w:val="Średnie cieniowanie 2 — akcent 51"/>
    <w:basedOn w:val="Standardowy"/>
    <w:next w:val="redniecieniowanie2akcent5"/>
    <w:uiPriority w:val="64"/>
    <w:rsid w:val="00EE0C8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Pogrubienie">
    <w:name w:val="Strong"/>
    <w:basedOn w:val="Domylnaczcionkaakapitu"/>
    <w:uiPriority w:val="22"/>
    <w:qFormat/>
    <w:rsid w:val="00EE0C8C"/>
    <w:rPr>
      <w:b/>
      <w:bCs/>
    </w:rPr>
  </w:style>
  <w:style w:type="paragraph" w:customStyle="1" w:styleId="Default">
    <w:name w:val="Default"/>
    <w:rsid w:val="00EE0C8C"/>
    <w:pPr>
      <w:widowControl w:val="0"/>
      <w:suppressAutoHyphens/>
      <w:autoSpaceDN w:val="0"/>
      <w:spacing w:after="0" w:line="240" w:lineRule="auto"/>
    </w:pPr>
    <w:rPr>
      <w:rFonts w:ascii="Calibri" w:eastAsia="SimSun" w:hAnsi="Calibri" w:cs="Mangal"/>
      <w:color w:val="000000"/>
      <w:kern w:val="3"/>
      <w:sz w:val="24"/>
      <w:szCs w:val="24"/>
      <w:lang w:eastAsia="zh-CN" w:bidi="hi-IN"/>
    </w:rPr>
  </w:style>
  <w:style w:type="table" w:customStyle="1" w:styleId="redniecieniowanie1akcent51">
    <w:name w:val="Średnie cieniowanie 1 — akcent 51"/>
    <w:basedOn w:val="Standardowy"/>
    <w:next w:val="redniecieniowanie1akcent5"/>
    <w:uiPriority w:val="63"/>
    <w:rsid w:val="00EE0C8C"/>
    <w:pPr>
      <w:spacing w:after="0" w:line="240" w:lineRule="auto"/>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redniasiatka1akcent51">
    <w:name w:val="Średnia siatka 1 — akcent 51"/>
    <w:basedOn w:val="Standardowy"/>
    <w:next w:val="redniasiatka1akcent5"/>
    <w:uiPriority w:val="67"/>
    <w:rsid w:val="00EE0C8C"/>
    <w:pPr>
      <w:spacing w:after="0" w:line="240" w:lineRule="auto"/>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redniasiatka3akcent51">
    <w:name w:val="Średnia siatka 3 — akcent 51"/>
    <w:basedOn w:val="Standardowy"/>
    <w:next w:val="redniasiatka3akcent5"/>
    <w:uiPriority w:val="69"/>
    <w:rsid w:val="00EE0C8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Kolorowasiatkaakcent51">
    <w:name w:val="Kolorowa siatka — akcent 51"/>
    <w:basedOn w:val="Standardowy"/>
    <w:next w:val="Kolorowasiatkaakcent5"/>
    <w:uiPriority w:val="73"/>
    <w:rsid w:val="00EE0C8C"/>
    <w:pPr>
      <w:spacing w:after="0" w:line="240" w:lineRule="auto"/>
    </w:pPr>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Jasnasiatkaakcent51">
    <w:name w:val="Jasna siatka — akcent 51"/>
    <w:basedOn w:val="Standardowy"/>
    <w:next w:val="Jasnasiatkaakcent5"/>
    <w:uiPriority w:val="62"/>
    <w:rsid w:val="00EE0C8C"/>
    <w:pPr>
      <w:spacing w:after="0" w:line="240" w:lineRule="auto"/>
    </w:pPr>
    <w:rPr>
      <w:rFonts w:eastAsia="Times New Roman"/>
      <w:lang w:eastAsia="pl-P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Jasnasiatkaakcent52">
    <w:name w:val="Jasna siatka — akcent 52"/>
    <w:basedOn w:val="Standardowy"/>
    <w:next w:val="Jasnasiatkaakcent5"/>
    <w:uiPriority w:val="62"/>
    <w:rsid w:val="00EE0C8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Standard">
    <w:name w:val="Standard"/>
    <w:rsid w:val="00EE0C8C"/>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numbering" w:customStyle="1" w:styleId="WWNum97">
    <w:name w:val="WWNum97"/>
    <w:basedOn w:val="Bezlisty"/>
    <w:rsid w:val="00EE0C8C"/>
    <w:pPr>
      <w:numPr>
        <w:numId w:val="27"/>
      </w:numPr>
    </w:pPr>
  </w:style>
  <w:style w:type="paragraph" w:customStyle="1" w:styleId="Bezodstpw1">
    <w:name w:val="Bez odstępów1"/>
    <w:next w:val="Bezodstpw"/>
    <w:uiPriority w:val="1"/>
    <w:qFormat/>
    <w:rsid w:val="00EE0C8C"/>
    <w:pPr>
      <w:spacing w:after="0" w:line="240" w:lineRule="auto"/>
    </w:pPr>
    <w:rPr>
      <w:rFonts w:eastAsia="Times New Roman"/>
      <w:lang w:eastAsia="pl-PL"/>
    </w:rPr>
  </w:style>
  <w:style w:type="table" w:customStyle="1" w:styleId="Tabela-Siatka1">
    <w:name w:val="Tabela - Siatka1"/>
    <w:basedOn w:val="Standardowy"/>
    <w:next w:val="Tabela-Siatka"/>
    <w:uiPriority w:val="59"/>
    <w:rsid w:val="00EE0C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EE0C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EE0C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EE0C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akcent41">
    <w:name w:val="Jasne cieniowanie — akcent 41"/>
    <w:basedOn w:val="Standardowy"/>
    <w:next w:val="Jasnecieniowanieakcent4"/>
    <w:uiPriority w:val="60"/>
    <w:rsid w:val="00EE0C8C"/>
    <w:pPr>
      <w:spacing w:after="0" w:line="240" w:lineRule="auto"/>
    </w:pPr>
    <w:rPr>
      <w:rFonts w:eastAsia="Times New Roman"/>
      <w:color w:val="5F497A"/>
      <w:lang w:eastAsia="pl-PL"/>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Jasnecieniowanieakcent21">
    <w:name w:val="Jasne cieniowanie — akcent 21"/>
    <w:basedOn w:val="Standardowy"/>
    <w:next w:val="Jasnecieniowanieakcent2"/>
    <w:uiPriority w:val="60"/>
    <w:rsid w:val="00EE0C8C"/>
    <w:pPr>
      <w:spacing w:after="0" w:line="240" w:lineRule="auto"/>
    </w:pPr>
    <w:rPr>
      <w:rFonts w:eastAsia="Times New Roman"/>
      <w:color w:val="943634"/>
      <w:lang w:eastAsia="pl-PL"/>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Jasnecieniowanieakcent61">
    <w:name w:val="Jasne cieniowanie — akcent 61"/>
    <w:basedOn w:val="Standardowy"/>
    <w:next w:val="Jasnecieniowanieakcent6"/>
    <w:uiPriority w:val="60"/>
    <w:rsid w:val="00EE0C8C"/>
    <w:pPr>
      <w:spacing w:after="0" w:line="240" w:lineRule="auto"/>
    </w:pPr>
    <w:rPr>
      <w:rFonts w:eastAsia="Times New Roman"/>
      <w:color w:val="E36C0A"/>
      <w:lang w:eastAsia="pl-PL"/>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Jasnalistaakcent31">
    <w:name w:val="Jasna lista — akcent 31"/>
    <w:basedOn w:val="Standardowy"/>
    <w:next w:val="Jasnalistaakcent3"/>
    <w:uiPriority w:val="61"/>
    <w:rsid w:val="00EE0C8C"/>
    <w:pPr>
      <w:spacing w:after="0" w:line="240" w:lineRule="auto"/>
    </w:pPr>
    <w:rPr>
      <w:rFonts w:eastAsia="Times New Roman"/>
      <w:lang w:eastAsia="pl-P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Tekstprzypisukocowego1">
    <w:name w:val="Tekst przypisu końcowego1"/>
    <w:basedOn w:val="Normalny"/>
    <w:next w:val="Tekstprzypisukocowego"/>
    <w:link w:val="TekstprzypisukocowegoZnak"/>
    <w:uiPriority w:val="99"/>
    <w:semiHidden/>
    <w:unhideWhenUsed/>
    <w:rsid w:val="00EE0C8C"/>
    <w:pPr>
      <w:spacing w:after="0" w:line="240" w:lineRule="auto"/>
    </w:pPr>
    <w:rPr>
      <w:sz w:val="20"/>
      <w:szCs w:val="20"/>
    </w:rPr>
  </w:style>
  <w:style w:type="character" w:customStyle="1" w:styleId="TekstprzypisukocowegoZnak">
    <w:name w:val="Tekst przypisu końcowego Znak"/>
    <w:basedOn w:val="Domylnaczcionkaakapitu"/>
    <w:link w:val="Tekstprzypisukocowego1"/>
    <w:uiPriority w:val="99"/>
    <w:semiHidden/>
    <w:rsid w:val="00EE0C8C"/>
    <w:rPr>
      <w:sz w:val="20"/>
      <w:szCs w:val="20"/>
    </w:rPr>
  </w:style>
  <w:style w:type="character" w:styleId="Odwoanieprzypisukocowego">
    <w:name w:val="endnote reference"/>
    <w:basedOn w:val="Domylnaczcionkaakapitu"/>
    <w:uiPriority w:val="99"/>
    <w:semiHidden/>
    <w:unhideWhenUsed/>
    <w:rsid w:val="00EE0C8C"/>
    <w:rPr>
      <w:vertAlign w:val="superscript"/>
    </w:rPr>
  </w:style>
  <w:style w:type="character" w:customStyle="1" w:styleId="Nagwek2Znak1">
    <w:name w:val="Nagłówek 2 Znak1"/>
    <w:basedOn w:val="Domylnaczcionkaakapitu"/>
    <w:uiPriority w:val="9"/>
    <w:semiHidden/>
    <w:rsid w:val="00EE0C8C"/>
    <w:rPr>
      <w:rFonts w:asciiTheme="majorHAnsi" w:eastAsiaTheme="majorEastAsia" w:hAnsiTheme="majorHAnsi" w:cstheme="majorBidi"/>
      <w:b/>
      <w:bCs/>
      <w:color w:val="4F81BD" w:themeColor="accent1"/>
      <w:sz w:val="26"/>
      <w:szCs w:val="26"/>
    </w:rPr>
  </w:style>
  <w:style w:type="character" w:customStyle="1" w:styleId="Nagwek3Znak1">
    <w:name w:val="Nagłówek 3 Znak1"/>
    <w:basedOn w:val="Domylnaczcionkaakapitu"/>
    <w:uiPriority w:val="9"/>
    <w:semiHidden/>
    <w:rsid w:val="00EE0C8C"/>
    <w:rPr>
      <w:rFonts w:asciiTheme="majorHAnsi" w:eastAsiaTheme="majorEastAsia" w:hAnsiTheme="majorHAnsi" w:cstheme="majorBidi"/>
      <w:b/>
      <w:bCs/>
      <w:color w:val="4F81BD" w:themeColor="accent1"/>
    </w:rPr>
  </w:style>
  <w:style w:type="character" w:customStyle="1" w:styleId="Nagwek4Znak1">
    <w:name w:val="Nagłówek 4 Znak1"/>
    <w:basedOn w:val="Domylnaczcionkaakapitu"/>
    <w:uiPriority w:val="9"/>
    <w:semiHidden/>
    <w:rsid w:val="00EE0C8C"/>
    <w:rPr>
      <w:rFonts w:asciiTheme="majorHAnsi" w:eastAsiaTheme="majorEastAsia" w:hAnsiTheme="majorHAnsi" w:cstheme="majorBidi"/>
      <w:b/>
      <w:bCs/>
      <w:i/>
      <w:iCs/>
      <w:color w:val="4F81BD" w:themeColor="accent1"/>
    </w:rPr>
  </w:style>
  <w:style w:type="paragraph" w:styleId="Akapitzlist">
    <w:name w:val="List Paragraph"/>
    <w:basedOn w:val="Normalny"/>
    <w:uiPriority w:val="34"/>
    <w:qFormat/>
    <w:rsid w:val="00EE0C8C"/>
    <w:pPr>
      <w:ind w:left="720"/>
      <w:contextualSpacing/>
    </w:pPr>
  </w:style>
  <w:style w:type="character" w:styleId="Hipercze">
    <w:name w:val="Hyperlink"/>
    <w:basedOn w:val="Domylnaczcionkaakapitu"/>
    <w:uiPriority w:val="99"/>
    <w:unhideWhenUsed/>
    <w:rsid w:val="00EE0C8C"/>
    <w:rPr>
      <w:color w:val="0000FF" w:themeColor="hyperlink"/>
      <w:u w:val="single"/>
    </w:rPr>
  </w:style>
  <w:style w:type="table" w:styleId="Jasnalistaakcent5">
    <w:name w:val="Light List Accent 5"/>
    <w:basedOn w:val="Standardowy"/>
    <w:uiPriority w:val="61"/>
    <w:rsid w:val="00EE0C8C"/>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Jasnecieniowanieakcent5">
    <w:name w:val="Light Shading Accent 5"/>
    <w:basedOn w:val="Standardowy"/>
    <w:uiPriority w:val="60"/>
    <w:rsid w:val="00EE0C8C"/>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redniecieniowanie2akcent5">
    <w:name w:val="Medium Shading 2 Accent 5"/>
    <w:basedOn w:val="Standardowy"/>
    <w:uiPriority w:val="64"/>
    <w:rsid w:val="00EE0C8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1akcent5">
    <w:name w:val="Medium Shading 1 Accent 5"/>
    <w:basedOn w:val="Standardowy"/>
    <w:uiPriority w:val="63"/>
    <w:rsid w:val="00EE0C8C"/>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redniasiatka1akcent5">
    <w:name w:val="Medium Grid 1 Accent 5"/>
    <w:basedOn w:val="Standardowy"/>
    <w:uiPriority w:val="67"/>
    <w:rsid w:val="00EE0C8C"/>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dniasiatka3akcent5">
    <w:name w:val="Medium Grid 3 Accent 5"/>
    <w:basedOn w:val="Standardowy"/>
    <w:uiPriority w:val="69"/>
    <w:rsid w:val="00EE0C8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Kolorowasiatkaakcent5">
    <w:name w:val="Colorful Grid Accent 5"/>
    <w:basedOn w:val="Standardowy"/>
    <w:uiPriority w:val="73"/>
    <w:rsid w:val="00EE0C8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Jasnasiatkaakcent5">
    <w:name w:val="Light Grid Accent 5"/>
    <w:basedOn w:val="Standardowy"/>
    <w:uiPriority w:val="62"/>
    <w:rsid w:val="00EE0C8C"/>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Bezodstpw">
    <w:name w:val="No Spacing"/>
    <w:uiPriority w:val="1"/>
    <w:qFormat/>
    <w:rsid w:val="00EE0C8C"/>
    <w:pPr>
      <w:spacing w:after="0" w:line="240" w:lineRule="auto"/>
    </w:pPr>
  </w:style>
  <w:style w:type="table" w:styleId="Jasnecieniowanieakcent4">
    <w:name w:val="Light Shading Accent 4"/>
    <w:basedOn w:val="Standardowy"/>
    <w:uiPriority w:val="60"/>
    <w:rsid w:val="00EE0C8C"/>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Jasnecieniowanieakcent2">
    <w:name w:val="Light Shading Accent 2"/>
    <w:basedOn w:val="Standardowy"/>
    <w:uiPriority w:val="60"/>
    <w:rsid w:val="00EE0C8C"/>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Jasnecieniowanieakcent6">
    <w:name w:val="Light Shading Accent 6"/>
    <w:basedOn w:val="Standardowy"/>
    <w:uiPriority w:val="60"/>
    <w:rsid w:val="00EE0C8C"/>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Jasnalistaakcent3">
    <w:name w:val="Light List Accent 3"/>
    <w:basedOn w:val="Standardowy"/>
    <w:uiPriority w:val="61"/>
    <w:rsid w:val="00EE0C8C"/>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Tekstprzypisukocowego">
    <w:name w:val="endnote text"/>
    <w:basedOn w:val="Normalny"/>
    <w:link w:val="TekstprzypisukocowegoZnak1"/>
    <w:uiPriority w:val="99"/>
    <w:semiHidden/>
    <w:unhideWhenUsed/>
    <w:rsid w:val="00EE0C8C"/>
    <w:pPr>
      <w:spacing w:after="0" w:line="240" w:lineRule="auto"/>
    </w:pPr>
    <w:rPr>
      <w:sz w:val="20"/>
      <w:szCs w:val="20"/>
    </w:rPr>
  </w:style>
  <w:style w:type="character" w:customStyle="1" w:styleId="TekstprzypisukocowegoZnak1">
    <w:name w:val="Tekst przypisu końcowego Znak1"/>
    <w:basedOn w:val="Domylnaczcionkaakapitu"/>
    <w:link w:val="Tekstprzypisukocowego"/>
    <w:uiPriority w:val="99"/>
    <w:semiHidden/>
    <w:rsid w:val="00EE0C8C"/>
    <w:rPr>
      <w:sz w:val="20"/>
      <w:szCs w:val="20"/>
    </w:rPr>
  </w:style>
  <w:style w:type="paragraph" w:styleId="Cytatintensywny">
    <w:name w:val="Intense Quote"/>
    <w:basedOn w:val="Normalny"/>
    <w:next w:val="Normalny"/>
    <w:link w:val="CytatintensywnyZnak"/>
    <w:uiPriority w:val="30"/>
    <w:qFormat/>
    <w:rsid w:val="00EE0C8C"/>
    <w:pPr>
      <w:pBdr>
        <w:bottom w:val="single" w:sz="4" w:space="4" w:color="4F81BD" w:themeColor="accent1"/>
      </w:pBdr>
      <w:spacing w:before="200" w:after="280"/>
      <w:ind w:left="936" w:right="936"/>
    </w:pPr>
    <w:rPr>
      <w:b/>
      <w:bCs/>
      <w:i/>
      <w:iCs/>
      <w:color w:val="4F81BD" w:themeColor="accent1"/>
    </w:rPr>
  </w:style>
  <w:style w:type="character" w:customStyle="1" w:styleId="CytatintensywnyZnak">
    <w:name w:val="Cytat intensywny Znak"/>
    <w:basedOn w:val="Domylnaczcionkaakapitu"/>
    <w:link w:val="Cytatintensywny"/>
    <w:uiPriority w:val="30"/>
    <w:rsid w:val="00EE0C8C"/>
    <w:rPr>
      <w:b/>
      <w:bCs/>
      <w:i/>
      <w:iCs/>
      <w:color w:val="4F81BD" w:themeColor="accent1"/>
    </w:rPr>
  </w:style>
  <w:style w:type="character" w:styleId="Wyrnienieintensywne">
    <w:name w:val="Intense Emphasis"/>
    <w:basedOn w:val="Domylnaczcionkaakapitu"/>
    <w:uiPriority w:val="21"/>
    <w:qFormat/>
    <w:rsid w:val="00EE0C8C"/>
    <w:rPr>
      <w:b/>
      <w:bCs/>
      <w:i/>
      <w:iCs/>
      <w:color w:val="4F81BD" w:themeColor="accent1"/>
    </w:rPr>
  </w:style>
  <w:style w:type="table" w:customStyle="1" w:styleId="Tabela-Siatka5">
    <w:name w:val="Tabela - Siatka5"/>
    <w:basedOn w:val="Standardowy"/>
    <w:next w:val="Tabela-Siatka"/>
    <w:uiPriority w:val="59"/>
    <w:rsid w:val="00EE0C8C"/>
    <w:pPr>
      <w:spacing w:after="0" w:line="240" w:lineRule="auto"/>
    </w:pPr>
    <w:rPr>
      <w:rFonts w:eastAsia="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59"/>
    <w:rsid w:val="00EE0C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lorowalistaakcent61">
    <w:name w:val="Kolorowa lista — akcent 61"/>
    <w:basedOn w:val="Standardowy"/>
    <w:next w:val="Kolorowalistaakcent6"/>
    <w:uiPriority w:val="72"/>
    <w:rsid w:val="00EE0C8C"/>
    <w:pPr>
      <w:spacing w:after="0" w:line="240" w:lineRule="auto"/>
    </w:pPr>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Kolorowalistaakcent6">
    <w:name w:val="Colorful List Accent 6"/>
    <w:basedOn w:val="Standardowy"/>
    <w:uiPriority w:val="72"/>
    <w:rsid w:val="00EE0C8C"/>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numbering" w:customStyle="1" w:styleId="WWNum6">
    <w:name w:val="WWNum6"/>
    <w:basedOn w:val="Bezlisty"/>
    <w:rsid w:val="00EE0C8C"/>
    <w:pPr>
      <w:numPr>
        <w:numId w:val="45"/>
      </w:numPr>
    </w:pPr>
  </w:style>
  <w:style w:type="numbering" w:customStyle="1" w:styleId="WWNum7">
    <w:name w:val="WWNum7"/>
    <w:basedOn w:val="Bezlisty"/>
    <w:rsid w:val="00EE0C8C"/>
    <w:pPr>
      <w:numPr>
        <w:numId w:val="46"/>
      </w:numPr>
    </w:pPr>
  </w:style>
  <w:style w:type="numbering" w:customStyle="1" w:styleId="WWNum8">
    <w:name w:val="WWNum8"/>
    <w:basedOn w:val="Bezlisty"/>
    <w:rsid w:val="00EE0C8C"/>
    <w:pPr>
      <w:numPr>
        <w:numId w:val="48"/>
      </w:numPr>
    </w:pPr>
  </w:style>
  <w:style w:type="numbering" w:customStyle="1" w:styleId="WWNum9">
    <w:name w:val="WWNum9"/>
    <w:basedOn w:val="Bezlisty"/>
    <w:rsid w:val="00EE0C8C"/>
    <w:pPr>
      <w:numPr>
        <w:numId w:val="49"/>
      </w:numPr>
    </w:pPr>
  </w:style>
  <w:style w:type="paragraph" w:styleId="Nagwekspisutreci">
    <w:name w:val="TOC Heading"/>
    <w:basedOn w:val="Nagwek1"/>
    <w:next w:val="Normalny"/>
    <w:uiPriority w:val="39"/>
    <w:unhideWhenUsed/>
    <w:qFormat/>
    <w:rsid w:val="00A76BDB"/>
    <w:pPr>
      <w:outlineLvl w:val="9"/>
    </w:pPr>
    <w:rPr>
      <w:lang w:eastAsia="pl-PL"/>
    </w:rPr>
  </w:style>
  <w:style w:type="paragraph" w:styleId="Spistreci3">
    <w:name w:val="toc 3"/>
    <w:basedOn w:val="Normalny"/>
    <w:next w:val="Normalny"/>
    <w:autoRedefine/>
    <w:uiPriority w:val="39"/>
    <w:unhideWhenUsed/>
    <w:qFormat/>
    <w:rsid w:val="00B1561B"/>
    <w:pPr>
      <w:tabs>
        <w:tab w:val="right" w:leader="dot" w:pos="9062"/>
      </w:tabs>
      <w:spacing w:after="100"/>
    </w:pPr>
    <w:rPr>
      <w:rFonts w:ascii="Cambria" w:eastAsia="Times New Roman" w:hAnsi="Cambria" w:cs="Times New Roman"/>
      <w:bCs/>
      <w:noProof/>
      <w:lang w:eastAsia="pl-PL"/>
    </w:rPr>
  </w:style>
  <w:style w:type="paragraph" w:styleId="Spistreci2">
    <w:name w:val="toc 2"/>
    <w:basedOn w:val="Normalny"/>
    <w:next w:val="Normalny"/>
    <w:autoRedefine/>
    <w:uiPriority w:val="39"/>
    <w:unhideWhenUsed/>
    <w:qFormat/>
    <w:rsid w:val="00A76BDB"/>
    <w:pPr>
      <w:spacing w:after="100"/>
      <w:ind w:left="220"/>
    </w:pPr>
  </w:style>
  <w:style w:type="paragraph" w:styleId="Spistreci1">
    <w:name w:val="toc 1"/>
    <w:basedOn w:val="Normalny"/>
    <w:next w:val="Normalny"/>
    <w:autoRedefine/>
    <w:uiPriority w:val="39"/>
    <w:semiHidden/>
    <w:unhideWhenUsed/>
    <w:qFormat/>
    <w:rsid w:val="008903A4"/>
    <w:pPr>
      <w:spacing w:after="100"/>
    </w:pPr>
    <w:rPr>
      <w:rFonts w:eastAsiaTheme="minorEastAsia"/>
      <w:lang w:eastAsia="pl-PL"/>
    </w:rPr>
  </w:style>
  <w:style w:type="character" w:styleId="Tytuksiki">
    <w:name w:val="Book Title"/>
    <w:basedOn w:val="Domylnaczcionkaakapitu"/>
    <w:uiPriority w:val="33"/>
    <w:qFormat/>
    <w:rsid w:val="008903A4"/>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784928">
      <w:bodyDiv w:val="1"/>
      <w:marLeft w:val="0"/>
      <w:marRight w:val="0"/>
      <w:marTop w:val="0"/>
      <w:marBottom w:val="0"/>
      <w:divBdr>
        <w:top w:val="none" w:sz="0" w:space="0" w:color="auto"/>
        <w:left w:val="none" w:sz="0" w:space="0" w:color="auto"/>
        <w:bottom w:val="none" w:sz="0" w:space="0" w:color="auto"/>
        <w:right w:val="none" w:sz="0" w:space="0" w:color="auto"/>
      </w:divBdr>
    </w:div>
    <w:div w:id="1960917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chart" Target="charts/chart8.xml"/><Relationship Id="rId21" Type="http://schemas.openxmlformats.org/officeDocument/2006/relationships/hyperlink" Target="http://mirzec.pl/index.php?page=o-gminie" TargetMode="External"/><Relationship Id="rId34" Type="http://schemas.openxmlformats.org/officeDocument/2006/relationships/chart" Target="charts/chart3.xml"/><Relationship Id="rId42" Type="http://schemas.openxmlformats.org/officeDocument/2006/relationships/chart" Target="charts/chart11.xml"/><Relationship Id="rId47" Type="http://schemas.openxmlformats.org/officeDocument/2006/relationships/chart" Target="charts/chart16.xml"/><Relationship Id="rId50" Type="http://schemas.openxmlformats.org/officeDocument/2006/relationships/image" Target="media/image19.jpeg"/><Relationship Id="rId55" Type="http://schemas.openxmlformats.org/officeDocument/2006/relationships/image" Target="media/image22.jpe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tat.gov.pl/bdl/app/portret.display?p_styl=1&amp;p_nts=13&amp;p_tery=3065&amp;p_czas=20&amp;p_prn=0" TargetMode="External"/><Relationship Id="rId29" Type="http://schemas.openxmlformats.org/officeDocument/2006/relationships/image" Target="media/image16.png"/><Relationship Id="rId41" Type="http://schemas.openxmlformats.org/officeDocument/2006/relationships/chart" Target="charts/chart10.xml"/><Relationship Id="rId54" Type="http://schemas.openxmlformats.org/officeDocument/2006/relationships/image" Target="media/image21.jpeg"/><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funduszeeuropejskie.gov.pl/strony/o-funduszach/dokumenty/wytyczne-w-zakresie-rewitalizacji-w-programach-operacyjnych-na-lata-2014-2020/" TargetMode="External"/><Relationship Id="rId24" Type="http://schemas.openxmlformats.org/officeDocument/2006/relationships/hyperlink" Target="http://kielce.stat.gov.pl" TargetMode="External"/><Relationship Id="rId32" Type="http://schemas.openxmlformats.org/officeDocument/2006/relationships/chart" Target="charts/chart1.xml"/><Relationship Id="rId37" Type="http://schemas.openxmlformats.org/officeDocument/2006/relationships/chart" Target="charts/chart6.xml"/><Relationship Id="rId40" Type="http://schemas.openxmlformats.org/officeDocument/2006/relationships/chart" Target="charts/chart9.xml"/><Relationship Id="rId45" Type="http://schemas.openxmlformats.org/officeDocument/2006/relationships/chart" Target="charts/chart14.xml"/><Relationship Id="rId53" Type="http://schemas.openxmlformats.org/officeDocument/2006/relationships/footer" Target="footer3.xml"/><Relationship Id="rId58" Type="http://schemas.openxmlformats.org/officeDocument/2006/relationships/image" Target="media/image25.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hyperlink" Target="http://kielce.stat.gov.pl" TargetMode="External"/><Relationship Id="rId36" Type="http://schemas.openxmlformats.org/officeDocument/2006/relationships/chart" Target="charts/chart5.xml"/><Relationship Id="rId49" Type="http://schemas.openxmlformats.org/officeDocument/2006/relationships/image" Target="media/image18.png"/><Relationship Id="rId57" Type="http://schemas.openxmlformats.org/officeDocument/2006/relationships/image" Target="media/image24.jpeg"/><Relationship Id="rId61"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footer" Target="footer2.xml"/><Relationship Id="rId44" Type="http://schemas.openxmlformats.org/officeDocument/2006/relationships/chart" Target="charts/chart13.xml"/><Relationship Id="rId52" Type="http://schemas.openxmlformats.org/officeDocument/2006/relationships/header" Target="header3.xml"/><Relationship Id="rId60" Type="http://schemas.openxmlformats.org/officeDocument/2006/relationships/hyperlink" Target="https://www.academia.edu"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header" Target="header2.xml"/><Relationship Id="rId35" Type="http://schemas.openxmlformats.org/officeDocument/2006/relationships/chart" Target="charts/chart4.xml"/><Relationship Id="rId43" Type="http://schemas.openxmlformats.org/officeDocument/2006/relationships/chart" Target="charts/chart12.xml"/><Relationship Id="rId48" Type="http://schemas.openxmlformats.org/officeDocument/2006/relationships/image" Target="media/image17.png"/><Relationship Id="rId56" Type="http://schemas.openxmlformats.org/officeDocument/2006/relationships/image" Target="media/image23.jpe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0.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chart" Target="charts/chart2.xml"/><Relationship Id="rId38" Type="http://schemas.openxmlformats.org/officeDocument/2006/relationships/chart" Target="charts/chart7.xml"/><Relationship Id="rId46" Type="http://schemas.openxmlformats.org/officeDocument/2006/relationships/chart" Target="charts/chart15.xml"/><Relationship Id="rId59" Type="http://schemas.openxmlformats.org/officeDocument/2006/relationships/image" Target="media/image26.jpeg"/></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2.wmf"/></Relationships>
</file>

<file path=word/_rels/header3.xml.rels><?xml version="1.0" encoding="UTF-8" standalone="yes"?>
<Relationships xmlns="http://schemas.openxmlformats.org/package/2006/relationships"><Relationship Id="rId1" Type="http://schemas.openxmlformats.org/officeDocument/2006/relationships/image" Target="media/image2.wmf"/></Relationships>
</file>

<file path=word/_rels/header4.xml.rels><?xml version="1.0" encoding="UTF-8" standalone="yes"?>
<Relationships xmlns="http://schemas.openxmlformats.org/package/2006/relationships"><Relationship Id="rId1" Type="http://schemas.openxmlformats.org/officeDocument/2006/relationships/image" Target="media/image2.w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Magdalena\Desktop\MIRZEC\Mirzec%20ankiety.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C:\Users\Magdalena\Desktop\MIRZEC\Mirzec%20ankiety.xlsx" TargetMode="External"/><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8"/>
    </mc:Choice>
    <mc:Fallback>
      <c:style val="28"/>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48020392257429745"/>
          <c:y val="1.3048086385057021E-3"/>
          <c:w val="0.45627140409101724"/>
          <c:h val="0.92169432667070972"/>
        </c:manualLayout>
      </c:layout>
      <c:bar3DChart>
        <c:barDir val="bar"/>
        <c:grouping val="clustered"/>
        <c:varyColors val="0"/>
        <c:ser>
          <c:idx val="0"/>
          <c:order val="0"/>
          <c:invertIfNegative val="0"/>
          <c:dPt>
            <c:idx val="0"/>
            <c:invertIfNegative val="0"/>
            <c:bubble3D val="0"/>
            <c:spPr>
              <a:solidFill>
                <a:srgbClr val="92D050"/>
              </a:solidFill>
            </c:spPr>
          </c:dPt>
          <c:dPt>
            <c:idx val="1"/>
            <c:invertIfNegative val="0"/>
            <c:bubble3D val="0"/>
            <c:spPr>
              <a:solidFill>
                <a:schemeClr val="bg2">
                  <a:lumMod val="50000"/>
                </a:schemeClr>
              </a:solidFill>
            </c:spPr>
          </c:dPt>
          <c:dPt>
            <c:idx val="2"/>
            <c:invertIfNegative val="0"/>
            <c:bubble3D val="0"/>
            <c:spPr>
              <a:solidFill>
                <a:srgbClr val="FF0000"/>
              </a:solidFill>
            </c:spPr>
          </c:dPt>
          <c:dPt>
            <c:idx val="3"/>
            <c:invertIfNegative val="0"/>
            <c:bubble3D val="0"/>
            <c:spPr>
              <a:solidFill>
                <a:schemeClr val="accent6">
                  <a:lumMod val="75000"/>
                </a:schemeClr>
              </a:solidFill>
            </c:spPr>
          </c:dPt>
          <c:dPt>
            <c:idx val="4"/>
            <c:invertIfNegative val="0"/>
            <c:bubble3D val="0"/>
            <c:spPr>
              <a:solidFill>
                <a:srgbClr val="FFC000"/>
              </a:solidFill>
            </c:spPr>
          </c:dPt>
          <c:dPt>
            <c:idx val="5"/>
            <c:invertIfNegative val="0"/>
            <c:bubble3D val="0"/>
            <c:spPr>
              <a:solidFill>
                <a:srgbClr val="7030A0"/>
              </a:solidFill>
            </c:spPr>
          </c:dPt>
          <c:dPt>
            <c:idx val="6"/>
            <c:invertIfNegative val="0"/>
            <c:bubble3D val="0"/>
            <c:spPr>
              <a:solidFill>
                <a:srgbClr val="00B0F0"/>
              </a:solidFill>
            </c:spPr>
          </c:dPt>
          <c:dPt>
            <c:idx val="7"/>
            <c:invertIfNegative val="0"/>
            <c:bubble3D val="0"/>
            <c:spPr>
              <a:solidFill>
                <a:srgbClr val="00B050"/>
              </a:solidFill>
            </c:spPr>
          </c:dPt>
          <c:dLbls>
            <c:txPr>
              <a:bodyPr/>
              <a:lstStyle/>
              <a:p>
                <a:pPr>
                  <a:defRPr sz="1200" b="1"/>
                </a:pPr>
                <a:endParaRPr lang="pl-PL"/>
              </a:p>
            </c:txPr>
            <c:showLegendKey val="0"/>
            <c:showVal val="1"/>
            <c:showCatName val="0"/>
            <c:showSerName val="0"/>
            <c:showPercent val="0"/>
            <c:showBubbleSize val="0"/>
            <c:showLeaderLines val="0"/>
          </c:dLbls>
          <c:cat>
            <c:strRef>
              <c:f>Arkusz1!$A$2:$A$10</c:f>
              <c:strCache>
                <c:ptCount val="9"/>
                <c:pt idx="0">
                  <c:v>Poprawa jakości usług społecznych i zdrowotnych (możliwość ich rozszerzenia) oferowanych w centrum Mirca</c:v>
                </c:pt>
                <c:pt idx="1">
                  <c:v>Stworzenie warunkówdo  rozwoju ruchu turystycznego i atrakcyjnej oferty okołoturystycznej</c:v>
                </c:pt>
                <c:pt idx="2">
                  <c:v>Zwiększenie integracji Mieszkańców i pobudzenie ich aktywności lokalnej</c:v>
                </c:pt>
                <c:pt idx="3">
                  <c:v>Poprawa jakości środowiska naturalnego (w tym z zakresu gospodarki niskoemisyjnej)</c:v>
                </c:pt>
                <c:pt idx="4">
                  <c:v>Tworzenie warunków do rozwoju usług i handlu</c:v>
                </c:pt>
                <c:pt idx="5">
                  <c:v>Funkcjonalność gminnych terenów/obiektów  </c:v>
                </c:pt>
                <c:pt idx="6">
                  <c:v>Zagospodarowanie czasu wolnego m.in. w kierunku aktywnego trybu życia</c:v>
                </c:pt>
                <c:pt idx="7">
                  <c:v>Powstanie miejsc/a aktywnego wypoczynku</c:v>
                </c:pt>
                <c:pt idx="8">
                  <c:v>Poprawa estetyki przestrzeni publicznej</c:v>
                </c:pt>
              </c:strCache>
            </c:strRef>
          </c:cat>
          <c:val>
            <c:numRef>
              <c:f>Arkusz1!$B$2:$B$10</c:f>
              <c:numCache>
                <c:formatCode>0%</c:formatCode>
                <c:ptCount val="9"/>
                <c:pt idx="0">
                  <c:v>0.17575757575757575</c:v>
                </c:pt>
                <c:pt idx="1">
                  <c:v>4.3939393939394014E-2</c:v>
                </c:pt>
                <c:pt idx="2">
                  <c:v>0.13484848484848658</c:v>
                </c:pt>
                <c:pt idx="3">
                  <c:v>2.8787878787879109E-2</c:v>
                </c:pt>
                <c:pt idx="4">
                  <c:v>5.0000000000000114E-2</c:v>
                </c:pt>
                <c:pt idx="5">
                  <c:v>0.18030303030303041</c:v>
                </c:pt>
                <c:pt idx="6">
                  <c:v>0.17575757575757575</c:v>
                </c:pt>
                <c:pt idx="7">
                  <c:v>0.17272727272727387</c:v>
                </c:pt>
                <c:pt idx="8">
                  <c:v>3.7878787878788144E-2</c:v>
                </c:pt>
              </c:numCache>
            </c:numRef>
          </c:val>
        </c:ser>
        <c:dLbls>
          <c:showLegendKey val="0"/>
          <c:showVal val="0"/>
          <c:showCatName val="0"/>
          <c:showSerName val="0"/>
          <c:showPercent val="0"/>
          <c:showBubbleSize val="0"/>
        </c:dLbls>
        <c:gapWidth val="150"/>
        <c:shape val="box"/>
        <c:axId val="241813376"/>
        <c:axId val="248242176"/>
        <c:axId val="0"/>
      </c:bar3DChart>
      <c:catAx>
        <c:axId val="241813376"/>
        <c:scaling>
          <c:orientation val="minMax"/>
        </c:scaling>
        <c:delete val="0"/>
        <c:axPos val="l"/>
        <c:majorTickMark val="out"/>
        <c:minorTickMark val="none"/>
        <c:tickLblPos val="nextTo"/>
        <c:crossAx val="248242176"/>
        <c:crosses val="autoZero"/>
        <c:auto val="1"/>
        <c:lblAlgn val="ctr"/>
        <c:lblOffset val="100"/>
        <c:noMultiLvlLbl val="0"/>
      </c:catAx>
      <c:valAx>
        <c:axId val="248242176"/>
        <c:scaling>
          <c:orientation val="minMax"/>
        </c:scaling>
        <c:delete val="0"/>
        <c:axPos val="b"/>
        <c:majorGridlines/>
        <c:numFmt formatCode="0%" sourceLinked="1"/>
        <c:majorTickMark val="out"/>
        <c:minorTickMark val="none"/>
        <c:tickLblPos val="nextTo"/>
        <c:crossAx val="241813376"/>
        <c:crosses val="autoZero"/>
        <c:crossBetween val="between"/>
      </c:valAx>
    </c:plotArea>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1"/>
            <c:invertIfNegative val="0"/>
            <c:bubble3D val="0"/>
            <c:spPr>
              <a:solidFill>
                <a:srgbClr val="7030A0"/>
              </a:solidFill>
            </c:spPr>
          </c:dPt>
          <c:dPt>
            <c:idx val="2"/>
            <c:invertIfNegative val="0"/>
            <c:bubble3D val="0"/>
            <c:spPr>
              <a:solidFill>
                <a:schemeClr val="accent6">
                  <a:lumMod val="75000"/>
                </a:schemeClr>
              </a:solidFill>
            </c:spPr>
          </c:dPt>
          <c:dPt>
            <c:idx val="3"/>
            <c:invertIfNegative val="0"/>
            <c:bubble3D val="0"/>
            <c:spPr>
              <a:solidFill>
                <a:srgbClr val="00B050"/>
              </a:solidFill>
            </c:spPr>
          </c:dPt>
          <c:dLbls>
            <c:dLbl>
              <c:idx val="0"/>
              <c:layout>
                <c:manualLayout>
                  <c:x val="2.8282828282828285E-2"/>
                  <c:y val="-1.8518518518518583E-2"/>
                </c:manualLayout>
              </c:layout>
              <c:showLegendKey val="0"/>
              <c:showVal val="1"/>
              <c:showCatName val="0"/>
              <c:showSerName val="0"/>
              <c:showPercent val="0"/>
              <c:showBubbleSize val="0"/>
            </c:dLbl>
            <c:dLbl>
              <c:idx val="1"/>
              <c:layout>
                <c:manualLayout>
                  <c:x val="3.2323232323232351E-2"/>
                  <c:y val="-1.3888888888889025E-2"/>
                </c:manualLayout>
              </c:layout>
              <c:showLegendKey val="0"/>
              <c:showVal val="1"/>
              <c:showCatName val="0"/>
              <c:showSerName val="0"/>
              <c:showPercent val="0"/>
              <c:showBubbleSize val="0"/>
            </c:dLbl>
            <c:dLbl>
              <c:idx val="2"/>
              <c:layout>
                <c:manualLayout>
                  <c:x val="3.2323232323232254E-2"/>
                  <c:y val="-3.7037037037037056E-2"/>
                </c:manualLayout>
              </c:layout>
              <c:showLegendKey val="0"/>
              <c:showVal val="1"/>
              <c:showCatName val="0"/>
              <c:showSerName val="0"/>
              <c:showPercent val="0"/>
              <c:showBubbleSize val="0"/>
            </c:dLbl>
            <c:dLbl>
              <c:idx val="3"/>
              <c:layout>
                <c:manualLayout>
                  <c:x val="2.0202020202020211E-2"/>
                  <c:y val="-4.6296296296296523E-2"/>
                </c:manualLayout>
              </c:layout>
              <c:showLegendKey val="0"/>
              <c:showVal val="1"/>
              <c:showCatName val="0"/>
              <c:showSerName val="0"/>
              <c:showPercent val="0"/>
              <c:showBubbleSize val="0"/>
            </c:dLbl>
            <c:txPr>
              <a:bodyPr/>
              <a:lstStyle/>
              <a:p>
                <a:pPr>
                  <a:defRPr sz="1200" b="1"/>
                </a:pPr>
                <a:endParaRPr lang="pl-PL"/>
              </a:p>
            </c:txPr>
            <c:showLegendKey val="0"/>
            <c:showVal val="1"/>
            <c:showCatName val="0"/>
            <c:showSerName val="0"/>
            <c:showPercent val="0"/>
            <c:showBubbleSize val="0"/>
            <c:showLeaderLines val="0"/>
          </c:dLbls>
          <c:cat>
            <c:strRef>
              <c:f>Arkusz1!$A$119:$A$122</c:f>
              <c:strCache>
                <c:ptCount val="4"/>
                <c:pt idx="0">
                  <c:v>brak miejsc pracy</c:v>
                </c:pt>
                <c:pt idx="1">
                  <c:v>słaby poziom transportu lokalnego</c:v>
                </c:pt>
                <c:pt idx="2">
                  <c:v>utrudniony dostęp do edukacji ponadgimnazjalnej</c:v>
                </c:pt>
                <c:pt idx="3">
                  <c:v>zbyt mało miejsc do rozwoju pozasportowego</c:v>
                </c:pt>
              </c:strCache>
            </c:strRef>
          </c:cat>
          <c:val>
            <c:numRef>
              <c:f>Arkusz1!$B$119:$B$122</c:f>
              <c:numCache>
                <c:formatCode>0%</c:formatCode>
                <c:ptCount val="4"/>
                <c:pt idx="0">
                  <c:v>0.41176470588235586</c:v>
                </c:pt>
                <c:pt idx="1">
                  <c:v>0.11764705882352942</c:v>
                </c:pt>
                <c:pt idx="2">
                  <c:v>0.35294117647058826</c:v>
                </c:pt>
                <c:pt idx="3">
                  <c:v>0.11764705882352942</c:v>
                </c:pt>
              </c:numCache>
            </c:numRef>
          </c:val>
        </c:ser>
        <c:dLbls>
          <c:showLegendKey val="0"/>
          <c:showVal val="0"/>
          <c:showCatName val="0"/>
          <c:showSerName val="0"/>
          <c:showPercent val="0"/>
          <c:showBubbleSize val="0"/>
        </c:dLbls>
        <c:gapWidth val="150"/>
        <c:shape val="box"/>
        <c:axId val="251066624"/>
        <c:axId val="251158528"/>
        <c:axId val="0"/>
      </c:bar3DChart>
      <c:catAx>
        <c:axId val="251066624"/>
        <c:scaling>
          <c:orientation val="minMax"/>
        </c:scaling>
        <c:delete val="0"/>
        <c:axPos val="b"/>
        <c:majorTickMark val="out"/>
        <c:minorTickMark val="none"/>
        <c:tickLblPos val="nextTo"/>
        <c:txPr>
          <a:bodyPr/>
          <a:lstStyle/>
          <a:p>
            <a:pPr>
              <a:defRPr sz="1100"/>
            </a:pPr>
            <a:endParaRPr lang="pl-PL"/>
          </a:p>
        </c:txPr>
        <c:crossAx val="251158528"/>
        <c:crosses val="autoZero"/>
        <c:auto val="1"/>
        <c:lblAlgn val="ctr"/>
        <c:lblOffset val="100"/>
        <c:noMultiLvlLbl val="0"/>
      </c:catAx>
      <c:valAx>
        <c:axId val="251158528"/>
        <c:scaling>
          <c:orientation val="minMax"/>
        </c:scaling>
        <c:delete val="0"/>
        <c:axPos val="l"/>
        <c:majorGridlines/>
        <c:numFmt formatCode="0%" sourceLinked="1"/>
        <c:majorTickMark val="out"/>
        <c:minorTickMark val="none"/>
        <c:tickLblPos val="nextTo"/>
        <c:crossAx val="251066624"/>
        <c:crosses val="autoZero"/>
        <c:crossBetween val="between"/>
      </c:valAx>
    </c:plotArea>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9.6214495814746503E-2"/>
          <c:y val="0.19994626043536556"/>
          <c:w val="0.80757100837050799"/>
          <c:h val="0.77073059684503975"/>
        </c:manualLayout>
      </c:layout>
      <c:pie3DChart>
        <c:varyColors val="1"/>
        <c:ser>
          <c:idx val="0"/>
          <c:order val="0"/>
          <c:explosion val="25"/>
          <c:dPt>
            <c:idx val="0"/>
            <c:bubble3D val="0"/>
            <c:spPr>
              <a:solidFill>
                <a:srgbClr val="00B050"/>
              </a:solidFill>
            </c:spPr>
          </c:dPt>
          <c:dLbls>
            <c:txPr>
              <a:bodyPr/>
              <a:lstStyle/>
              <a:p>
                <a:pPr>
                  <a:defRPr sz="1200" b="1"/>
                </a:pPr>
                <a:endParaRPr lang="pl-PL"/>
              </a:p>
            </c:txPr>
            <c:showLegendKey val="0"/>
            <c:showVal val="0"/>
            <c:showCatName val="1"/>
            <c:showSerName val="0"/>
            <c:showPercent val="1"/>
            <c:showBubbleSize val="0"/>
            <c:showLeaderLines val="1"/>
          </c:dLbls>
          <c:cat>
            <c:strRef>
              <c:f>Arkusz1!$A$130:$A$131</c:f>
              <c:strCache>
                <c:ptCount val="2"/>
                <c:pt idx="0">
                  <c:v>TAK</c:v>
                </c:pt>
                <c:pt idx="1">
                  <c:v>NIE</c:v>
                </c:pt>
              </c:strCache>
            </c:strRef>
          </c:cat>
          <c:val>
            <c:numRef>
              <c:f>Arkusz1!$B$130:$B$131</c:f>
              <c:numCache>
                <c:formatCode>General</c:formatCode>
                <c:ptCount val="2"/>
                <c:pt idx="0">
                  <c:v>13</c:v>
                </c:pt>
                <c:pt idx="1">
                  <c:v>6</c:v>
                </c:pt>
              </c:numCache>
            </c:numRef>
          </c:val>
        </c:ser>
        <c:dLbls>
          <c:showLegendKey val="0"/>
          <c:showVal val="0"/>
          <c:showCatName val="1"/>
          <c:showSerName val="0"/>
          <c:showPercent val="1"/>
          <c:showBubbleSize val="0"/>
          <c:showLeaderLines val="1"/>
        </c:dLbls>
      </c:pie3DChart>
    </c:plotArea>
    <c:plotVisOnly val="1"/>
    <c:dispBlanksAs val="zero"/>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0"/>
            <c:invertIfNegative val="0"/>
            <c:bubble3D val="0"/>
            <c:spPr>
              <a:solidFill>
                <a:srgbClr val="00B050"/>
              </a:solidFill>
            </c:spPr>
          </c:dPt>
          <c:dPt>
            <c:idx val="1"/>
            <c:invertIfNegative val="0"/>
            <c:bubble3D val="0"/>
            <c:spPr>
              <a:solidFill>
                <a:schemeClr val="bg2">
                  <a:lumMod val="50000"/>
                </a:schemeClr>
              </a:solidFill>
            </c:spPr>
          </c:dPt>
          <c:dPt>
            <c:idx val="2"/>
            <c:invertIfNegative val="0"/>
            <c:bubble3D val="0"/>
            <c:spPr>
              <a:solidFill>
                <a:srgbClr val="C00000"/>
              </a:solidFill>
            </c:spPr>
          </c:dPt>
          <c:dLbls>
            <c:txPr>
              <a:bodyPr/>
              <a:lstStyle/>
              <a:p>
                <a:pPr>
                  <a:defRPr sz="1200" b="1"/>
                </a:pPr>
                <a:endParaRPr lang="pl-PL"/>
              </a:p>
            </c:txPr>
            <c:showLegendKey val="0"/>
            <c:showVal val="1"/>
            <c:showCatName val="0"/>
            <c:showSerName val="0"/>
            <c:showPercent val="0"/>
            <c:showBubbleSize val="0"/>
            <c:showLeaderLines val="0"/>
          </c:dLbls>
          <c:cat>
            <c:strRef>
              <c:f>Arkusz1!$A$147:$A$150</c:f>
              <c:strCache>
                <c:ptCount val="4"/>
                <c:pt idx="0">
                  <c:v>ogólne poczucie bezpieczeństwa</c:v>
                </c:pt>
                <c:pt idx="1">
                  <c:v>brak zorganizowanej przestępczości</c:v>
                </c:pt>
                <c:pt idx="2">
                  <c:v>mała dobrze znająca się społeczność</c:v>
                </c:pt>
                <c:pt idx="3">
                  <c:v>niski poziom przestępczości</c:v>
                </c:pt>
              </c:strCache>
            </c:strRef>
          </c:cat>
          <c:val>
            <c:numRef>
              <c:f>Arkusz1!$B$147:$B$150</c:f>
              <c:numCache>
                <c:formatCode>0%</c:formatCode>
                <c:ptCount val="4"/>
                <c:pt idx="0">
                  <c:v>0.4</c:v>
                </c:pt>
                <c:pt idx="1">
                  <c:v>0.2</c:v>
                </c:pt>
                <c:pt idx="2">
                  <c:v>0.26666666666666738</c:v>
                </c:pt>
                <c:pt idx="3">
                  <c:v>0.13333333333333341</c:v>
                </c:pt>
              </c:numCache>
            </c:numRef>
          </c:val>
        </c:ser>
        <c:dLbls>
          <c:showLegendKey val="0"/>
          <c:showVal val="0"/>
          <c:showCatName val="0"/>
          <c:showSerName val="0"/>
          <c:showPercent val="0"/>
          <c:showBubbleSize val="0"/>
        </c:dLbls>
        <c:gapWidth val="150"/>
        <c:shape val="box"/>
        <c:axId val="249097600"/>
        <c:axId val="251212928"/>
        <c:axId val="0"/>
      </c:bar3DChart>
      <c:catAx>
        <c:axId val="249097600"/>
        <c:scaling>
          <c:orientation val="minMax"/>
        </c:scaling>
        <c:delete val="0"/>
        <c:axPos val="b"/>
        <c:majorTickMark val="out"/>
        <c:minorTickMark val="none"/>
        <c:tickLblPos val="nextTo"/>
        <c:txPr>
          <a:bodyPr/>
          <a:lstStyle/>
          <a:p>
            <a:pPr>
              <a:defRPr sz="1000"/>
            </a:pPr>
            <a:endParaRPr lang="pl-PL"/>
          </a:p>
        </c:txPr>
        <c:crossAx val="251212928"/>
        <c:crosses val="autoZero"/>
        <c:auto val="1"/>
        <c:lblAlgn val="ctr"/>
        <c:lblOffset val="100"/>
        <c:noMultiLvlLbl val="0"/>
      </c:catAx>
      <c:valAx>
        <c:axId val="251212928"/>
        <c:scaling>
          <c:orientation val="minMax"/>
        </c:scaling>
        <c:delete val="0"/>
        <c:axPos val="l"/>
        <c:majorGridlines/>
        <c:numFmt formatCode="0%" sourceLinked="1"/>
        <c:majorTickMark val="out"/>
        <c:minorTickMark val="none"/>
        <c:tickLblPos val="nextTo"/>
        <c:crossAx val="249097600"/>
        <c:crosses val="autoZero"/>
        <c:crossBetween val="between"/>
      </c:valAx>
    </c:plotArea>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Pt>
            <c:idx val="0"/>
            <c:bubble3D val="0"/>
            <c:spPr>
              <a:solidFill>
                <a:srgbClr val="FFC000"/>
              </a:solidFill>
            </c:spPr>
          </c:dPt>
          <c:dPt>
            <c:idx val="1"/>
            <c:bubble3D val="0"/>
            <c:spPr>
              <a:solidFill>
                <a:srgbClr val="00B0F0"/>
              </a:solidFill>
            </c:spPr>
          </c:dPt>
          <c:dLbls>
            <c:txPr>
              <a:bodyPr/>
              <a:lstStyle/>
              <a:p>
                <a:pPr>
                  <a:defRPr sz="1200" b="1"/>
                </a:pPr>
                <a:endParaRPr lang="pl-PL"/>
              </a:p>
            </c:txPr>
            <c:showLegendKey val="0"/>
            <c:showVal val="0"/>
            <c:showCatName val="1"/>
            <c:showSerName val="0"/>
            <c:showPercent val="1"/>
            <c:showBubbleSize val="0"/>
            <c:showLeaderLines val="1"/>
          </c:dLbls>
          <c:cat>
            <c:strRef>
              <c:f>Arkusz1!$A$157:$A$158</c:f>
              <c:strCache>
                <c:ptCount val="2"/>
                <c:pt idx="0">
                  <c:v>TAK</c:v>
                </c:pt>
                <c:pt idx="1">
                  <c:v>NIE</c:v>
                </c:pt>
              </c:strCache>
            </c:strRef>
          </c:cat>
          <c:val>
            <c:numRef>
              <c:f>Arkusz1!$B$157:$B$158</c:f>
              <c:numCache>
                <c:formatCode>General</c:formatCode>
                <c:ptCount val="2"/>
                <c:pt idx="0">
                  <c:v>12</c:v>
                </c:pt>
                <c:pt idx="1">
                  <c:v>7</c:v>
                </c:pt>
              </c:numCache>
            </c:numRef>
          </c:val>
        </c:ser>
        <c:dLbls>
          <c:showLegendKey val="0"/>
          <c:showVal val="0"/>
          <c:showCatName val="1"/>
          <c:showSerName val="0"/>
          <c:showPercent val="1"/>
          <c:showBubbleSize val="0"/>
          <c:showLeaderLines val="1"/>
        </c:dLbls>
      </c:pie3DChart>
    </c:plotArea>
    <c:plotVisOnly val="1"/>
    <c:dispBlanksAs val="zero"/>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1"/>
            <c:invertIfNegative val="0"/>
            <c:bubble3D val="0"/>
            <c:spPr>
              <a:solidFill>
                <a:srgbClr val="92D050"/>
              </a:solidFill>
            </c:spPr>
          </c:dPt>
          <c:dPt>
            <c:idx val="2"/>
            <c:invertIfNegative val="0"/>
            <c:bubble3D val="0"/>
            <c:spPr>
              <a:solidFill>
                <a:schemeClr val="bg2">
                  <a:lumMod val="50000"/>
                </a:schemeClr>
              </a:solidFill>
            </c:spPr>
          </c:dPt>
          <c:dPt>
            <c:idx val="3"/>
            <c:invertIfNegative val="0"/>
            <c:bubble3D val="0"/>
            <c:spPr>
              <a:solidFill>
                <a:schemeClr val="accent2">
                  <a:lumMod val="75000"/>
                </a:schemeClr>
              </a:solidFill>
            </c:spPr>
          </c:dPt>
          <c:dPt>
            <c:idx val="4"/>
            <c:invertIfNegative val="0"/>
            <c:bubble3D val="0"/>
            <c:spPr>
              <a:solidFill>
                <a:srgbClr val="00B0F0"/>
              </a:solidFill>
            </c:spPr>
          </c:dPt>
          <c:dLbls>
            <c:dLbl>
              <c:idx val="1"/>
              <c:layout>
                <c:manualLayout>
                  <c:x val="1.6666666666666701E-2"/>
                  <c:y val="9.2592592592593871E-3"/>
                </c:manualLayout>
              </c:layout>
              <c:showLegendKey val="0"/>
              <c:showVal val="1"/>
              <c:showCatName val="0"/>
              <c:showSerName val="0"/>
              <c:showPercent val="0"/>
              <c:showBubbleSize val="0"/>
            </c:dLbl>
            <c:dLbl>
              <c:idx val="3"/>
              <c:layout>
                <c:manualLayout>
                  <c:x val="1.6666666666666701E-2"/>
                  <c:y val="-9.2592592592593871E-3"/>
                </c:manualLayout>
              </c:layout>
              <c:showLegendKey val="0"/>
              <c:showVal val="1"/>
              <c:showCatName val="0"/>
              <c:showSerName val="0"/>
              <c:showPercent val="0"/>
              <c:showBubbleSize val="0"/>
            </c:dLbl>
            <c:txPr>
              <a:bodyPr/>
              <a:lstStyle/>
              <a:p>
                <a:pPr>
                  <a:defRPr sz="1200" b="1"/>
                </a:pPr>
                <a:endParaRPr lang="pl-PL"/>
              </a:p>
            </c:txPr>
            <c:showLegendKey val="0"/>
            <c:showVal val="1"/>
            <c:showCatName val="0"/>
            <c:showSerName val="0"/>
            <c:showPercent val="0"/>
            <c:showBubbleSize val="0"/>
            <c:showLeaderLines val="0"/>
          </c:dLbls>
          <c:cat>
            <c:strRef>
              <c:f>Arkusz1!$A$162:$A$166</c:f>
              <c:strCache>
                <c:ptCount val="5"/>
                <c:pt idx="0">
                  <c:v>liczne place zabaw</c:v>
                </c:pt>
                <c:pt idx="1">
                  <c:v>obiekty sportowe (min. Orlik)</c:v>
                </c:pt>
                <c:pt idx="2">
                  <c:v>amfiteatr</c:v>
                </c:pt>
                <c:pt idx="3">
                  <c:v>staw rekreacyjny</c:v>
                </c:pt>
                <c:pt idx="4">
                  <c:v>biblioteka publiczna</c:v>
                </c:pt>
              </c:strCache>
            </c:strRef>
          </c:cat>
          <c:val>
            <c:numRef>
              <c:f>Arkusz1!$B$162:$B$166</c:f>
              <c:numCache>
                <c:formatCode>0%</c:formatCode>
                <c:ptCount val="5"/>
                <c:pt idx="0">
                  <c:v>0.13636363636363635</c:v>
                </c:pt>
                <c:pt idx="1">
                  <c:v>0.36363636363636381</c:v>
                </c:pt>
                <c:pt idx="2">
                  <c:v>0.18181818181818343</c:v>
                </c:pt>
                <c:pt idx="3">
                  <c:v>0.22727272727272727</c:v>
                </c:pt>
                <c:pt idx="4">
                  <c:v>9.0909090909091064E-2</c:v>
                </c:pt>
              </c:numCache>
            </c:numRef>
          </c:val>
        </c:ser>
        <c:dLbls>
          <c:showLegendKey val="0"/>
          <c:showVal val="0"/>
          <c:showCatName val="0"/>
          <c:showSerName val="0"/>
          <c:showPercent val="0"/>
          <c:showBubbleSize val="0"/>
        </c:dLbls>
        <c:gapWidth val="150"/>
        <c:shape val="cylinder"/>
        <c:axId val="251475456"/>
        <c:axId val="251476992"/>
        <c:axId val="0"/>
      </c:bar3DChart>
      <c:catAx>
        <c:axId val="251475456"/>
        <c:scaling>
          <c:orientation val="minMax"/>
        </c:scaling>
        <c:delete val="0"/>
        <c:axPos val="b"/>
        <c:majorTickMark val="out"/>
        <c:minorTickMark val="none"/>
        <c:tickLblPos val="nextTo"/>
        <c:crossAx val="251476992"/>
        <c:crosses val="autoZero"/>
        <c:auto val="1"/>
        <c:lblAlgn val="ctr"/>
        <c:lblOffset val="100"/>
        <c:noMultiLvlLbl val="0"/>
      </c:catAx>
      <c:valAx>
        <c:axId val="251476992"/>
        <c:scaling>
          <c:orientation val="minMax"/>
        </c:scaling>
        <c:delete val="0"/>
        <c:axPos val="l"/>
        <c:majorGridlines/>
        <c:numFmt formatCode="0%" sourceLinked="1"/>
        <c:majorTickMark val="out"/>
        <c:minorTickMark val="none"/>
        <c:tickLblPos val="nextTo"/>
        <c:crossAx val="251475456"/>
        <c:crosses val="autoZero"/>
        <c:crossBetween val="between"/>
      </c:valAx>
    </c:plotArea>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dPt>
            <c:idx val="0"/>
            <c:invertIfNegative val="0"/>
            <c:bubble3D val="0"/>
            <c:spPr>
              <a:solidFill>
                <a:schemeClr val="bg2">
                  <a:lumMod val="50000"/>
                </a:schemeClr>
              </a:solidFill>
            </c:spPr>
          </c:dPt>
          <c:dPt>
            <c:idx val="1"/>
            <c:invertIfNegative val="0"/>
            <c:bubble3D val="0"/>
            <c:spPr>
              <a:solidFill>
                <a:schemeClr val="accent6">
                  <a:lumMod val="50000"/>
                </a:schemeClr>
              </a:solidFill>
            </c:spPr>
          </c:dPt>
          <c:dPt>
            <c:idx val="2"/>
            <c:invertIfNegative val="0"/>
            <c:bubble3D val="0"/>
            <c:spPr>
              <a:solidFill>
                <a:srgbClr val="7030A0"/>
              </a:solidFill>
            </c:spPr>
          </c:dPt>
          <c:dPt>
            <c:idx val="3"/>
            <c:invertIfNegative val="0"/>
            <c:bubble3D val="0"/>
            <c:spPr>
              <a:solidFill>
                <a:srgbClr val="00B0F0"/>
              </a:solidFill>
            </c:spPr>
          </c:dPt>
          <c:dPt>
            <c:idx val="4"/>
            <c:invertIfNegative val="0"/>
            <c:bubble3D val="0"/>
            <c:spPr>
              <a:solidFill>
                <a:srgbClr val="C00000"/>
              </a:solidFill>
            </c:spPr>
          </c:dPt>
          <c:dPt>
            <c:idx val="5"/>
            <c:invertIfNegative val="0"/>
            <c:bubble3D val="0"/>
            <c:spPr>
              <a:solidFill>
                <a:srgbClr val="92D050"/>
              </a:solidFill>
            </c:spPr>
          </c:dPt>
          <c:dLbls>
            <c:txPr>
              <a:bodyPr/>
              <a:lstStyle/>
              <a:p>
                <a:pPr>
                  <a:defRPr sz="1200" b="1"/>
                </a:pPr>
                <a:endParaRPr lang="pl-PL"/>
              </a:p>
            </c:txPr>
            <c:showLegendKey val="0"/>
            <c:showVal val="1"/>
            <c:showCatName val="0"/>
            <c:showSerName val="0"/>
            <c:showPercent val="0"/>
            <c:showBubbleSize val="0"/>
            <c:showLeaderLines val="0"/>
          </c:dLbls>
          <c:cat>
            <c:strRef>
              <c:f>Arkusz1!$A$174:$A$180</c:f>
              <c:strCache>
                <c:ptCount val="7"/>
                <c:pt idx="0">
                  <c:v>stały komisariat policji</c:v>
                </c:pt>
                <c:pt idx="1">
                  <c:v>darmowe obiady dla uczniów</c:v>
                </c:pt>
                <c:pt idx="2">
                  <c:v>poprawienie komunikacji autobusowej w gminie</c:v>
                </c:pt>
                <c:pt idx="3">
                  <c:v>poprawa komunikacji władz samorządowych z mieszkańcami gminy</c:v>
                </c:pt>
                <c:pt idx="4">
                  <c:v>odnowienie stawu i mostu</c:v>
                </c:pt>
                <c:pt idx="5">
                  <c:v>więcej miejsc do spędzania wolnego czasu</c:v>
                </c:pt>
                <c:pt idx="6">
                  <c:v>zajęcia dodatkowe dla młodzieży i dla seniorów</c:v>
                </c:pt>
              </c:strCache>
            </c:strRef>
          </c:cat>
          <c:val>
            <c:numRef>
              <c:f>Arkusz1!$B$174:$B$180</c:f>
              <c:numCache>
                <c:formatCode>0%</c:formatCode>
                <c:ptCount val="7"/>
                <c:pt idx="0">
                  <c:v>0.12000000000000002</c:v>
                </c:pt>
                <c:pt idx="1">
                  <c:v>8.0000000000000043E-2</c:v>
                </c:pt>
                <c:pt idx="2">
                  <c:v>0.2</c:v>
                </c:pt>
                <c:pt idx="3">
                  <c:v>0.12000000000000002</c:v>
                </c:pt>
                <c:pt idx="4">
                  <c:v>0.12000000000000002</c:v>
                </c:pt>
                <c:pt idx="5">
                  <c:v>0.24000000000000021</c:v>
                </c:pt>
                <c:pt idx="6">
                  <c:v>0.12000000000000002</c:v>
                </c:pt>
              </c:numCache>
            </c:numRef>
          </c:val>
        </c:ser>
        <c:dLbls>
          <c:showLegendKey val="0"/>
          <c:showVal val="0"/>
          <c:showCatName val="0"/>
          <c:showSerName val="0"/>
          <c:showPercent val="0"/>
          <c:showBubbleSize val="0"/>
        </c:dLbls>
        <c:gapWidth val="150"/>
        <c:shape val="cylinder"/>
        <c:axId val="253175296"/>
        <c:axId val="253176832"/>
        <c:axId val="0"/>
      </c:bar3DChart>
      <c:catAx>
        <c:axId val="253175296"/>
        <c:scaling>
          <c:orientation val="minMax"/>
        </c:scaling>
        <c:delete val="0"/>
        <c:axPos val="l"/>
        <c:majorTickMark val="out"/>
        <c:minorTickMark val="none"/>
        <c:tickLblPos val="nextTo"/>
        <c:crossAx val="253176832"/>
        <c:crosses val="autoZero"/>
        <c:auto val="1"/>
        <c:lblAlgn val="ctr"/>
        <c:lblOffset val="100"/>
        <c:noMultiLvlLbl val="0"/>
      </c:catAx>
      <c:valAx>
        <c:axId val="253176832"/>
        <c:scaling>
          <c:orientation val="minMax"/>
        </c:scaling>
        <c:delete val="0"/>
        <c:axPos val="b"/>
        <c:majorGridlines/>
        <c:numFmt formatCode="0%" sourceLinked="1"/>
        <c:majorTickMark val="out"/>
        <c:minorTickMark val="none"/>
        <c:tickLblPos val="nextTo"/>
        <c:crossAx val="253175296"/>
        <c:crosses val="autoZero"/>
        <c:crossBetween val="between"/>
      </c:valAx>
    </c:plotArea>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invertIfNegative val="0"/>
          <c:dPt>
            <c:idx val="0"/>
            <c:invertIfNegative val="0"/>
            <c:bubble3D val="0"/>
            <c:spPr>
              <a:solidFill>
                <a:srgbClr val="00FFFF"/>
              </a:solidFill>
            </c:spPr>
          </c:dPt>
          <c:dPt>
            <c:idx val="1"/>
            <c:invertIfNegative val="0"/>
            <c:bubble3D val="0"/>
            <c:spPr>
              <a:solidFill>
                <a:srgbClr val="00B050"/>
              </a:solidFill>
            </c:spPr>
          </c:dPt>
          <c:dPt>
            <c:idx val="2"/>
            <c:invertIfNegative val="0"/>
            <c:bubble3D val="0"/>
            <c:spPr>
              <a:solidFill>
                <a:schemeClr val="bg2">
                  <a:lumMod val="50000"/>
                </a:schemeClr>
              </a:solidFill>
            </c:spPr>
          </c:dPt>
          <c:dPt>
            <c:idx val="3"/>
            <c:invertIfNegative val="0"/>
            <c:bubble3D val="0"/>
            <c:spPr>
              <a:solidFill>
                <a:srgbClr val="FF0000"/>
              </a:solidFill>
            </c:spPr>
          </c:dPt>
          <c:dLbls>
            <c:txPr>
              <a:bodyPr/>
              <a:lstStyle/>
              <a:p>
                <a:pPr>
                  <a:defRPr sz="1200" b="1"/>
                </a:pPr>
                <a:endParaRPr lang="pl-PL"/>
              </a:p>
            </c:txPr>
            <c:showLegendKey val="0"/>
            <c:showVal val="1"/>
            <c:showCatName val="0"/>
            <c:showSerName val="0"/>
            <c:showPercent val="0"/>
            <c:showBubbleSize val="0"/>
            <c:showLeaderLines val="0"/>
          </c:dLbls>
          <c:cat>
            <c:strRef>
              <c:f>Arkusz1!$A$192:$A$195</c:f>
              <c:strCache>
                <c:ptCount val="4"/>
                <c:pt idx="0">
                  <c:v>zły stan komunikacji autobusowej w gminie</c:v>
                </c:pt>
                <c:pt idx="1">
                  <c:v>zbyt mała ilość miejsc do spędzania wolnego czasu</c:v>
                </c:pt>
                <c:pt idx="2">
                  <c:v>zbyt mała częstotliwość wywozu odpadów komunalnych</c:v>
                </c:pt>
                <c:pt idx="3">
                  <c:v>zbyt duży ruch samochodów ciężarowych</c:v>
                </c:pt>
              </c:strCache>
            </c:strRef>
          </c:cat>
          <c:val>
            <c:numRef>
              <c:f>Arkusz1!$B$192:$B$195</c:f>
              <c:numCache>
                <c:formatCode>0%</c:formatCode>
                <c:ptCount val="4"/>
                <c:pt idx="0">
                  <c:v>0.5</c:v>
                </c:pt>
                <c:pt idx="1">
                  <c:v>0.16666666666666666</c:v>
                </c:pt>
                <c:pt idx="2">
                  <c:v>0.22222222222222221</c:v>
                </c:pt>
                <c:pt idx="3">
                  <c:v>0.1111111111111111</c:v>
                </c:pt>
              </c:numCache>
            </c:numRef>
          </c:val>
        </c:ser>
        <c:dLbls>
          <c:showLegendKey val="0"/>
          <c:showVal val="0"/>
          <c:showCatName val="0"/>
          <c:showSerName val="0"/>
          <c:showPercent val="0"/>
          <c:showBubbleSize val="0"/>
        </c:dLbls>
        <c:gapWidth val="150"/>
        <c:shape val="box"/>
        <c:axId val="253489920"/>
        <c:axId val="253491456"/>
        <c:axId val="0"/>
      </c:bar3DChart>
      <c:catAx>
        <c:axId val="253489920"/>
        <c:scaling>
          <c:orientation val="minMax"/>
        </c:scaling>
        <c:delete val="0"/>
        <c:axPos val="l"/>
        <c:majorTickMark val="out"/>
        <c:minorTickMark val="none"/>
        <c:tickLblPos val="nextTo"/>
        <c:crossAx val="253491456"/>
        <c:crosses val="autoZero"/>
        <c:auto val="1"/>
        <c:lblAlgn val="ctr"/>
        <c:lblOffset val="100"/>
        <c:noMultiLvlLbl val="0"/>
      </c:catAx>
      <c:valAx>
        <c:axId val="253491456"/>
        <c:scaling>
          <c:orientation val="minMax"/>
        </c:scaling>
        <c:delete val="0"/>
        <c:axPos val="b"/>
        <c:majorGridlines/>
        <c:numFmt formatCode="0%" sourceLinked="1"/>
        <c:majorTickMark val="out"/>
        <c:minorTickMark val="none"/>
        <c:tickLblPos val="nextTo"/>
        <c:crossAx val="253489920"/>
        <c:crosses val="autoZero"/>
        <c:crossBetween val="between"/>
      </c:valAx>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dPt>
            <c:idx val="0"/>
            <c:invertIfNegative val="0"/>
            <c:bubble3D val="0"/>
            <c:spPr>
              <a:solidFill>
                <a:srgbClr val="FF0066"/>
              </a:solidFill>
            </c:spPr>
          </c:dPt>
          <c:dPt>
            <c:idx val="3"/>
            <c:invertIfNegative val="0"/>
            <c:bubble3D val="0"/>
            <c:spPr>
              <a:solidFill>
                <a:srgbClr val="FF0000"/>
              </a:solidFill>
            </c:spPr>
          </c:dPt>
          <c:dPt>
            <c:idx val="4"/>
            <c:invertIfNegative val="0"/>
            <c:bubble3D val="0"/>
            <c:spPr>
              <a:solidFill>
                <a:srgbClr val="FFC000"/>
              </a:solidFill>
            </c:spPr>
          </c:dPt>
          <c:dPt>
            <c:idx val="5"/>
            <c:invertIfNegative val="0"/>
            <c:bubble3D val="0"/>
            <c:spPr>
              <a:solidFill>
                <a:srgbClr val="7030A0"/>
              </a:solidFill>
            </c:spPr>
          </c:dPt>
          <c:dPt>
            <c:idx val="6"/>
            <c:invertIfNegative val="0"/>
            <c:bubble3D val="0"/>
            <c:spPr>
              <a:solidFill>
                <a:srgbClr val="92D050"/>
              </a:solidFill>
            </c:spPr>
          </c:dPt>
          <c:dPt>
            <c:idx val="8"/>
            <c:invertIfNegative val="0"/>
            <c:bubble3D val="0"/>
            <c:spPr>
              <a:solidFill>
                <a:schemeClr val="accent2"/>
              </a:solidFill>
            </c:spPr>
          </c:dPt>
          <c:dLbls>
            <c:txPr>
              <a:bodyPr/>
              <a:lstStyle/>
              <a:p>
                <a:pPr>
                  <a:defRPr sz="1200" b="1"/>
                </a:pPr>
                <a:endParaRPr lang="pl-PL"/>
              </a:p>
            </c:txPr>
            <c:showLegendKey val="0"/>
            <c:showVal val="1"/>
            <c:showCatName val="0"/>
            <c:showSerName val="0"/>
            <c:showPercent val="0"/>
            <c:showBubbleSize val="0"/>
            <c:showLeaderLines val="0"/>
          </c:dLbls>
          <c:cat>
            <c:strRef>
              <c:f>Arkusz1!$A$1:$A$9</c:f>
              <c:strCache>
                <c:ptCount val="9"/>
                <c:pt idx="0">
                  <c:v>Poprawa jakości usług społecznych i zdrowotnych (możliwość ich rozszerzenia) oferowanych w centrum Mirca</c:v>
                </c:pt>
                <c:pt idx="1">
                  <c:v>Stworzenie warunków do  rozwoju ruchu turystycznego i atrakcyjnej oferty okołoturystycznej</c:v>
                </c:pt>
                <c:pt idx="2">
                  <c:v>Zwiększenie integracji Mieszkańców i pobudzenie ich aktywności lokalnej</c:v>
                </c:pt>
                <c:pt idx="3">
                  <c:v>Poprawa jakości środowiska naturalnego (w tym z zakresu gospodarki niskoemisyjnej)</c:v>
                </c:pt>
                <c:pt idx="4">
                  <c:v>Tworzenie warunków do rozwoju usług i handlu</c:v>
                </c:pt>
                <c:pt idx="5">
                  <c:v>Funkcjonalność gminnych terenów/obiektów</c:v>
                </c:pt>
                <c:pt idx="6">
                  <c:v>Zagospodarowanie czasu wolnego m.in. w kierunku aktywnego trybu życia</c:v>
                </c:pt>
                <c:pt idx="7">
                  <c:v>Powstanie miejsc/a aktywnego wypoczynku</c:v>
                </c:pt>
                <c:pt idx="8">
                  <c:v>Poprawa estetyki przestrzeni publicznej</c:v>
                </c:pt>
              </c:strCache>
            </c:strRef>
          </c:cat>
          <c:val>
            <c:numRef>
              <c:f>Arkusz1!$B$1:$B$9</c:f>
              <c:numCache>
                <c:formatCode>0%</c:formatCode>
                <c:ptCount val="9"/>
                <c:pt idx="0">
                  <c:v>0.24000000000000021</c:v>
                </c:pt>
                <c:pt idx="1">
                  <c:v>0</c:v>
                </c:pt>
                <c:pt idx="2">
                  <c:v>0</c:v>
                </c:pt>
                <c:pt idx="3">
                  <c:v>1.6000000000000021E-2</c:v>
                </c:pt>
                <c:pt idx="4">
                  <c:v>0.2106666666666667</c:v>
                </c:pt>
                <c:pt idx="5">
                  <c:v>0.21600000000000041</c:v>
                </c:pt>
                <c:pt idx="6">
                  <c:v>0.23466666666666666</c:v>
                </c:pt>
                <c:pt idx="7">
                  <c:v>4.2666666666666714E-2</c:v>
                </c:pt>
                <c:pt idx="8">
                  <c:v>4.0000000000000022E-2</c:v>
                </c:pt>
              </c:numCache>
            </c:numRef>
          </c:val>
        </c:ser>
        <c:dLbls>
          <c:showLegendKey val="0"/>
          <c:showVal val="0"/>
          <c:showCatName val="0"/>
          <c:showSerName val="0"/>
          <c:showPercent val="0"/>
          <c:showBubbleSize val="0"/>
        </c:dLbls>
        <c:gapWidth val="150"/>
        <c:shape val="box"/>
        <c:axId val="257986560"/>
        <c:axId val="285035136"/>
        <c:axId val="0"/>
      </c:bar3DChart>
      <c:catAx>
        <c:axId val="257986560"/>
        <c:scaling>
          <c:orientation val="minMax"/>
        </c:scaling>
        <c:delete val="0"/>
        <c:axPos val="l"/>
        <c:majorTickMark val="out"/>
        <c:minorTickMark val="none"/>
        <c:tickLblPos val="nextTo"/>
        <c:crossAx val="285035136"/>
        <c:crosses val="autoZero"/>
        <c:auto val="1"/>
        <c:lblAlgn val="ctr"/>
        <c:lblOffset val="100"/>
        <c:noMultiLvlLbl val="0"/>
      </c:catAx>
      <c:valAx>
        <c:axId val="285035136"/>
        <c:scaling>
          <c:orientation val="minMax"/>
        </c:scaling>
        <c:delete val="0"/>
        <c:axPos val="b"/>
        <c:majorGridlines/>
        <c:numFmt formatCode="0%" sourceLinked="1"/>
        <c:majorTickMark val="out"/>
        <c:minorTickMark val="none"/>
        <c:tickLblPos val="nextTo"/>
        <c:crossAx val="257986560"/>
        <c:crosses val="autoZero"/>
        <c:crossBetween val="between"/>
      </c:valAx>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6134886571767486"/>
          <c:y val="2.0475562557365958E-2"/>
          <c:w val="0.50918224120910249"/>
          <c:h val="0.95388129380892339"/>
        </c:manualLayout>
      </c:layout>
      <c:barChart>
        <c:barDir val="bar"/>
        <c:grouping val="clustered"/>
        <c:varyColors val="0"/>
        <c:ser>
          <c:idx val="0"/>
          <c:order val="0"/>
          <c:invertIfNegative val="0"/>
          <c:dPt>
            <c:idx val="0"/>
            <c:invertIfNegative val="0"/>
            <c:bubble3D val="0"/>
            <c:spPr>
              <a:solidFill>
                <a:srgbClr val="666633"/>
              </a:solidFill>
            </c:spPr>
          </c:dPt>
          <c:dPt>
            <c:idx val="1"/>
            <c:invertIfNegative val="0"/>
            <c:bubble3D val="0"/>
            <c:spPr>
              <a:solidFill>
                <a:srgbClr val="660033"/>
              </a:solidFill>
            </c:spPr>
          </c:dPt>
          <c:dPt>
            <c:idx val="2"/>
            <c:invertIfNegative val="0"/>
            <c:bubble3D val="0"/>
            <c:spPr>
              <a:solidFill>
                <a:srgbClr val="F79646">
                  <a:lumMod val="75000"/>
                </a:srgbClr>
              </a:solidFill>
            </c:spPr>
          </c:dPt>
          <c:dPt>
            <c:idx val="4"/>
            <c:invertIfNegative val="0"/>
            <c:bubble3D val="0"/>
            <c:spPr>
              <a:solidFill>
                <a:srgbClr val="FF0066"/>
              </a:solidFill>
            </c:spPr>
          </c:dPt>
          <c:dPt>
            <c:idx val="5"/>
            <c:invertIfNegative val="0"/>
            <c:bubble3D val="0"/>
            <c:spPr>
              <a:solidFill>
                <a:srgbClr val="8064A2">
                  <a:lumMod val="60000"/>
                  <a:lumOff val="40000"/>
                </a:srgbClr>
              </a:solidFill>
            </c:spPr>
          </c:dPt>
          <c:dPt>
            <c:idx val="6"/>
            <c:invertIfNegative val="0"/>
            <c:bubble3D val="0"/>
            <c:spPr>
              <a:solidFill>
                <a:srgbClr val="EEECE1">
                  <a:lumMod val="50000"/>
                </a:srgbClr>
              </a:solidFill>
            </c:spPr>
          </c:dPt>
          <c:dPt>
            <c:idx val="7"/>
            <c:invertIfNegative val="0"/>
            <c:bubble3D val="0"/>
            <c:spPr>
              <a:solidFill>
                <a:srgbClr val="9BBB59">
                  <a:lumMod val="60000"/>
                  <a:lumOff val="40000"/>
                </a:srgbClr>
              </a:solidFill>
            </c:spPr>
          </c:dPt>
          <c:dPt>
            <c:idx val="8"/>
            <c:invertIfNegative val="0"/>
            <c:bubble3D val="0"/>
            <c:spPr>
              <a:solidFill>
                <a:srgbClr val="C0504D">
                  <a:lumMod val="60000"/>
                  <a:lumOff val="40000"/>
                </a:srgbClr>
              </a:solidFill>
            </c:spPr>
          </c:dPt>
          <c:dPt>
            <c:idx val="9"/>
            <c:invertIfNegative val="0"/>
            <c:bubble3D val="0"/>
            <c:spPr>
              <a:solidFill>
                <a:sysClr val="window" lastClr="FFFFFF">
                  <a:lumMod val="65000"/>
                </a:sysClr>
              </a:solidFill>
            </c:spPr>
          </c:dPt>
          <c:dPt>
            <c:idx val="10"/>
            <c:invertIfNegative val="0"/>
            <c:bubble3D val="0"/>
            <c:spPr>
              <a:solidFill>
                <a:srgbClr val="FFFF00"/>
              </a:solidFill>
            </c:spPr>
          </c:dPt>
          <c:dPt>
            <c:idx val="11"/>
            <c:invertIfNegative val="0"/>
            <c:bubble3D val="0"/>
            <c:spPr>
              <a:solidFill>
                <a:srgbClr val="C00000"/>
              </a:solidFill>
            </c:spPr>
          </c:dPt>
          <c:dPt>
            <c:idx val="12"/>
            <c:invertIfNegative val="0"/>
            <c:bubble3D val="0"/>
            <c:spPr>
              <a:solidFill>
                <a:srgbClr val="7030A0"/>
              </a:solidFill>
            </c:spPr>
          </c:dPt>
          <c:dPt>
            <c:idx val="13"/>
            <c:invertIfNegative val="0"/>
            <c:bubble3D val="0"/>
            <c:spPr>
              <a:solidFill>
                <a:srgbClr val="66FFFF"/>
              </a:solidFill>
            </c:spPr>
          </c:dPt>
          <c:dPt>
            <c:idx val="14"/>
            <c:invertIfNegative val="0"/>
            <c:bubble3D val="0"/>
            <c:spPr>
              <a:solidFill>
                <a:srgbClr val="660033"/>
              </a:solidFill>
            </c:spPr>
          </c:dPt>
          <c:dPt>
            <c:idx val="15"/>
            <c:invertIfNegative val="0"/>
            <c:bubble3D val="0"/>
            <c:spPr>
              <a:solidFill>
                <a:sysClr val="windowText" lastClr="000000"/>
              </a:solidFill>
            </c:spPr>
          </c:dPt>
          <c:dPt>
            <c:idx val="16"/>
            <c:invertIfNegative val="0"/>
            <c:bubble3D val="0"/>
            <c:spPr>
              <a:solidFill>
                <a:srgbClr val="F79646">
                  <a:lumMod val="50000"/>
                </a:srgbClr>
              </a:solidFill>
            </c:spPr>
          </c:dPt>
          <c:dPt>
            <c:idx val="17"/>
            <c:invertIfNegative val="0"/>
            <c:bubble3D val="0"/>
            <c:spPr>
              <a:solidFill>
                <a:srgbClr val="9BBB59">
                  <a:lumMod val="50000"/>
                </a:srgbClr>
              </a:solidFill>
            </c:spPr>
          </c:dPt>
          <c:dPt>
            <c:idx val="19"/>
            <c:invertIfNegative val="0"/>
            <c:bubble3D val="0"/>
            <c:spPr>
              <a:solidFill>
                <a:srgbClr val="C0504D">
                  <a:lumMod val="40000"/>
                  <a:lumOff val="60000"/>
                </a:srgbClr>
              </a:solidFill>
            </c:spPr>
          </c:dPt>
          <c:dPt>
            <c:idx val="21"/>
            <c:invertIfNegative val="0"/>
            <c:bubble3D val="0"/>
            <c:spPr>
              <a:solidFill>
                <a:srgbClr val="66FFFF"/>
              </a:solidFill>
            </c:spPr>
          </c:dPt>
          <c:dPt>
            <c:idx val="22"/>
            <c:invertIfNegative val="0"/>
            <c:bubble3D val="0"/>
            <c:spPr>
              <a:solidFill>
                <a:srgbClr val="002060"/>
              </a:solidFill>
            </c:spPr>
          </c:dPt>
          <c:dPt>
            <c:idx val="23"/>
            <c:invertIfNegative val="0"/>
            <c:bubble3D val="0"/>
            <c:spPr>
              <a:solidFill>
                <a:srgbClr val="660033"/>
              </a:solidFill>
            </c:spPr>
          </c:dPt>
          <c:dPt>
            <c:idx val="24"/>
            <c:invertIfNegative val="0"/>
            <c:bubble3D val="0"/>
            <c:spPr>
              <a:solidFill>
                <a:srgbClr val="F79646">
                  <a:lumMod val="75000"/>
                </a:srgbClr>
              </a:solidFill>
            </c:spPr>
          </c:dPt>
          <c:dPt>
            <c:idx val="25"/>
            <c:invertIfNegative val="0"/>
            <c:bubble3D val="0"/>
            <c:spPr>
              <a:solidFill>
                <a:srgbClr val="00B050"/>
              </a:solidFill>
            </c:spPr>
          </c:dPt>
          <c:dPt>
            <c:idx val="26"/>
            <c:invertIfNegative val="0"/>
            <c:bubble3D val="0"/>
            <c:spPr>
              <a:solidFill>
                <a:srgbClr val="EEECE1">
                  <a:lumMod val="50000"/>
                </a:srgbClr>
              </a:solidFill>
            </c:spPr>
          </c:dPt>
          <c:dPt>
            <c:idx val="27"/>
            <c:invertIfNegative val="0"/>
            <c:bubble3D val="0"/>
            <c:spPr>
              <a:solidFill>
                <a:srgbClr val="8064A2">
                  <a:lumMod val="75000"/>
                </a:srgbClr>
              </a:solidFill>
            </c:spPr>
          </c:dPt>
          <c:dPt>
            <c:idx val="28"/>
            <c:invertIfNegative val="0"/>
            <c:bubble3D val="0"/>
            <c:spPr>
              <a:solidFill>
                <a:srgbClr val="4BACC6">
                  <a:lumMod val="75000"/>
                </a:srgbClr>
              </a:solidFill>
            </c:spPr>
          </c:dPt>
          <c:dPt>
            <c:idx val="29"/>
            <c:invertIfNegative val="0"/>
            <c:bubble3D val="0"/>
            <c:spPr>
              <a:solidFill>
                <a:srgbClr val="92D050"/>
              </a:solidFill>
            </c:spPr>
          </c:dPt>
          <c:dPt>
            <c:idx val="30"/>
            <c:invertIfNegative val="0"/>
            <c:bubble3D val="0"/>
            <c:spPr>
              <a:solidFill>
                <a:srgbClr val="FFC000"/>
              </a:solidFill>
            </c:spPr>
          </c:dPt>
          <c:dPt>
            <c:idx val="32"/>
            <c:invertIfNegative val="0"/>
            <c:bubble3D val="0"/>
            <c:spPr>
              <a:solidFill>
                <a:srgbClr val="C0504D"/>
              </a:solidFill>
            </c:spPr>
          </c:dPt>
          <c:dLbls>
            <c:txPr>
              <a:bodyPr/>
              <a:lstStyle/>
              <a:p>
                <a:pPr>
                  <a:defRPr b="1"/>
                </a:pPr>
                <a:endParaRPr lang="pl-PL"/>
              </a:p>
            </c:txPr>
            <c:showLegendKey val="0"/>
            <c:showVal val="1"/>
            <c:showCatName val="0"/>
            <c:showSerName val="0"/>
            <c:showPercent val="0"/>
            <c:showBubbleSize val="0"/>
            <c:showLeaderLines val="0"/>
          </c:dLbls>
          <c:cat>
            <c:strRef>
              <c:f>Arkusz1!$A$65:$A$97</c:f>
              <c:strCache>
                <c:ptCount val="33"/>
                <c:pt idx="0">
                  <c:v>Zbiornik wodny (rekreacyjny)</c:v>
                </c:pt>
                <c:pt idx="1">
                  <c:v>Plac zabaw</c:v>
                </c:pt>
                <c:pt idx="2">
                  <c:v>ścieżki rowerowe</c:v>
                </c:pt>
                <c:pt idx="3">
                  <c:v>Miejsce na grilla</c:v>
                </c:pt>
                <c:pt idx="4">
                  <c:v>Górka saneczkowa</c:v>
                </c:pt>
                <c:pt idx="5">
                  <c:v>Miejsce na urządzenie zimą lodowiska</c:v>
                </c:pt>
                <c:pt idx="6">
                  <c:v>Altana biesiadna</c:v>
                </c:pt>
                <c:pt idx="7">
                  <c:v>Plac pod ognisko</c:v>
                </c:pt>
                <c:pt idx="8">
                  <c:v>Budowa toalety publicznej bliżej centrum Mirca</c:v>
                </c:pt>
                <c:pt idx="9">
                  <c:v>Dokończenie chodnika od Przedszkola do przystanku</c:v>
                </c:pt>
                <c:pt idx="10">
                  <c:v>Parking</c:v>
                </c:pt>
                <c:pt idx="11">
                  <c:v>Skatepark</c:v>
                </c:pt>
                <c:pt idx="12">
                  <c:v>Siłownia wielofunkcyjna lub fitness</c:v>
                </c:pt>
                <c:pt idx="13">
                  <c:v>Zagospodarowanie terenów wokół przedszkola</c:v>
                </c:pt>
                <c:pt idx="14">
                  <c:v>Rewitalizacja PZOZ Ośrodka w Mircu (wyposażenie w sprzęt, poszerzenie usług)</c:v>
                </c:pt>
                <c:pt idx="15">
                  <c:v>Modernizacja drogi od SKR do Mirca Majorat</c:v>
                </c:pt>
                <c:pt idx="16">
                  <c:v>Basen</c:v>
                </c:pt>
                <c:pt idx="17">
                  <c:v>Odnowa Parku Dworskiego</c:v>
                </c:pt>
                <c:pt idx="18">
                  <c:v>Stadnina koni</c:v>
                </c:pt>
                <c:pt idx="19">
                  <c:v>Wypożyczalnia rowerów</c:v>
                </c:pt>
                <c:pt idx="20">
                  <c:v>Park linowy</c:v>
                </c:pt>
                <c:pt idx="21">
                  <c:v>Pole do paintballa</c:v>
                </c:pt>
                <c:pt idx="22">
                  <c:v>Monitoring w centrum Mirca</c:v>
                </c:pt>
                <c:pt idx="23">
                  <c:v>Fontanna w kształcie przysmaku świętokrzyskiego</c:v>
                </c:pt>
                <c:pt idx="24">
                  <c:v>Plac pod targowisko</c:v>
                </c:pt>
                <c:pt idx="25">
                  <c:v>Mała gastronomia</c:v>
                </c:pt>
                <c:pt idx="26">
                  <c:v>Boisko do gry w siatkówkę plażową</c:v>
                </c:pt>
                <c:pt idx="27">
                  <c:v>Ścieżki spacerowe</c:v>
                </c:pt>
                <c:pt idx="28">
                  <c:v>Budowa kortu tenisa ziemnego</c:v>
                </c:pt>
                <c:pt idx="29">
                  <c:v>Kręgielnia</c:v>
                </c:pt>
                <c:pt idx="30">
                  <c:v>Powołanie Młodzieżowej Rady Gminy</c:v>
                </c:pt>
                <c:pt idx="31">
                  <c:v>Oświetlenie</c:v>
                </c:pt>
                <c:pt idx="32">
                  <c:v>Bieżnia</c:v>
                </c:pt>
              </c:strCache>
            </c:strRef>
          </c:cat>
          <c:val>
            <c:numRef>
              <c:f>Arkusz1!$B$65:$B$97</c:f>
              <c:numCache>
                <c:formatCode>0%</c:formatCode>
                <c:ptCount val="33"/>
                <c:pt idx="0">
                  <c:v>6.7164179104477612E-2</c:v>
                </c:pt>
                <c:pt idx="1">
                  <c:v>5.5970149253731373E-2</c:v>
                </c:pt>
                <c:pt idx="2">
                  <c:v>6.7164179104477612E-2</c:v>
                </c:pt>
                <c:pt idx="3">
                  <c:v>5.3731343283582075E-2</c:v>
                </c:pt>
                <c:pt idx="4">
                  <c:v>5.6716417910447924E-2</c:v>
                </c:pt>
                <c:pt idx="5">
                  <c:v>5.7462686567164183E-2</c:v>
                </c:pt>
                <c:pt idx="6">
                  <c:v>6.7910447761194023E-2</c:v>
                </c:pt>
                <c:pt idx="7">
                  <c:v>6.5671641791044774E-2</c:v>
                </c:pt>
                <c:pt idx="8">
                  <c:v>5.2985074626865684E-2</c:v>
                </c:pt>
                <c:pt idx="9">
                  <c:v>5.7462686567164183E-2</c:v>
                </c:pt>
                <c:pt idx="10">
                  <c:v>5.8208955223880546E-2</c:v>
                </c:pt>
                <c:pt idx="11">
                  <c:v>6.1194029850746436E-2</c:v>
                </c:pt>
                <c:pt idx="12" formatCode="0.0%">
                  <c:v>6.7164179104477612E-2</c:v>
                </c:pt>
                <c:pt idx="13" formatCode="0.0%">
                  <c:v>5.7462686567164183E-2</c:v>
                </c:pt>
                <c:pt idx="14" formatCode="0.0%">
                  <c:v>5.7462686567164183E-2</c:v>
                </c:pt>
                <c:pt idx="15" formatCode="0.0%">
                  <c:v>4.4776119402985103E-3</c:v>
                </c:pt>
                <c:pt idx="16" formatCode="0.0%">
                  <c:v>1.0447761194029851E-2</c:v>
                </c:pt>
                <c:pt idx="17" formatCode="0.0%">
                  <c:v>1.2686567164179105E-2</c:v>
                </c:pt>
                <c:pt idx="18" formatCode="0.0%">
                  <c:v>2.9850746268656769E-3</c:v>
                </c:pt>
                <c:pt idx="19" formatCode="0.0%">
                  <c:v>4.4776119402985103E-3</c:v>
                </c:pt>
                <c:pt idx="20" formatCode="0.0%">
                  <c:v>4.4776119402985103E-3</c:v>
                </c:pt>
                <c:pt idx="21" formatCode="0.0%">
                  <c:v>4.4776119402985103E-3</c:v>
                </c:pt>
                <c:pt idx="22" formatCode="0.0%">
                  <c:v>2.9850746268656769E-3</c:v>
                </c:pt>
                <c:pt idx="23" formatCode="0.0%">
                  <c:v>2.2388059701492539E-3</c:v>
                </c:pt>
                <c:pt idx="24" formatCode="0.0%">
                  <c:v>1.4925373134328361E-3</c:v>
                </c:pt>
                <c:pt idx="25" formatCode="0.0%">
                  <c:v>2.2388059701492539E-3</c:v>
                </c:pt>
                <c:pt idx="26" formatCode="0.0%">
                  <c:v>1.1194029850746271E-2</c:v>
                </c:pt>
                <c:pt idx="27" formatCode="0.0%">
                  <c:v>1.2686567164179105E-2</c:v>
                </c:pt>
                <c:pt idx="28" formatCode="0.0%">
                  <c:v>4.4776119402985103E-3</c:v>
                </c:pt>
                <c:pt idx="29" formatCode="0.0%">
                  <c:v>5.2238805970149264E-3</c:v>
                </c:pt>
                <c:pt idx="30" formatCode="0.0%">
                  <c:v>7.4626865671641813E-4</c:v>
                </c:pt>
                <c:pt idx="31" formatCode="0.0%">
                  <c:v>1.4925373134328361E-3</c:v>
                </c:pt>
                <c:pt idx="32" formatCode="0.0%">
                  <c:v>7.4626865671641824E-3</c:v>
                </c:pt>
              </c:numCache>
            </c:numRef>
          </c:val>
        </c:ser>
        <c:dLbls>
          <c:showLegendKey val="0"/>
          <c:showVal val="0"/>
          <c:showCatName val="0"/>
          <c:showSerName val="0"/>
          <c:showPercent val="0"/>
          <c:showBubbleSize val="0"/>
        </c:dLbls>
        <c:gapWidth val="150"/>
        <c:axId val="243596672"/>
        <c:axId val="243602560"/>
      </c:barChart>
      <c:catAx>
        <c:axId val="243596672"/>
        <c:scaling>
          <c:orientation val="minMax"/>
        </c:scaling>
        <c:delete val="0"/>
        <c:axPos val="l"/>
        <c:majorTickMark val="out"/>
        <c:minorTickMark val="none"/>
        <c:tickLblPos val="nextTo"/>
        <c:txPr>
          <a:bodyPr/>
          <a:lstStyle/>
          <a:p>
            <a:pPr>
              <a:defRPr sz="800"/>
            </a:pPr>
            <a:endParaRPr lang="pl-PL"/>
          </a:p>
        </c:txPr>
        <c:crossAx val="243602560"/>
        <c:crosses val="autoZero"/>
        <c:auto val="1"/>
        <c:lblAlgn val="ctr"/>
        <c:lblOffset val="100"/>
        <c:noMultiLvlLbl val="0"/>
      </c:catAx>
      <c:valAx>
        <c:axId val="243602560"/>
        <c:scaling>
          <c:orientation val="minMax"/>
        </c:scaling>
        <c:delete val="0"/>
        <c:axPos val="b"/>
        <c:majorGridlines/>
        <c:numFmt formatCode="0%" sourceLinked="1"/>
        <c:majorTickMark val="out"/>
        <c:minorTickMark val="none"/>
        <c:tickLblPos val="nextTo"/>
        <c:crossAx val="243596672"/>
        <c:crosses val="autoZero"/>
        <c:crossBetween val="between"/>
      </c:valAx>
    </c:plotArea>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spPr>
            <a:solidFill>
              <a:srgbClr val="FF0066"/>
            </a:solidFill>
          </c:spPr>
          <c:explosion val="25"/>
          <c:dPt>
            <c:idx val="0"/>
            <c:bubble3D val="0"/>
            <c:spPr>
              <a:solidFill>
                <a:srgbClr val="00B050"/>
              </a:solidFill>
            </c:spPr>
          </c:dPt>
          <c:dLbls>
            <c:txPr>
              <a:bodyPr/>
              <a:lstStyle/>
              <a:p>
                <a:pPr>
                  <a:defRPr sz="1100" b="1"/>
                </a:pPr>
                <a:endParaRPr lang="pl-PL"/>
              </a:p>
            </c:txPr>
            <c:showLegendKey val="0"/>
            <c:showVal val="0"/>
            <c:showCatName val="1"/>
            <c:showSerName val="0"/>
            <c:showPercent val="1"/>
            <c:showBubbleSize val="0"/>
            <c:showLeaderLines val="1"/>
          </c:dLbls>
          <c:cat>
            <c:strRef>
              <c:f>Arkusz1!$A$126:$A$127</c:f>
              <c:strCache>
                <c:ptCount val="2"/>
                <c:pt idx="0">
                  <c:v>TAK</c:v>
                </c:pt>
                <c:pt idx="1">
                  <c:v>NIE</c:v>
                </c:pt>
              </c:strCache>
            </c:strRef>
          </c:cat>
          <c:val>
            <c:numRef>
              <c:f>Arkusz1!$B$126:$B$127</c:f>
              <c:numCache>
                <c:formatCode>General</c:formatCode>
                <c:ptCount val="2"/>
                <c:pt idx="0">
                  <c:v>140</c:v>
                </c:pt>
                <c:pt idx="1">
                  <c:v>2</c:v>
                </c:pt>
              </c:numCache>
            </c:numRef>
          </c:val>
        </c:ser>
        <c:dLbls>
          <c:showLegendKey val="0"/>
          <c:showVal val="0"/>
          <c:showCatName val="1"/>
          <c:showSerName val="0"/>
          <c:showPercent val="1"/>
          <c:showBubbleSize val="0"/>
          <c:showLeaderLines val="1"/>
        </c:dLbls>
      </c:pie3DChart>
    </c:plotArea>
    <c:plotVisOnly val="1"/>
    <c:dispBlanksAs val="zero"/>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Pt>
            <c:idx val="0"/>
            <c:bubble3D val="0"/>
            <c:spPr>
              <a:solidFill>
                <a:srgbClr val="00B050"/>
              </a:solidFill>
            </c:spPr>
          </c:dPt>
          <c:dLbls>
            <c:txPr>
              <a:bodyPr/>
              <a:lstStyle/>
              <a:p>
                <a:pPr>
                  <a:defRPr sz="1050" b="1"/>
                </a:pPr>
                <a:endParaRPr lang="pl-PL"/>
              </a:p>
            </c:txPr>
            <c:showLegendKey val="0"/>
            <c:showVal val="0"/>
            <c:showCatName val="1"/>
            <c:showSerName val="0"/>
            <c:showPercent val="1"/>
            <c:showBubbleSize val="0"/>
            <c:showLeaderLines val="1"/>
          </c:dLbls>
          <c:cat>
            <c:strRef>
              <c:f>Arkusz1!$A$70:$A$71</c:f>
              <c:strCache>
                <c:ptCount val="2"/>
                <c:pt idx="0">
                  <c:v>CHŁOPIEC</c:v>
                </c:pt>
                <c:pt idx="1">
                  <c:v>DZIEWCZYNA</c:v>
                </c:pt>
              </c:strCache>
            </c:strRef>
          </c:cat>
          <c:val>
            <c:numRef>
              <c:f>Arkusz1!$B$70:$B$71</c:f>
              <c:numCache>
                <c:formatCode>General</c:formatCode>
                <c:ptCount val="2"/>
                <c:pt idx="0">
                  <c:v>11</c:v>
                </c:pt>
                <c:pt idx="1">
                  <c:v>20</c:v>
                </c:pt>
              </c:numCache>
            </c:numRef>
          </c:val>
        </c:ser>
        <c:dLbls>
          <c:showLegendKey val="0"/>
          <c:showVal val="0"/>
          <c:showCatName val="1"/>
          <c:showSerName val="0"/>
          <c:showPercent val="1"/>
          <c:showBubbleSize val="0"/>
          <c:showLeaderLines val="1"/>
        </c:dLbls>
      </c:pie3DChart>
    </c:plotArea>
    <c:plotVisOnly val="1"/>
    <c:dispBlanksAs val="zero"/>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invertIfNegative val="0"/>
          <c:dPt>
            <c:idx val="1"/>
            <c:invertIfNegative val="0"/>
            <c:bubble3D val="0"/>
            <c:spPr>
              <a:solidFill>
                <a:srgbClr val="00B050"/>
              </a:solidFill>
            </c:spPr>
          </c:dPt>
          <c:dLbls>
            <c:txPr>
              <a:bodyPr/>
              <a:lstStyle/>
              <a:p>
                <a:pPr>
                  <a:defRPr sz="1100" b="1"/>
                </a:pPr>
                <a:endParaRPr lang="pl-PL"/>
              </a:p>
            </c:txPr>
            <c:showLegendKey val="0"/>
            <c:showVal val="1"/>
            <c:showCatName val="0"/>
            <c:showSerName val="0"/>
            <c:showPercent val="0"/>
            <c:showBubbleSize val="0"/>
            <c:showLeaderLines val="0"/>
          </c:dLbls>
          <c:cat>
            <c:strRef>
              <c:f>Arkusz1!$A$76:$A$79</c:f>
              <c:strCache>
                <c:ptCount val="4"/>
                <c:pt idx="0">
                  <c:v>13 lat</c:v>
                </c:pt>
                <c:pt idx="1">
                  <c:v>14 lat</c:v>
                </c:pt>
                <c:pt idx="2">
                  <c:v>15 lat</c:v>
                </c:pt>
                <c:pt idx="3">
                  <c:v>16 lat</c:v>
                </c:pt>
              </c:strCache>
            </c:strRef>
          </c:cat>
          <c:val>
            <c:numRef>
              <c:f>Arkusz1!$B$76:$B$79</c:f>
              <c:numCache>
                <c:formatCode>0%</c:formatCode>
                <c:ptCount val="4"/>
                <c:pt idx="1">
                  <c:v>0.9473684210526272</c:v>
                </c:pt>
                <c:pt idx="2">
                  <c:v>5.2631578947368432E-2</c:v>
                </c:pt>
              </c:numCache>
            </c:numRef>
          </c:val>
        </c:ser>
        <c:dLbls>
          <c:showLegendKey val="0"/>
          <c:showVal val="0"/>
          <c:showCatName val="0"/>
          <c:showSerName val="0"/>
          <c:showPercent val="0"/>
          <c:showBubbleSize val="0"/>
        </c:dLbls>
        <c:gapWidth val="150"/>
        <c:shape val="box"/>
        <c:axId val="248248576"/>
        <c:axId val="249044992"/>
        <c:axId val="0"/>
      </c:bar3DChart>
      <c:catAx>
        <c:axId val="248248576"/>
        <c:scaling>
          <c:orientation val="minMax"/>
        </c:scaling>
        <c:delete val="0"/>
        <c:axPos val="b"/>
        <c:majorTickMark val="out"/>
        <c:minorTickMark val="none"/>
        <c:tickLblPos val="nextTo"/>
        <c:crossAx val="249044992"/>
        <c:crosses val="autoZero"/>
        <c:auto val="1"/>
        <c:lblAlgn val="ctr"/>
        <c:lblOffset val="100"/>
        <c:noMultiLvlLbl val="0"/>
      </c:catAx>
      <c:valAx>
        <c:axId val="249044992"/>
        <c:scaling>
          <c:orientation val="minMax"/>
        </c:scaling>
        <c:delete val="0"/>
        <c:axPos val="l"/>
        <c:majorGridlines/>
        <c:numFmt formatCode="0%" sourceLinked="1"/>
        <c:majorTickMark val="out"/>
        <c:minorTickMark val="none"/>
        <c:tickLblPos val="nextTo"/>
        <c:crossAx val="248248576"/>
        <c:crosses val="autoZero"/>
        <c:crossBetween val="between"/>
      </c:valAx>
    </c:plotArea>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txPr>
              <a:bodyPr/>
              <a:lstStyle/>
              <a:p>
                <a:pPr>
                  <a:defRPr sz="1200" b="1"/>
                </a:pPr>
                <a:endParaRPr lang="pl-PL"/>
              </a:p>
            </c:txPr>
            <c:showLegendKey val="0"/>
            <c:showVal val="0"/>
            <c:showCatName val="0"/>
            <c:showSerName val="0"/>
            <c:showPercent val="1"/>
            <c:showBubbleSize val="0"/>
            <c:showLeaderLines val="1"/>
          </c:dLbls>
          <c:cat>
            <c:strRef>
              <c:f>Arkusz1!$A$64:$A$65</c:f>
              <c:strCache>
                <c:ptCount val="2"/>
                <c:pt idx="0">
                  <c:v>TAK</c:v>
                </c:pt>
                <c:pt idx="1">
                  <c:v>NIE</c:v>
                </c:pt>
              </c:strCache>
            </c:strRef>
          </c:cat>
          <c:val>
            <c:numRef>
              <c:f>Arkusz1!$B$64:$B$65</c:f>
              <c:numCache>
                <c:formatCode>General</c:formatCode>
                <c:ptCount val="2"/>
                <c:pt idx="0">
                  <c:v>27</c:v>
                </c:pt>
                <c:pt idx="1">
                  <c:v>4</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zero"/>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spPr>
            <a:solidFill>
              <a:srgbClr val="00B050"/>
            </a:solidFill>
          </c:spPr>
          <c:invertIfNegative val="0"/>
          <c:dPt>
            <c:idx val="1"/>
            <c:invertIfNegative val="0"/>
            <c:bubble3D val="0"/>
            <c:spPr>
              <a:solidFill>
                <a:srgbClr val="FFC000"/>
              </a:solidFill>
            </c:spPr>
          </c:dPt>
          <c:dPt>
            <c:idx val="2"/>
            <c:invertIfNegative val="0"/>
            <c:bubble3D val="0"/>
            <c:spPr>
              <a:solidFill>
                <a:schemeClr val="tx2"/>
              </a:solidFill>
            </c:spPr>
          </c:dPt>
          <c:dPt>
            <c:idx val="3"/>
            <c:invertIfNegative val="0"/>
            <c:bubble3D val="0"/>
            <c:spPr>
              <a:solidFill>
                <a:schemeClr val="accent2">
                  <a:lumMod val="75000"/>
                </a:schemeClr>
              </a:solidFill>
            </c:spPr>
          </c:dPt>
          <c:dPt>
            <c:idx val="4"/>
            <c:invertIfNegative val="0"/>
            <c:bubble3D val="0"/>
            <c:spPr>
              <a:solidFill>
                <a:schemeClr val="accent5"/>
              </a:solidFill>
            </c:spPr>
          </c:dPt>
          <c:dPt>
            <c:idx val="5"/>
            <c:invertIfNegative val="0"/>
            <c:bubble3D val="0"/>
            <c:spPr>
              <a:solidFill>
                <a:srgbClr val="7030A0"/>
              </a:solidFill>
            </c:spPr>
          </c:dPt>
          <c:dLbls>
            <c:txPr>
              <a:bodyPr/>
              <a:lstStyle/>
              <a:p>
                <a:pPr>
                  <a:defRPr sz="1100" b="1"/>
                </a:pPr>
                <a:endParaRPr lang="pl-PL"/>
              </a:p>
            </c:txPr>
            <c:showLegendKey val="0"/>
            <c:showVal val="1"/>
            <c:showCatName val="0"/>
            <c:showSerName val="0"/>
            <c:showPercent val="0"/>
            <c:showBubbleSize val="0"/>
            <c:showLeaderLines val="0"/>
          </c:dLbls>
          <c:cat>
            <c:strRef>
              <c:f>Arkusz1!$A$93:$A$98</c:f>
              <c:strCache>
                <c:ptCount val="6"/>
                <c:pt idx="0">
                  <c:v>dobry poziom rozwoju (wiele instytucji użeteczności publicznej)</c:v>
                </c:pt>
                <c:pt idx="1">
                  <c:v>piękne krajobrazy</c:v>
                </c:pt>
                <c:pt idx="2">
                  <c:v>amfiteatr</c:v>
                </c:pt>
                <c:pt idx="3">
                  <c:v>Dworek Modrzewiowy</c:v>
                </c:pt>
                <c:pt idx="4">
                  <c:v>poziom infrastruktury sportowej</c:v>
                </c:pt>
                <c:pt idx="5">
                  <c:v>działalność Gminnego Domu Kultury i Integracji</c:v>
                </c:pt>
              </c:strCache>
            </c:strRef>
          </c:cat>
          <c:val>
            <c:numRef>
              <c:f>Arkusz1!$B$93:$B$98</c:f>
              <c:numCache>
                <c:formatCode>0%</c:formatCode>
                <c:ptCount val="6"/>
                <c:pt idx="0">
                  <c:v>0.41666666666666713</c:v>
                </c:pt>
                <c:pt idx="1">
                  <c:v>0.25</c:v>
                </c:pt>
                <c:pt idx="2">
                  <c:v>0.125</c:v>
                </c:pt>
                <c:pt idx="3">
                  <c:v>8.3333333333333343E-2</c:v>
                </c:pt>
                <c:pt idx="4">
                  <c:v>8.3333333333333343E-2</c:v>
                </c:pt>
                <c:pt idx="5">
                  <c:v>4.1666666666666664E-2</c:v>
                </c:pt>
              </c:numCache>
            </c:numRef>
          </c:val>
        </c:ser>
        <c:dLbls>
          <c:showLegendKey val="0"/>
          <c:showVal val="0"/>
          <c:showCatName val="0"/>
          <c:showSerName val="0"/>
          <c:showPercent val="0"/>
          <c:showBubbleSize val="0"/>
        </c:dLbls>
        <c:gapWidth val="150"/>
        <c:shape val="box"/>
        <c:axId val="248205696"/>
        <c:axId val="248207232"/>
        <c:axId val="0"/>
      </c:bar3DChart>
      <c:catAx>
        <c:axId val="248205696"/>
        <c:scaling>
          <c:orientation val="minMax"/>
        </c:scaling>
        <c:delete val="0"/>
        <c:axPos val="l"/>
        <c:majorTickMark val="out"/>
        <c:minorTickMark val="none"/>
        <c:tickLblPos val="nextTo"/>
        <c:crossAx val="248207232"/>
        <c:crosses val="autoZero"/>
        <c:auto val="1"/>
        <c:lblAlgn val="ctr"/>
        <c:lblOffset val="100"/>
        <c:noMultiLvlLbl val="0"/>
      </c:catAx>
      <c:valAx>
        <c:axId val="248207232"/>
        <c:scaling>
          <c:orientation val="minMax"/>
        </c:scaling>
        <c:delete val="0"/>
        <c:axPos val="b"/>
        <c:majorGridlines/>
        <c:numFmt formatCode="0%" sourceLinked="1"/>
        <c:majorTickMark val="out"/>
        <c:minorTickMark val="none"/>
        <c:tickLblPos val="nextTo"/>
        <c:crossAx val="248205696"/>
        <c:crosses val="autoZero"/>
        <c:crossBetween val="between"/>
      </c:valAx>
    </c:plotArea>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11993571572784172"/>
          <c:y val="0.14536233818230579"/>
          <c:w val="0.78474395315970602"/>
          <c:h val="0.70927532363539803"/>
        </c:manualLayout>
      </c:layout>
      <c:pie3DChart>
        <c:varyColors val="1"/>
        <c:ser>
          <c:idx val="0"/>
          <c:order val="0"/>
          <c:explosion val="25"/>
          <c:dPt>
            <c:idx val="0"/>
            <c:bubble3D val="0"/>
            <c:spPr>
              <a:solidFill>
                <a:srgbClr val="7030A0"/>
              </a:solidFill>
            </c:spPr>
          </c:dPt>
          <c:dPt>
            <c:idx val="1"/>
            <c:bubble3D val="0"/>
            <c:spPr>
              <a:solidFill>
                <a:srgbClr val="C00000"/>
              </a:solidFill>
            </c:spPr>
          </c:dPt>
          <c:dLbls>
            <c:txPr>
              <a:bodyPr/>
              <a:lstStyle/>
              <a:p>
                <a:pPr>
                  <a:defRPr sz="1200" b="1"/>
                </a:pPr>
                <a:endParaRPr lang="pl-PL"/>
              </a:p>
            </c:txPr>
            <c:showLegendKey val="0"/>
            <c:showVal val="0"/>
            <c:showCatName val="1"/>
            <c:showSerName val="0"/>
            <c:showPercent val="1"/>
            <c:showBubbleSize val="0"/>
            <c:showLeaderLines val="1"/>
          </c:dLbls>
          <c:cat>
            <c:strRef>
              <c:f>Arkusz1!$A$106:$A$107</c:f>
              <c:strCache>
                <c:ptCount val="2"/>
                <c:pt idx="0">
                  <c:v>TAK</c:v>
                </c:pt>
                <c:pt idx="1">
                  <c:v>NIE</c:v>
                </c:pt>
              </c:strCache>
            </c:strRef>
          </c:cat>
          <c:val>
            <c:numRef>
              <c:f>Arkusz1!$B$106:$B$107</c:f>
              <c:numCache>
                <c:formatCode>General</c:formatCode>
                <c:ptCount val="2"/>
                <c:pt idx="0">
                  <c:v>7</c:v>
                </c:pt>
                <c:pt idx="1">
                  <c:v>12</c:v>
                </c:pt>
              </c:numCache>
            </c:numRef>
          </c:val>
        </c:ser>
        <c:dLbls>
          <c:showLegendKey val="0"/>
          <c:showVal val="0"/>
          <c:showCatName val="1"/>
          <c:showSerName val="0"/>
          <c:showPercent val="1"/>
          <c:showBubbleSize val="0"/>
          <c:showLeaderLines val="1"/>
        </c:dLbls>
      </c:pie3D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5604A5-1178-44E7-BCCB-D9590634D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1010</TotalTime>
  <Pages>194</Pages>
  <Words>50641</Words>
  <Characters>303848</Characters>
  <Application>Microsoft Office Word</Application>
  <DocSecurity>0</DocSecurity>
  <Lines>2532</Lines>
  <Paragraphs>707</Paragraphs>
  <ScaleCrop>false</ScaleCrop>
  <HeadingPairs>
    <vt:vector size="2" baseType="variant">
      <vt:variant>
        <vt:lpstr>Tytuł</vt:lpstr>
      </vt:variant>
      <vt:variant>
        <vt:i4>1</vt:i4>
      </vt:variant>
    </vt:vector>
  </HeadingPairs>
  <TitlesOfParts>
    <vt:vector size="1" baseType="lpstr">
      <vt:lpstr>GMINNY PROGRAM REWITALIZACJI DLA GMINY MIRZEC                             NA LATA 2016-2022</vt:lpstr>
    </vt:vector>
  </TitlesOfParts>
  <Company>Dell</Company>
  <LinksUpToDate>false</LinksUpToDate>
  <CharactersWithSpaces>353782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GMINNY PROGRAM REWITALIZACJI DLA GMINY MIRZEC                             NA LATA 2016-2022</dc:title>
  <dc:creator>Magdalena Gleisner</dc:creator>
  <cp:lastModifiedBy>Magdalena Gleisner</cp:lastModifiedBy>
  <cp:revision>25</cp:revision>
  <cp:lastPrinted>2016-05-09T10:40:00Z</cp:lastPrinted>
  <dcterms:created xsi:type="dcterms:W3CDTF">2016-04-27T18:03:00Z</dcterms:created>
  <dcterms:modified xsi:type="dcterms:W3CDTF">2016-05-09T11:06:00Z</dcterms:modified>
</cp:coreProperties>
</file>