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8F1" w:rsidRPr="00EA27ED" w:rsidRDefault="00D310C5" w:rsidP="003933AC">
      <w:pPr>
        <w:autoSpaceDE w:val="0"/>
        <w:autoSpaceDN w:val="0"/>
        <w:adjustRightInd w:val="0"/>
        <w:jc w:val="right"/>
        <w:rPr>
          <w:rFonts w:asciiTheme="majorHAnsi" w:hAnsiTheme="majorHAnsi" w:cs="Arial"/>
          <w:sz w:val="20"/>
          <w:szCs w:val="20"/>
        </w:rPr>
      </w:pPr>
      <w:bookmarkStart w:id="0" w:name="_GoBack"/>
      <w:bookmarkEnd w:id="0"/>
      <w:r>
        <w:rPr>
          <w:rFonts w:asciiTheme="majorHAnsi" w:hAnsiTheme="majorHAnsi" w:cs="Arial"/>
          <w:sz w:val="20"/>
          <w:szCs w:val="20"/>
        </w:rPr>
        <w:t>Mirzec</w:t>
      </w:r>
      <w:r w:rsidR="000858F1" w:rsidRPr="00EA27ED">
        <w:rPr>
          <w:rFonts w:asciiTheme="majorHAnsi" w:hAnsiTheme="majorHAnsi" w:cs="Arial"/>
          <w:sz w:val="20"/>
          <w:szCs w:val="20"/>
        </w:rPr>
        <w:t xml:space="preserve">, </w:t>
      </w:r>
      <w:r w:rsidR="000858F1" w:rsidRPr="00BA4C59">
        <w:rPr>
          <w:rFonts w:asciiTheme="majorHAnsi" w:hAnsiTheme="majorHAnsi" w:cs="Arial"/>
          <w:sz w:val="20"/>
          <w:szCs w:val="20"/>
        </w:rPr>
        <w:t>dnia</w:t>
      </w:r>
      <w:r w:rsidR="000407E8" w:rsidRPr="00BA4C59">
        <w:rPr>
          <w:rFonts w:asciiTheme="majorHAnsi" w:hAnsiTheme="majorHAnsi" w:cs="Arial"/>
          <w:sz w:val="20"/>
          <w:szCs w:val="20"/>
        </w:rPr>
        <w:t xml:space="preserve"> </w:t>
      </w:r>
      <w:r w:rsidR="009F0651" w:rsidRPr="00BA4C59">
        <w:rPr>
          <w:rFonts w:asciiTheme="majorHAnsi" w:hAnsiTheme="majorHAnsi" w:cs="Arial"/>
          <w:sz w:val="20"/>
          <w:szCs w:val="20"/>
        </w:rPr>
        <w:t>0</w:t>
      </w:r>
      <w:r w:rsidR="00BA4C59" w:rsidRPr="00BA4C59">
        <w:rPr>
          <w:rFonts w:asciiTheme="majorHAnsi" w:hAnsiTheme="majorHAnsi" w:cs="Arial"/>
          <w:sz w:val="20"/>
          <w:szCs w:val="20"/>
        </w:rPr>
        <w:t>8</w:t>
      </w:r>
      <w:r w:rsidR="00B0224F" w:rsidRPr="00BA4C59">
        <w:rPr>
          <w:rFonts w:asciiTheme="majorHAnsi" w:hAnsiTheme="majorHAnsi" w:cs="Arial"/>
          <w:sz w:val="20"/>
          <w:szCs w:val="20"/>
        </w:rPr>
        <w:t>.</w:t>
      </w:r>
      <w:r w:rsidR="009F0651" w:rsidRPr="00BA4C59">
        <w:rPr>
          <w:rFonts w:asciiTheme="majorHAnsi" w:hAnsiTheme="majorHAnsi" w:cs="Arial"/>
          <w:sz w:val="20"/>
          <w:szCs w:val="20"/>
        </w:rPr>
        <w:t>04</w:t>
      </w:r>
      <w:r w:rsidR="00A837AF" w:rsidRPr="00BA4C59">
        <w:rPr>
          <w:rFonts w:asciiTheme="majorHAnsi" w:hAnsiTheme="majorHAnsi" w:cs="Arial"/>
          <w:sz w:val="20"/>
          <w:szCs w:val="20"/>
        </w:rPr>
        <w:t>.202</w:t>
      </w:r>
      <w:r w:rsidR="00DC5545" w:rsidRPr="00BA4C59">
        <w:rPr>
          <w:rFonts w:asciiTheme="majorHAnsi" w:hAnsiTheme="majorHAnsi" w:cs="Arial"/>
          <w:sz w:val="20"/>
          <w:szCs w:val="20"/>
        </w:rPr>
        <w:t>1</w:t>
      </w:r>
      <w:r w:rsidR="00577C01" w:rsidRPr="00BA4C59">
        <w:rPr>
          <w:rFonts w:asciiTheme="majorHAnsi" w:hAnsiTheme="majorHAnsi" w:cs="Arial"/>
          <w:sz w:val="20"/>
          <w:szCs w:val="20"/>
        </w:rPr>
        <w:t xml:space="preserve"> </w:t>
      </w:r>
      <w:r w:rsidR="000858F1" w:rsidRPr="00BA4C59">
        <w:rPr>
          <w:rFonts w:asciiTheme="majorHAnsi" w:hAnsiTheme="majorHAnsi" w:cs="Arial"/>
          <w:sz w:val="20"/>
          <w:szCs w:val="20"/>
        </w:rPr>
        <w:t>r.</w:t>
      </w:r>
    </w:p>
    <w:p w:rsidR="00EA27ED" w:rsidRPr="00EA27ED" w:rsidRDefault="00EA27ED" w:rsidP="003933A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0858F1" w:rsidRPr="00EA27ED" w:rsidRDefault="000858F1" w:rsidP="003933A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EA27ED">
        <w:rPr>
          <w:rFonts w:asciiTheme="majorHAnsi" w:hAnsiTheme="majorHAnsi" w:cs="Arial"/>
          <w:b/>
          <w:bCs/>
          <w:sz w:val="20"/>
          <w:szCs w:val="20"/>
        </w:rPr>
        <w:t>INFORMACJA</w:t>
      </w:r>
    </w:p>
    <w:p w:rsidR="000858F1" w:rsidRPr="00EA27ED" w:rsidRDefault="000858F1" w:rsidP="003933A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EA27ED">
        <w:rPr>
          <w:rFonts w:asciiTheme="majorHAnsi" w:hAnsiTheme="majorHAnsi" w:cs="Arial"/>
          <w:b/>
          <w:bCs/>
          <w:sz w:val="20"/>
          <w:szCs w:val="20"/>
        </w:rPr>
        <w:t xml:space="preserve">dla Wykonawców nr </w:t>
      </w:r>
      <w:r w:rsidR="009F0651">
        <w:rPr>
          <w:rFonts w:asciiTheme="majorHAnsi" w:hAnsiTheme="majorHAnsi" w:cs="Arial"/>
          <w:b/>
          <w:bCs/>
          <w:sz w:val="20"/>
          <w:szCs w:val="20"/>
        </w:rPr>
        <w:t>2</w:t>
      </w:r>
    </w:p>
    <w:p w:rsidR="00EC1AC1" w:rsidRPr="00EA27ED" w:rsidRDefault="000858F1" w:rsidP="00EC1AC1">
      <w:pPr>
        <w:pStyle w:val="Tytu"/>
        <w:pBdr>
          <w:bottom w:val="single" w:sz="4" w:space="1" w:color="auto"/>
        </w:pBdr>
        <w:spacing w:line="276" w:lineRule="auto"/>
        <w:rPr>
          <w:rFonts w:asciiTheme="majorHAnsi" w:hAnsiTheme="majorHAnsi" w:cs="Arial"/>
          <w:sz w:val="20"/>
          <w:szCs w:val="20"/>
        </w:rPr>
      </w:pPr>
      <w:r w:rsidRPr="00EA27ED">
        <w:rPr>
          <w:rFonts w:asciiTheme="majorHAnsi" w:hAnsiTheme="majorHAnsi" w:cs="Arial"/>
          <w:sz w:val="20"/>
          <w:szCs w:val="20"/>
        </w:rPr>
        <w:t>Dotyczy: Postępowania o udzielenie zamówienia publicznego</w:t>
      </w:r>
      <w:r w:rsidR="00997FF9" w:rsidRPr="00EA27ED">
        <w:rPr>
          <w:rFonts w:asciiTheme="majorHAnsi" w:hAnsiTheme="majorHAnsi" w:cs="Arial"/>
          <w:sz w:val="20"/>
          <w:szCs w:val="20"/>
        </w:rPr>
        <w:t xml:space="preserve"> pn.</w:t>
      </w:r>
    </w:p>
    <w:p w:rsidR="00185C72" w:rsidRPr="00EA27ED" w:rsidRDefault="00185C72" w:rsidP="00185C72">
      <w:pPr>
        <w:shd w:val="clear" w:color="auto" w:fill="BFBFBF"/>
        <w:spacing w:after="0"/>
        <w:jc w:val="center"/>
        <w:rPr>
          <w:rFonts w:asciiTheme="majorHAnsi" w:hAnsiTheme="majorHAnsi" w:cs="Tahoma"/>
          <w:b/>
          <w:bCs/>
          <w:sz w:val="20"/>
          <w:szCs w:val="20"/>
        </w:rPr>
      </w:pPr>
    </w:p>
    <w:p w:rsidR="00863522" w:rsidRPr="00EA27ED" w:rsidRDefault="00A837AF" w:rsidP="00EA27ED">
      <w:pPr>
        <w:shd w:val="clear" w:color="auto" w:fill="BFBFBF"/>
        <w:spacing w:after="0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EA27ED">
        <w:rPr>
          <w:rFonts w:asciiTheme="majorHAnsi" w:hAnsiTheme="majorHAnsi" w:cs="Tahoma"/>
          <w:b/>
          <w:bCs/>
          <w:sz w:val="20"/>
          <w:szCs w:val="20"/>
        </w:rPr>
        <w:t>„</w:t>
      </w:r>
      <w:r w:rsidR="00D310C5" w:rsidRPr="00D310C5">
        <w:rPr>
          <w:rFonts w:ascii="Cambria" w:hAnsi="Cambria"/>
          <w:b/>
          <w:sz w:val="20"/>
          <w:lang w:eastAsia="x-none"/>
        </w:rPr>
        <w:t>Modernizacja oświetlenia drogowego na terenie Gminy Mirzec</w:t>
      </w:r>
      <w:r w:rsidR="00863522" w:rsidRPr="00EA27ED">
        <w:rPr>
          <w:rFonts w:asciiTheme="majorHAnsi" w:hAnsiTheme="majorHAnsi" w:cs="Tahoma"/>
          <w:b/>
          <w:bCs/>
          <w:sz w:val="20"/>
          <w:szCs w:val="20"/>
        </w:rPr>
        <w:t>”</w:t>
      </w:r>
    </w:p>
    <w:p w:rsidR="00B062B3" w:rsidRPr="00EA27ED" w:rsidRDefault="00EC1AC1" w:rsidP="0044781D">
      <w:pPr>
        <w:shd w:val="clear" w:color="auto" w:fill="BFBFBF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EA27ED">
        <w:rPr>
          <w:rFonts w:asciiTheme="majorHAnsi" w:hAnsiTheme="majorHAnsi" w:cs="Tahoma"/>
          <w:b/>
          <w:bCs/>
          <w:sz w:val="20"/>
          <w:szCs w:val="20"/>
        </w:rPr>
        <w:t xml:space="preserve"> </w:t>
      </w:r>
      <w:r w:rsidR="00AA2C77" w:rsidRPr="00EA27ED">
        <w:rPr>
          <w:rFonts w:asciiTheme="majorHAnsi" w:hAnsiTheme="majorHAnsi" w:cs="Tahoma"/>
          <w:b/>
          <w:bCs/>
          <w:sz w:val="20"/>
          <w:szCs w:val="20"/>
        </w:rPr>
        <w:t xml:space="preserve"> </w:t>
      </w:r>
    </w:p>
    <w:p w:rsidR="00596674" w:rsidRPr="00EA27ED" w:rsidRDefault="00596674" w:rsidP="00757E1D">
      <w:pPr>
        <w:pStyle w:val="Bezodstpw"/>
        <w:spacing w:line="276" w:lineRule="auto"/>
        <w:ind w:left="426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0858F1" w:rsidRPr="00EA27ED" w:rsidRDefault="000858F1" w:rsidP="00042B7D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0"/>
          <w:szCs w:val="20"/>
        </w:rPr>
      </w:pPr>
      <w:r w:rsidRPr="00EA27ED">
        <w:rPr>
          <w:rFonts w:asciiTheme="majorHAnsi" w:hAnsiTheme="majorHAnsi"/>
          <w:sz w:val="20"/>
          <w:szCs w:val="20"/>
        </w:rPr>
        <w:t xml:space="preserve">Zamawiający działając na podstawie </w:t>
      </w:r>
      <w:r w:rsidR="00960161" w:rsidRPr="00A7529B">
        <w:rPr>
          <w:rFonts w:asciiTheme="majorHAnsi" w:hAnsiTheme="majorHAnsi"/>
          <w:sz w:val="20"/>
          <w:szCs w:val="20"/>
        </w:rPr>
        <w:t>art. 135 ust.</w:t>
      </w:r>
      <w:r w:rsidR="00960161">
        <w:rPr>
          <w:rFonts w:asciiTheme="majorHAnsi" w:hAnsiTheme="majorHAnsi"/>
          <w:sz w:val="20"/>
          <w:szCs w:val="20"/>
        </w:rPr>
        <w:t xml:space="preserve"> 6</w:t>
      </w:r>
      <w:r w:rsidR="00960161" w:rsidRPr="00A7529B">
        <w:rPr>
          <w:rFonts w:asciiTheme="majorHAnsi" w:hAnsiTheme="majorHAnsi"/>
          <w:sz w:val="20"/>
          <w:szCs w:val="20"/>
        </w:rPr>
        <w:t xml:space="preserve"> </w:t>
      </w:r>
      <w:r w:rsidR="00960161">
        <w:rPr>
          <w:rFonts w:asciiTheme="majorHAnsi" w:hAnsiTheme="majorHAnsi"/>
          <w:sz w:val="20"/>
          <w:szCs w:val="20"/>
        </w:rPr>
        <w:t xml:space="preserve">oraz </w:t>
      </w:r>
      <w:r w:rsidRPr="00EA27ED">
        <w:rPr>
          <w:rFonts w:asciiTheme="majorHAnsi" w:hAnsiTheme="majorHAnsi"/>
          <w:sz w:val="20"/>
          <w:szCs w:val="20"/>
        </w:rPr>
        <w:t xml:space="preserve">art. </w:t>
      </w:r>
      <w:r w:rsidR="00C268A2" w:rsidRPr="00EA27ED">
        <w:rPr>
          <w:rFonts w:asciiTheme="majorHAnsi" w:hAnsiTheme="majorHAnsi"/>
          <w:sz w:val="20"/>
          <w:szCs w:val="20"/>
        </w:rPr>
        <w:t>137</w:t>
      </w:r>
      <w:r w:rsidRPr="00EA27ED">
        <w:rPr>
          <w:rFonts w:asciiTheme="majorHAnsi" w:hAnsiTheme="majorHAnsi"/>
          <w:sz w:val="20"/>
          <w:szCs w:val="20"/>
        </w:rPr>
        <w:t xml:space="preserve"> ust.</w:t>
      </w:r>
      <w:r w:rsidR="00DF5BA6" w:rsidRPr="00EA27ED">
        <w:rPr>
          <w:rFonts w:asciiTheme="majorHAnsi" w:hAnsiTheme="majorHAnsi"/>
          <w:sz w:val="20"/>
          <w:szCs w:val="20"/>
        </w:rPr>
        <w:t xml:space="preserve"> </w:t>
      </w:r>
      <w:r w:rsidR="00C268A2" w:rsidRPr="00EA27ED">
        <w:rPr>
          <w:rFonts w:asciiTheme="majorHAnsi" w:hAnsiTheme="majorHAnsi"/>
          <w:sz w:val="20"/>
          <w:szCs w:val="20"/>
        </w:rPr>
        <w:t>1</w:t>
      </w:r>
      <w:r w:rsidR="00B0224F" w:rsidRPr="00EA27ED">
        <w:rPr>
          <w:rFonts w:asciiTheme="majorHAnsi" w:hAnsiTheme="majorHAnsi"/>
          <w:sz w:val="20"/>
          <w:szCs w:val="20"/>
        </w:rPr>
        <w:t xml:space="preserve"> </w:t>
      </w:r>
      <w:r w:rsidR="00BB3F35" w:rsidRPr="00EA27ED">
        <w:rPr>
          <w:rFonts w:asciiTheme="majorHAnsi" w:hAnsiTheme="majorHAnsi"/>
          <w:sz w:val="20"/>
          <w:szCs w:val="20"/>
        </w:rPr>
        <w:t xml:space="preserve"> </w:t>
      </w:r>
      <w:r w:rsidRPr="00EA27ED">
        <w:rPr>
          <w:rFonts w:asciiTheme="majorHAnsi" w:hAnsiTheme="majorHAnsi"/>
          <w:sz w:val="20"/>
          <w:szCs w:val="20"/>
        </w:rPr>
        <w:t xml:space="preserve">ustawy z dnia </w:t>
      </w:r>
      <w:r w:rsidR="00DC5545" w:rsidRPr="00EA27ED">
        <w:rPr>
          <w:rFonts w:asciiTheme="majorHAnsi" w:hAnsiTheme="majorHAnsi"/>
          <w:sz w:val="20"/>
          <w:szCs w:val="20"/>
        </w:rPr>
        <w:t>11 września</w:t>
      </w:r>
      <w:r w:rsidRPr="00EA27ED">
        <w:rPr>
          <w:rFonts w:asciiTheme="majorHAnsi" w:hAnsiTheme="majorHAnsi"/>
          <w:sz w:val="20"/>
          <w:szCs w:val="20"/>
        </w:rPr>
        <w:t xml:space="preserve"> 20</w:t>
      </w:r>
      <w:r w:rsidR="00DC5545" w:rsidRPr="00EA27ED">
        <w:rPr>
          <w:rFonts w:asciiTheme="majorHAnsi" w:hAnsiTheme="majorHAnsi"/>
          <w:sz w:val="20"/>
          <w:szCs w:val="20"/>
        </w:rPr>
        <w:t>19</w:t>
      </w:r>
      <w:r w:rsidRPr="00EA27ED">
        <w:rPr>
          <w:rFonts w:asciiTheme="majorHAnsi" w:hAnsiTheme="majorHAnsi"/>
          <w:sz w:val="20"/>
          <w:szCs w:val="20"/>
        </w:rPr>
        <w:t>r. Prawo zamówień publicznych (</w:t>
      </w:r>
      <w:r w:rsidR="00C463E0" w:rsidRPr="00EA27ED">
        <w:rPr>
          <w:rStyle w:val="Pogrubienie"/>
          <w:rFonts w:asciiTheme="majorHAnsi" w:hAnsiTheme="majorHAnsi" w:cs="Arial"/>
          <w:b w:val="0"/>
          <w:sz w:val="20"/>
          <w:szCs w:val="20"/>
        </w:rPr>
        <w:t>Dz. U. z 201</w:t>
      </w:r>
      <w:r w:rsidR="0047462D" w:rsidRPr="00EA27ED">
        <w:rPr>
          <w:rStyle w:val="Pogrubienie"/>
          <w:rFonts w:asciiTheme="majorHAnsi" w:hAnsiTheme="majorHAnsi" w:cs="Arial"/>
          <w:b w:val="0"/>
          <w:sz w:val="20"/>
          <w:szCs w:val="20"/>
        </w:rPr>
        <w:t>9</w:t>
      </w:r>
      <w:r w:rsidR="00C463E0" w:rsidRPr="00EA27ED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r. poz. </w:t>
      </w:r>
      <w:r w:rsidR="00DC5545" w:rsidRPr="00EA27ED">
        <w:rPr>
          <w:rStyle w:val="Pogrubienie"/>
          <w:rFonts w:asciiTheme="majorHAnsi" w:hAnsiTheme="majorHAnsi" w:cs="Arial"/>
          <w:b w:val="0"/>
          <w:sz w:val="20"/>
          <w:szCs w:val="20"/>
        </w:rPr>
        <w:t>2019</w:t>
      </w:r>
      <w:r w:rsidR="00596D9C" w:rsidRPr="00EA27ED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</w:t>
      </w:r>
      <w:r w:rsidRPr="00EA27ED">
        <w:rPr>
          <w:rFonts w:asciiTheme="majorHAnsi" w:hAnsiTheme="majorHAnsi"/>
          <w:sz w:val="20"/>
          <w:szCs w:val="20"/>
        </w:rPr>
        <w:t>– dalej ustawy)</w:t>
      </w:r>
      <w:r w:rsidR="00941A2E" w:rsidRPr="00EA27ED">
        <w:rPr>
          <w:rFonts w:asciiTheme="majorHAnsi" w:hAnsiTheme="majorHAnsi"/>
          <w:sz w:val="20"/>
          <w:szCs w:val="20"/>
        </w:rPr>
        <w:t xml:space="preserve"> </w:t>
      </w:r>
      <w:r w:rsidR="00960161">
        <w:rPr>
          <w:rFonts w:asciiTheme="majorHAnsi" w:hAnsiTheme="majorHAnsi"/>
          <w:sz w:val="20"/>
          <w:szCs w:val="20"/>
        </w:rPr>
        <w:t xml:space="preserve">udziela odpowiedzi na pytania oraz </w:t>
      </w:r>
      <w:r w:rsidR="00C268A2" w:rsidRPr="00EA27ED">
        <w:rPr>
          <w:rFonts w:asciiTheme="majorHAnsi" w:hAnsiTheme="majorHAnsi"/>
          <w:sz w:val="20"/>
          <w:szCs w:val="20"/>
        </w:rPr>
        <w:t>modyfikuje treść SWZ</w:t>
      </w:r>
      <w:r w:rsidR="00042B7D" w:rsidRPr="00EA27ED">
        <w:rPr>
          <w:rFonts w:asciiTheme="majorHAnsi" w:hAnsiTheme="majorHAnsi"/>
          <w:sz w:val="20"/>
          <w:szCs w:val="20"/>
        </w:rPr>
        <w:t>:</w:t>
      </w:r>
    </w:p>
    <w:p w:rsidR="004F61E2" w:rsidRDefault="004F61E2" w:rsidP="00042B7D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0"/>
          <w:szCs w:val="20"/>
        </w:rPr>
      </w:pPr>
    </w:p>
    <w:p w:rsidR="00960161" w:rsidRDefault="00960161" w:rsidP="00960161">
      <w:pPr>
        <w:pStyle w:val="Bezodstpw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960161">
        <w:rPr>
          <w:rFonts w:asciiTheme="majorHAnsi" w:hAnsiTheme="majorHAnsi"/>
          <w:b/>
          <w:sz w:val="20"/>
          <w:szCs w:val="20"/>
        </w:rPr>
        <w:t>Pytanie nr 1:</w:t>
      </w:r>
    </w:p>
    <w:p w:rsidR="00AA0D33" w:rsidRPr="00AA0D33" w:rsidRDefault="00AA0D33" w:rsidP="00AA0D33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AA0D33">
        <w:rPr>
          <w:rFonts w:asciiTheme="majorHAnsi" w:hAnsiTheme="majorHAnsi"/>
          <w:sz w:val="20"/>
          <w:szCs w:val="20"/>
        </w:rPr>
        <w:t>Zamawiający jako jedno z kryterium wyboru ofert wskazał dostarczenie Bezprzewodowego systemu</w:t>
      </w:r>
      <w:r w:rsidR="00A031C0">
        <w:rPr>
          <w:rFonts w:asciiTheme="majorHAnsi" w:hAnsiTheme="majorHAnsi"/>
          <w:sz w:val="20"/>
          <w:szCs w:val="20"/>
        </w:rPr>
        <w:t xml:space="preserve"> </w:t>
      </w:r>
      <w:r w:rsidRPr="00AA0D33">
        <w:rPr>
          <w:rFonts w:asciiTheme="majorHAnsi" w:hAnsiTheme="majorHAnsi"/>
          <w:sz w:val="20"/>
          <w:szCs w:val="20"/>
        </w:rPr>
        <w:t>Sterowania. Preferowany i dodatkowo punktowany jest system zainstalowany</w:t>
      </w:r>
      <w:r>
        <w:rPr>
          <w:rFonts w:asciiTheme="majorHAnsi" w:hAnsiTheme="majorHAnsi"/>
          <w:sz w:val="20"/>
          <w:szCs w:val="20"/>
        </w:rPr>
        <w:t xml:space="preserve"> w siedzibie Zamawiającego a za </w:t>
      </w:r>
      <w:r w:rsidRPr="00AA0D33">
        <w:rPr>
          <w:rFonts w:asciiTheme="majorHAnsi" w:hAnsiTheme="majorHAnsi"/>
          <w:sz w:val="20"/>
          <w:szCs w:val="20"/>
        </w:rPr>
        <w:t>wersję chmur</w:t>
      </w:r>
      <w:r>
        <w:rPr>
          <w:rFonts w:asciiTheme="majorHAnsi" w:hAnsiTheme="majorHAnsi"/>
          <w:sz w:val="20"/>
          <w:szCs w:val="20"/>
        </w:rPr>
        <w:t xml:space="preserve">ową nie są przewidziane punkty. </w:t>
      </w:r>
      <w:r w:rsidRPr="00AA0D33">
        <w:rPr>
          <w:rFonts w:asciiTheme="majorHAnsi" w:hAnsiTheme="majorHAnsi"/>
          <w:sz w:val="20"/>
          <w:szCs w:val="20"/>
        </w:rPr>
        <w:t>Prosimy o wyjaśnienie dlaczego akurat taka wersja jest według Z</w:t>
      </w:r>
      <w:r>
        <w:rPr>
          <w:rFonts w:asciiTheme="majorHAnsi" w:hAnsiTheme="majorHAnsi"/>
          <w:sz w:val="20"/>
          <w:szCs w:val="20"/>
        </w:rPr>
        <w:t xml:space="preserve">amawiającego bardziej dla niego korzystna? </w:t>
      </w:r>
      <w:r w:rsidRPr="00AA0D33">
        <w:rPr>
          <w:rFonts w:asciiTheme="majorHAnsi" w:hAnsiTheme="majorHAnsi"/>
          <w:sz w:val="20"/>
          <w:szCs w:val="20"/>
        </w:rPr>
        <w:t>Pragniemy zauważyć, że przy stosunkowo niewielkiej instalacji jaka jest przedmio</w:t>
      </w:r>
      <w:r>
        <w:rPr>
          <w:rFonts w:asciiTheme="majorHAnsi" w:hAnsiTheme="majorHAnsi"/>
          <w:sz w:val="20"/>
          <w:szCs w:val="20"/>
        </w:rPr>
        <w:t xml:space="preserve">tem tego postępowania (licencja </w:t>
      </w:r>
      <w:r w:rsidRPr="00AA0D33">
        <w:rPr>
          <w:rFonts w:asciiTheme="majorHAnsi" w:hAnsiTheme="majorHAnsi"/>
          <w:sz w:val="20"/>
          <w:szCs w:val="20"/>
        </w:rPr>
        <w:t>na 2000 opraw) serwer w wersji chmurowej będzie znacznie korzystniejszy tak p</w:t>
      </w:r>
      <w:r>
        <w:rPr>
          <w:rFonts w:asciiTheme="majorHAnsi" w:hAnsiTheme="majorHAnsi"/>
          <w:sz w:val="20"/>
          <w:szCs w:val="20"/>
        </w:rPr>
        <w:t xml:space="preserve">rzy instalacji jak i w dłuższej </w:t>
      </w:r>
      <w:r w:rsidRPr="00AA0D33">
        <w:rPr>
          <w:rFonts w:asciiTheme="majorHAnsi" w:hAnsiTheme="majorHAnsi"/>
          <w:sz w:val="20"/>
          <w:szCs w:val="20"/>
        </w:rPr>
        <w:t>perspektywie użytkowania. Wszelkie koszty związane z utrzymaniem, serwis</w:t>
      </w:r>
      <w:r>
        <w:rPr>
          <w:rFonts w:asciiTheme="majorHAnsi" w:hAnsiTheme="majorHAnsi"/>
          <w:sz w:val="20"/>
          <w:szCs w:val="20"/>
        </w:rPr>
        <w:t xml:space="preserve">owaniem i obsługą są po stronie </w:t>
      </w:r>
      <w:r w:rsidRPr="00AA0D33">
        <w:rPr>
          <w:rFonts w:asciiTheme="majorHAnsi" w:hAnsiTheme="majorHAnsi"/>
          <w:sz w:val="20"/>
          <w:szCs w:val="20"/>
        </w:rPr>
        <w:t>dostawcy usługi. Rozwiązanie takie jest nie tylko korzystniejsze cenowo ale także</w:t>
      </w:r>
      <w:r>
        <w:rPr>
          <w:rFonts w:asciiTheme="majorHAnsi" w:hAnsiTheme="majorHAnsi"/>
          <w:sz w:val="20"/>
          <w:szCs w:val="20"/>
        </w:rPr>
        <w:t xml:space="preserve"> znacznie bezpieczniejsze, gdyż </w:t>
      </w:r>
      <w:r w:rsidRPr="00AA0D33">
        <w:rPr>
          <w:rFonts w:asciiTheme="majorHAnsi" w:hAnsiTheme="majorHAnsi"/>
          <w:sz w:val="20"/>
          <w:szCs w:val="20"/>
        </w:rPr>
        <w:t xml:space="preserve">duże serwerownie spełniają najwyższe standardy ochrony danych, czego nie ma </w:t>
      </w:r>
      <w:r>
        <w:rPr>
          <w:rFonts w:asciiTheme="majorHAnsi" w:hAnsiTheme="majorHAnsi"/>
          <w:sz w:val="20"/>
          <w:szCs w:val="20"/>
        </w:rPr>
        <w:t xml:space="preserve">możliwości wdrożenia, przy </w:t>
      </w:r>
      <w:r w:rsidRPr="00AA0D33">
        <w:rPr>
          <w:rFonts w:asciiTheme="majorHAnsi" w:hAnsiTheme="majorHAnsi"/>
          <w:sz w:val="20"/>
          <w:szCs w:val="20"/>
        </w:rPr>
        <w:t xml:space="preserve">racjonalnych </w:t>
      </w:r>
      <w:r>
        <w:rPr>
          <w:rFonts w:asciiTheme="majorHAnsi" w:hAnsiTheme="majorHAnsi"/>
          <w:sz w:val="20"/>
          <w:szCs w:val="20"/>
        </w:rPr>
        <w:t xml:space="preserve">kosztach, na miejscu u klienta. </w:t>
      </w:r>
      <w:r w:rsidRPr="00AA0D33">
        <w:rPr>
          <w:rFonts w:asciiTheme="majorHAnsi" w:hAnsiTheme="majorHAnsi"/>
          <w:sz w:val="20"/>
          <w:szCs w:val="20"/>
        </w:rPr>
        <w:t>W związku z powyższy wnosimy o przyznanie 10 punktów także w przypadku gdy zaoferowana zostanie</w:t>
      </w:r>
      <w:r>
        <w:rPr>
          <w:rFonts w:asciiTheme="majorHAnsi" w:hAnsiTheme="majorHAnsi"/>
          <w:sz w:val="20"/>
          <w:szCs w:val="20"/>
        </w:rPr>
        <w:t xml:space="preserve"> </w:t>
      </w:r>
      <w:r w:rsidRPr="00AA0D33">
        <w:rPr>
          <w:rFonts w:asciiTheme="majorHAnsi" w:hAnsiTheme="majorHAnsi"/>
          <w:sz w:val="20"/>
          <w:szCs w:val="20"/>
        </w:rPr>
        <w:t>wersja chmurowa systemu.</w:t>
      </w:r>
    </w:p>
    <w:p w:rsidR="00960161" w:rsidRDefault="00960161" w:rsidP="00960161">
      <w:pPr>
        <w:pStyle w:val="Bezodstpw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F33808">
        <w:rPr>
          <w:rFonts w:asciiTheme="majorHAnsi" w:hAnsiTheme="majorHAnsi"/>
          <w:b/>
          <w:sz w:val="20"/>
          <w:szCs w:val="20"/>
        </w:rPr>
        <w:t>Odpowiedź:</w:t>
      </w:r>
    </w:p>
    <w:p w:rsidR="00C51EFC" w:rsidRPr="00F33808" w:rsidRDefault="00A031C0" w:rsidP="00960161">
      <w:pPr>
        <w:pStyle w:val="Bezodstpw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F33808">
        <w:rPr>
          <w:rFonts w:asciiTheme="majorHAnsi" w:hAnsiTheme="majorHAnsi"/>
          <w:sz w:val="20"/>
          <w:szCs w:val="20"/>
        </w:rPr>
        <w:t xml:space="preserve">Zamawiający nie wyraża zgody na zmianę oceny ofert. Instalacja serwera w siedzibie Zamawiającego umożliwia Zamawiającemu pełne dysponowanie </w:t>
      </w:r>
      <w:r w:rsidR="00F33808" w:rsidRPr="00F33808">
        <w:rPr>
          <w:rFonts w:asciiTheme="majorHAnsi" w:hAnsiTheme="majorHAnsi"/>
          <w:sz w:val="20"/>
          <w:szCs w:val="20"/>
        </w:rPr>
        <w:t>zarejestrowanymi</w:t>
      </w:r>
      <w:r w:rsidRPr="00F33808">
        <w:rPr>
          <w:rFonts w:asciiTheme="majorHAnsi" w:hAnsiTheme="majorHAnsi"/>
          <w:sz w:val="20"/>
          <w:szCs w:val="20"/>
        </w:rPr>
        <w:t xml:space="preserve"> danymi i środkiem trwałym jakim będzie zainstalowany serwer bez ponoszenia dodatkowych kosztów. </w:t>
      </w:r>
    </w:p>
    <w:p w:rsidR="00A031C0" w:rsidRDefault="00A031C0" w:rsidP="00960161">
      <w:pPr>
        <w:pStyle w:val="Bezodstpw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C51EFC" w:rsidRDefault="00C51EFC" w:rsidP="00C51EFC">
      <w:pPr>
        <w:pStyle w:val="Bezodstpw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Pytanie nr 2</w:t>
      </w:r>
      <w:r w:rsidRPr="00960161">
        <w:rPr>
          <w:rFonts w:asciiTheme="majorHAnsi" w:hAnsiTheme="majorHAnsi"/>
          <w:b/>
          <w:sz w:val="20"/>
          <w:szCs w:val="20"/>
        </w:rPr>
        <w:t>:</w:t>
      </w:r>
    </w:p>
    <w:p w:rsidR="00AA0D33" w:rsidRPr="00AA0D33" w:rsidRDefault="00AA0D33" w:rsidP="00AA0D33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AA0D33">
        <w:rPr>
          <w:rFonts w:asciiTheme="majorHAnsi" w:hAnsiTheme="majorHAnsi"/>
          <w:sz w:val="20"/>
          <w:szCs w:val="20"/>
        </w:rPr>
        <w:t>Zamawiający jako kolejne kryterium podaje "Liczba punktów za minima</w:t>
      </w:r>
      <w:r>
        <w:rPr>
          <w:rFonts w:asciiTheme="majorHAnsi" w:hAnsiTheme="majorHAnsi"/>
          <w:sz w:val="20"/>
          <w:szCs w:val="20"/>
        </w:rPr>
        <w:t xml:space="preserve">lizację kosztów eksploatacji po </w:t>
      </w:r>
      <w:r w:rsidRPr="00AA0D33">
        <w:rPr>
          <w:rFonts w:asciiTheme="majorHAnsi" w:hAnsiTheme="majorHAnsi"/>
          <w:sz w:val="20"/>
          <w:szCs w:val="20"/>
        </w:rPr>
        <w:t>upływie okresu gwarancji poprzez dostarczenie i zainstalowanie Bez</w:t>
      </w:r>
      <w:r>
        <w:rPr>
          <w:rFonts w:asciiTheme="majorHAnsi" w:hAnsiTheme="majorHAnsi"/>
          <w:sz w:val="20"/>
          <w:szCs w:val="20"/>
        </w:rPr>
        <w:t xml:space="preserve">przewodowego Systemu Sterowania </w:t>
      </w:r>
      <w:r w:rsidRPr="00AA0D33">
        <w:rPr>
          <w:rFonts w:asciiTheme="majorHAnsi" w:hAnsiTheme="majorHAnsi"/>
          <w:sz w:val="20"/>
          <w:szCs w:val="20"/>
        </w:rPr>
        <w:t>Oświetleniem wraz z otwartą bezprzewodową siecią rozległą małej mocy (a</w:t>
      </w:r>
      <w:r>
        <w:rPr>
          <w:rFonts w:asciiTheme="majorHAnsi" w:hAnsiTheme="majorHAnsi"/>
          <w:sz w:val="20"/>
          <w:szCs w:val="20"/>
        </w:rPr>
        <w:t xml:space="preserve">ng. LPWAN) działającej w paśmie </w:t>
      </w:r>
      <w:r w:rsidRPr="00AA0D33">
        <w:rPr>
          <w:rFonts w:asciiTheme="majorHAnsi" w:hAnsiTheme="majorHAnsi"/>
          <w:sz w:val="20"/>
          <w:szCs w:val="20"/>
        </w:rPr>
        <w:t>publicznym (bezpłatn</w:t>
      </w:r>
      <w:r>
        <w:rPr>
          <w:rFonts w:asciiTheme="majorHAnsi" w:hAnsiTheme="majorHAnsi"/>
          <w:sz w:val="20"/>
          <w:szCs w:val="20"/>
        </w:rPr>
        <w:t xml:space="preserve">ym i nielicencjonowanym)" </w:t>
      </w:r>
      <w:r w:rsidRPr="00AA0D33">
        <w:rPr>
          <w:rFonts w:asciiTheme="majorHAnsi" w:hAnsiTheme="majorHAnsi"/>
          <w:sz w:val="20"/>
          <w:szCs w:val="20"/>
        </w:rPr>
        <w:t>W celu minimalizowania kosztów można z powodzeniem stosować także inne rodza</w:t>
      </w:r>
      <w:r>
        <w:rPr>
          <w:rFonts w:asciiTheme="majorHAnsi" w:hAnsiTheme="majorHAnsi"/>
          <w:sz w:val="20"/>
          <w:szCs w:val="20"/>
        </w:rPr>
        <w:t xml:space="preserve">je sieci lokalnych np. LR-WPAN. </w:t>
      </w:r>
      <w:r w:rsidRPr="00AA0D33">
        <w:rPr>
          <w:rFonts w:asciiTheme="majorHAnsi" w:hAnsiTheme="majorHAnsi"/>
          <w:sz w:val="20"/>
          <w:szCs w:val="20"/>
        </w:rPr>
        <w:t>Wnosimy o rozszerzenie listy punktowanych rozwiązań sieciowych i zmianę zapisu na "Liczba punktów za</w:t>
      </w:r>
      <w:r>
        <w:rPr>
          <w:rFonts w:asciiTheme="majorHAnsi" w:hAnsiTheme="majorHAnsi"/>
          <w:sz w:val="20"/>
          <w:szCs w:val="20"/>
        </w:rPr>
        <w:t xml:space="preserve"> </w:t>
      </w:r>
      <w:r w:rsidRPr="00AA0D33">
        <w:rPr>
          <w:rFonts w:asciiTheme="majorHAnsi" w:hAnsiTheme="majorHAnsi"/>
          <w:sz w:val="20"/>
          <w:szCs w:val="20"/>
        </w:rPr>
        <w:t>minimalizację kosztów eksploatacji po upływie okresu gwarancji poprzez dostarczenie i zainstalowanie</w:t>
      </w:r>
      <w:r>
        <w:rPr>
          <w:rFonts w:asciiTheme="majorHAnsi" w:hAnsiTheme="majorHAnsi"/>
          <w:sz w:val="20"/>
          <w:szCs w:val="20"/>
        </w:rPr>
        <w:t xml:space="preserve"> </w:t>
      </w:r>
      <w:r w:rsidRPr="00AA0D33">
        <w:rPr>
          <w:rFonts w:asciiTheme="majorHAnsi" w:hAnsiTheme="majorHAnsi"/>
          <w:sz w:val="20"/>
          <w:szCs w:val="20"/>
        </w:rPr>
        <w:t>Bezprzewodowego Systemu Sterowania Oświetleniem wraz z otwartą bezprzewodową siecią małej mocy</w:t>
      </w:r>
      <w:r>
        <w:rPr>
          <w:rFonts w:asciiTheme="majorHAnsi" w:hAnsiTheme="majorHAnsi"/>
          <w:sz w:val="20"/>
          <w:szCs w:val="20"/>
        </w:rPr>
        <w:t xml:space="preserve"> </w:t>
      </w:r>
      <w:r w:rsidRPr="00AA0D33">
        <w:rPr>
          <w:rFonts w:asciiTheme="majorHAnsi" w:hAnsiTheme="majorHAnsi"/>
          <w:sz w:val="20"/>
          <w:szCs w:val="20"/>
        </w:rPr>
        <w:t>działającej w paśmie publicznym (bezpłatnym i nielicencjonowanym)".</w:t>
      </w:r>
    </w:p>
    <w:p w:rsidR="00C51EFC" w:rsidRPr="00960161" w:rsidRDefault="00C51EFC" w:rsidP="00C51EFC">
      <w:pPr>
        <w:pStyle w:val="Bezodstpw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F33808">
        <w:rPr>
          <w:rFonts w:asciiTheme="majorHAnsi" w:hAnsiTheme="majorHAnsi"/>
          <w:b/>
          <w:sz w:val="20"/>
          <w:szCs w:val="20"/>
        </w:rPr>
        <w:t>Odpowiedź:</w:t>
      </w:r>
    </w:p>
    <w:p w:rsidR="00C51EFC" w:rsidRDefault="00F33808" w:rsidP="000629AF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F33808">
        <w:rPr>
          <w:rFonts w:asciiTheme="majorHAnsi" w:hAnsiTheme="majorHAnsi"/>
          <w:sz w:val="20"/>
          <w:szCs w:val="20"/>
        </w:rPr>
        <w:t>Zamawiający nie wyraża zgody na zmianę oceny ofert.</w:t>
      </w:r>
      <w:r w:rsidR="000629AF">
        <w:rPr>
          <w:rFonts w:asciiTheme="majorHAnsi" w:hAnsiTheme="majorHAnsi"/>
          <w:sz w:val="20"/>
          <w:szCs w:val="20"/>
        </w:rPr>
        <w:t xml:space="preserve"> </w:t>
      </w:r>
    </w:p>
    <w:p w:rsidR="00F33808" w:rsidRDefault="00F33808" w:rsidP="00960161">
      <w:pPr>
        <w:pStyle w:val="Bezodstpw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C51EFC" w:rsidRDefault="00C51EFC" w:rsidP="00C51EFC">
      <w:pPr>
        <w:pStyle w:val="Bezodstpw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Pytanie nr 3</w:t>
      </w:r>
      <w:r w:rsidRPr="00960161">
        <w:rPr>
          <w:rFonts w:asciiTheme="majorHAnsi" w:hAnsiTheme="majorHAnsi"/>
          <w:b/>
          <w:sz w:val="20"/>
          <w:szCs w:val="20"/>
        </w:rPr>
        <w:t>:</w:t>
      </w:r>
    </w:p>
    <w:p w:rsidR="00AA0D33" w:rsidRPr="00AA0D33" w:rsidRDefault="00AA0D33" w:rsidP="00AA0D33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AA0D33">
        <w:rPr>
          <w:rFonts w:asciiTheme="majorHAnsi" w:hAnsiTheme="majorHAnsi"/>
          <w:sz w:val="20"/>
          <w:szCs w:val="20"/>
        </w:rPr>
        <w:t>W punkcie 4.2.Szczegółowe wymagania dotyczące Bez</w:t>
      </w:r>
      <w:r>
        <w:rPr>
          <w:rFonts w:asciiTheme="majorHAnsi" w:hAnsiTheme="majorHAnsi"/>
          <w:sz w:val="20"/>
          <w:szCs w:val="20"/>
        </w:rPr>
        <w:t xml:space="preserve">przewodowego Systemu Sterowania </w:t>
      </w:r>
      <w:r w:rsidRPr="00AA0D33">
        <w:rPr>
          <w:rFonts w:asciiTheme="majorHAnsi" w:hAnsiTheme="majorHAnsi"/>
          <w:sz w:val="20"/>
          <w:szCs w:val="20"/>
        </w:rPr>
        <w:t>Oświetleniem, podpunkt 7a zamawiający wymaga: "Serwer musi posiadać parametry wystarczające do</w:t>
      </w:r>
      <w:r>
        <w:rPr>
          <w:rFonts w:asciiTheme="majorHAnsi" w:hAnsiTheme="majorHAnsi"/>
          <w:sz w:val="20"/>
          <w:szCs w:val="20"/>
        </w:rPr>
        <w:t xml:space="preserve"> </w:t>
      </w:r>
      <w:r w:rsidRPr="00AA0D33">
        <w:rPr>
          <w:rFonts w:asciiTheme="majorHAnsi" w:hAnsiTheme="majorHAnsi"/>
          <w:sz w:val="20"/>
          <w:szCs w:val="20"/>
        </w:rPr>
        <w:t>prawidłowego działania Bezprzewodowego</w:t>
      </w:r>
      <w:r>
        <w:rPr>
          <w:rFonts w:asciiTheme="majorHAnsi" w:hAnsiTheme="majorHAnsi"/>
          <w:sz w:val="20"/>
          <w:szCs w:val="20"/>
        </w:rPr>
        <w:t xml:space="preserve"> </w:t>
      </w:r>
      <w:r w:rsidRPr="00AA0D33">
        <w:rPr>
          <w:rFonts w:asciiTheme="majorHAnsi" w:hAnsiTheme="majorHAnsi"/>
          <w:sz w:val="20"/>
          <w:szCs w:val="20"/>
        </w:rPr>
        <w:t>Systemu Sterowania Oświetleniem w okresie udzielonej gwarancji." z kolei w następnym podpunkcie (b) podaje</w:t>
      </w:r>
      <w:r>
        <w:rPr>
          <w:rFonts w:asciiTheme="majorHAnsi" w:hAnsiTheme="majorHAnsi"/>
          <w:sz w:val="20"/>
          <w:szCs w:val="20"/>
        </w:rPr>
        <w:t xml:space="preserve"> </w:t>
      </w:r>
      <w:r w:rsidRPr="00AA0D33">
        <w:rPr>
          <w:rFonts w:asciiTheme="majorHAnsi" w:hAnsiTheme="majorHAnsi"/>
          <w:sz w:val="20"/>
          <w:szCs w:val="20"/>
        </w:rPr>
        <w:t>minimalne wymagania dot. serwera.</w:t>
      </w:r>
      <w:r>
        <w:rPr>
          <w:rFonts w:asciiTheme="majorHAnsi" w:hAnsiTheme="majorHAnsi"/>
          <w:sz w:val="20"/>
          <w:szCs w:val="20"/>
        </w:rPr>
        <w:t xml:space="preserve"> </w:t>
      </w:r>
      <w:r w:rsidRPr="00AA0D33">
        <w:rPr>
          <w:rFonts w:asciiTheme="majorHAnsi" w:hAnsiTheme="majorHAnsi"/>
          <w:sz w:val="20"/>
          <w:szCs w:val="20"/>
        </w:rPr>
        <w:t>Zapis z punktu "a" jest wystarczający aby zapewnić prawidłowe działanie systemu. Punkt "b" jest tu nadmiarowy i</w:t>
      </w:r>
      <w:r>
        <w:rPr>
          <w:rFonts w:asciiTheme="majorHAnsi" w:hAnsiTheme="majorHAnsi"/>
          <w:sz w:val="20"/>
          <w:szCs w:val="20"/>
        </w:rPr>
        <w:t xml:space="preserve"> </w:t>
      </w:r>
      <w:r w:rsidRPr="00AA0D33">
        <w:rPr>
          <w:rFonts w:asciiTheme="majorHAnsi" w:hAnsiTheme="majorHAnsi"/>
          <w:sz w:val="20"/>
          <w:szCs w:val="20"/>
        </w:rPr>
        <w:t>wiąże się z dodatkowymi, zbędnymi kosztami. Np. wymagane jest, aby system "Najnowszy stabilny 64 bitowy</w:t>
      </w:r>
      <w:r>
        <w:rPr>
          <w:rFonts w:asciiTheme="majorHAnsi" w:hAnsiTheme="majorHAnsi"/>
          <w:sz w:val="20"/>
          <w:szCs w:val="20"/>
        </w:rPr>
        <w:t xml:space="preserve"> </w:t>
      </w:r>
      <w:r w:rsidRPr="00AA0D33">
        <w:rPr>
          <w:rFonts w:asciiTheme="majorHAnsi" w:hAnsiTheme="majorHAnsi"/>
          <w:sz w:val="20"/>
          <w:szCs w:val="20"/>
        </w:rPr>
        <w:t xml:space="preserve">system operacyjny w </w:t>
      </w:r>
      <w:r w:rsidRPr="00AA0D33">
        <w:rPr>
          <w:rFonts w:asciiTheme="majorHAnsi" w:hAnsiTheme="majorHAnsi"/>
          <w:sz w:val="20"/>
          <w:szCs w:val="20"/>
        </w:rPr>
        <w:lastRenderedPageBreak/>
        <w:t>języku polskim, przeznaczony na stacje serwerowe z licencją na 16 rdzeni" ale już w</w:t>
      </w:r>
      <w:r>
        <w:rPr>
          <w:rFonts w:asciiTheme="majorHAnsi" w:hAnsiTheme="majorHAnsi"/>
          <w:sz w:val="20"/>
          <w:szCs w:val="20"/>
        </w:rPr>
        <w:t xml:space="preserve"> </w:t>
      </w:r>
      <w:r w:rsidRPr="00AA0D33">
        <w:rPr>
          <w:rFonts w:asciiTheme="majorHAnsi" w:hAnsiTheme="majorHAnsi"/>
          <w:sz w:val="20"/>
          <w:szCs w:val="20"/>
        </w:rPr>
        <w:t>następnym punkcie "Procesor min. sześciordzeniowy klasy x86". Skoro procesor ma mieć 6 rdzeni to w jakim celu</w:t>
      </w:r>
      <w:r>
        <w:rPr>
          <w:rFonts w:asciiTheme="majorHAnsi" w:hAnsiTheme="majorHAnsi"/>
          <w:sz w:val="20"/>
          <w:szCs w:val="20"/>
        </w:rPr>
        <w:t xml:space="preserve"> </w:t>
      </w:r>
      <w:r w:rsidRPr="00AA0D33">
        <w:rPr>
          <w:rFonts w:asciiTheme="majorHAnsi" w:hAnsiTheme="majorHAnsi"/>
          <w:sz w:val="20"/>
          <w:szCs w:val="20"/>
        </w:rPr>
        <w:t>licencja na 16?</w:t>
      </w:r>
    </w:p>
    <w:p w:rsidR="00AA0D33" w:rsidRPr="00AA0D33" w:rsidRDefault="00AA0D33" w:rsidP="00AA0D33">
      <w:pPr>
        <w:pStyle w:val="Bezodstpw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AA0D33">
        <w:rPr>
          <w:rFonts w:asciiTheme="majorHAnsi" w:hAnsiTheme="majorHAnsi"/>
          <w:sz w:val="20"/>
          <w:szCs w:val="20"/>
        </w:rPr>
        <w:t>W związku z powyższym wnosimy o usunięcie zapisów precyzujących minimalne wymagania dot. serwera.</w:t>
      </w:r>
    </w:p>
    <w:p w:rsidR="00C51EFC" w:rsidRDefault="00C51EFC" w:rsidP="00C51EFC">
      <w:pPr>
        <w:pStyle w:val="Bezodstpw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BB2A6D">
        <w:rPr>
          <w:rFonts w:asciiTheme="majorHAnsi" w:hAnsiTheme="majorHAnsi"/>
          <w:b/>
          <w:sz w:val="20"/>
          <w:szCs w:val="20"/>
        </w:rPr>
        <w:t>Odpowiedź:</w:t>
      </w:r>
    </w:p>
    <w:p w:rsidR="00BB2A6D" w:rsidRPr="00BB2A6D" w:rsidRDefault="00BB2A6D" w:rsidP="00C51EFC">
      <w:pPr>
        <w:pStyle w:val="Bezodstpw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BB2A6D">
        <w:rPr>
          <w:rFonts w:asciiTheme="majorHAnsi" w:hAnsiTheme="majorHAnsi"/>
          <w:sz w:val="20"/>
          <w:szCs w:val="20"/>
        </w:rPr>
        <w:t>Zamawiający nie wyraża zgody na usunięcie zapisów. Wymagania zostają bez zmian.</w:t>
      </w:r>
    </w:p>
    <w:p w:rsidR="00C51EFC" w:rsidRDefault="00C51EFC" w:rsidP="00960161">
      <w:pPr>
        <w:pStyle w:val="Bezodstpw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C51EFC" w:rsidRDefault="00C51EFC" w:rsidP="00C51EFC">
      <w:pPr>
        <w:pStyle w:val="Bezodstpw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Pytanie nr 4</w:t>
      </w:r>
      <w:r w:rsidRPr="00960161">
        <w:rPr>
          <w:rFonts w:asciiTheme="majorHAnsi" w:hAnsiTheme="majorHAnsi"/>
          <w:b/>
          <w:sz w:val="20"/>
          <w:szCs w:val="20"/>
        </w:rPr>
        <w:t>:</w:t>
      </w:r>
    </w:p>
    <w:p w:rsidR="00AA0D33" w:rsidRPr="00AA0D33" w:rsidRDefault="00AA0D33" w:rsidP="00AA0D33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AA0D33">
        <w:rPr>
          <w:rFonts w:asciiTheme="majorHAnsi" w:hAnsiTheme="majorHAnsi"/>
          <w:sz w:val="20"/>
          <w:szCs w:val="20"/>
        </w:rPr>
        <w:t>W punkcie 4.2 podpunkt 7e "Dane informatyczne Bezprzewodowego Systemu Sterowania Oświetleniem</w:t>
      </w:r>
      <w:r>
        <w:rPr>
          <w:rFonts w:asciiTheme="majorHAnsi" w:hAnsiTheme="majorHAnsi"/>
          <w:sz w:val="20"/>
          <w:szCs w:val="20"/>
        </w:rPr>
        <w:t xml:space="preserve"> </w:t>
      </w:r>
      <w:r w:rsidRPr="00AA0D33">
        <w:rPr>
          <w:rFonts w:asciiTheme="majorHAnsi" w:hAnsiTheme="majorHAnsi"/>
          <w:sz w:val="20"/>
          <w:szCs w:val="20"/>
        </w:rPr>
        <w:t>nie będą przechowywane poza siedzibą Zamawiającego i przetwarzane poza terenem gminy". Ponieważ</w:t>
      </w:r>
      <w:r>
        <w:rPr>
          <w:rFonts w:asciiTheme="majorHAnsi" w:hAnsiTheme="majorHAnsi"/>
          <w:sz w:val="20"/>
          <w:szCs w:val="20"/>
        </w:rPr>
        <w:t xml:space="preserve"> </w:t>
      </w:r>
      <w:r w:rsidRPr="00AA0D33">
        <w:rPr>
          <w:rFonts w:asciiTheme="majorHAnsi" w:hAnsiTheme="majorHAnsi"/>
          <w:sz w:val="20"/>
          <w:szCs w:val="20"/>
        </w:rPr>
        <w:t xml:space="preserve">Zamawiający dopuszcza system w chmurze to w takim przypadku </w:t>
      </w:r>
      <w:r>
        <w:rPr>
          <w:rFonts w:asciiTheme="majorHAnsi" w:hAnsiTheme="majorHAnsi"/>
          <w:sz w:val="20"/>
          <w:szCs w:val="20"/>
        </w:rPr>
        <w:t xml:space="preserve">również dane informatyczne będą </w:t>
      </w:r>
      <w:r w:rsidRPr="00AA0D33">
        <w:rPr>
          <w:rFonts w:asciiTheme="majorHAnsi" w:hAnsiTheme="majorHAnsi"/>
          <w:sz w:val="20"/>
          <w:szCs w:val="20"/>
        </w:rPr>
        <w:t xml:space="preserve">przechowywane na serwerach poza siedzibą Zamawiającego. W związku z </w:t>
      </w:r>
      <w:r>
        <w:rPr>
          <w:rFonts w:asciiTheme="majorHAnsi" w:hAnsiTheme="majorHAnsi"/>
          <w:sz w:val="20"/>
          <w:szCs w:val="20"/>
        </w:rPr>
        <w:t xml:space="preserve">tym wnosimy o usunięcie puntu w </w:t>
      </w:r>
      <w:r w:rsidRPr="00AA0D33">
        <w:rPr>
          <w:rFonts w:asciiTheme="majorHAnsi" w:hAnsiTheme="majorHAnsi"/>
          <w:sz w:val="20"/>
          <w:szCs w:val="20"/>
        </w:rPr>
        <w:t>całości.</w:t>
      </w:r>
    </w:p>
    <w:p w:rsidR="00C51EFC" w:rsidRDefault="00C51EFC" w:rsidP="00C51EFC">
      <w:pPr>
        <w:pStyle w:val="Bezodstpw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BB2A6D">
        <w:rPr>
          <w:rFonts w:asciiTheme="majorHAnsi" w:hAnsiTheme="majorHAnsi"/>
          <w:b/>
          <w:sz w:val="20"/>
          <w:szCs w:val="20"/>
        </w:rPr>
        <w:t>Odpowiedź:</w:t>
      </w:r>
    </w:p>
    <w:p w:rsidR="00BB2A6D" w:rsidRPr="00BB2A6D" w:rsidRDefault="00BB2A6D" w:rsidP="00C51EFC">
      <w:pPr>
        <w:pStyle w:val="Bezodstpw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BB2A6D">
        <w:rPr>
          <w:rFonts w:asciiTheme="majorHAnsi" w:hAnsiTheme="majorHAnsi"/>
          <w:sz w:val="20"/>
          <w:szCs w:val="20"/>
        </w:rPr>
        <w:t xml:space="preserve">Zamawiający dopuszcza, tylko w przypadku zastosowania rozwiązania w tzw. „chmurze”, przechowywania danych poza siedzibą Zamawiającego i przetwarzane </w:t>
      </w:r>
      <w:r w:rsidR="002A6D67">
        <w:rPr>
          <w:rFonts w:asciiTheme="majorHAnsi" w:hAnsiTheme="majorHAnsi"/>
          <w:sz w:val="20"/>
          <w:szCs w:val="20"/>
        </w:rPr>
        <w:t xml:space="preserve">danych </w:t>
      </w:r>
      <w:r w:rsidRPr="00BB2A6D">
        <w:rPr>
          <w:rFonts w:asciiTheme="majorHAnsi" w:hAnsiTheme="majorHAnsi"/>
          <w:sz w:val="20"/>
          <w:szCs w:val="20"/>
        </w:rPr>
        <w:t>poza terenem gminy.</w:t>
      </w:r>
    </w:p>
    <w:p w:rsidR="00C51EFC" w:rsidRDefault="00C51EFC" w:rsidP="00960161">
      <w:pPr>
        <w:pStyle w:val="Bezodstpw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C51EFC" w:rsidRDefault="00C51EFC" w:rsidP="00C51EFC">
      <w:pPr>
        <w:pStyle w:val="Bezodstpw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Pytanie nr 5</w:t>
      </w:r>
      <w:r w:rsidRPr="00960161">
        <w:rPr>
          <w:rFonts w:asciiTheme="majorHAnsi" w:hAnsiTheme="majorHAnsi"/>
          <w:b/>
          <w:sz w:val="20"/>
          <w:szCs w:val="20"/>
        </w:rPr>
        <w:t>:</w:t>
      </w:r>
    </w:p>
    <w:p w:rsidR="00AA0D33" w:rsidRPr="00AA0D33" w:rsidRDefault="00AA0D33" w:rsidP="00AA0D33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AA0D33">
        <w:rPr>
          <w:rFonts w:asciiTheme="majorHAnsi" w:hAnsiTheme="majorHAnsi"/>
          <w:sz w:val="20"/>
          <w:szCs w:val="20"/>
        </w:rPr>
        <w:t>W udostępnionych przez Zamawiającego materiałach "</w:t>
      </w:r>
      <w:proofErr w:type="spellStart"/>
      <w:r w:rsidRPr="00AA0D33">
        <w:rPr>
          <w:rFonts w:asciiTheme="majorHAnsi" w:hAnsiTheme="majorHAnsi"/>
          <w:sz w:val="20"/>
          <w:szCs w:val="20"/>
        </w:rPr>
        <w:t>Mirzec_referencyjne_</w:t>
      </w:r>
      <w:r>
        <w:rPr>
          <w:rFonts w:asciiTheme="majorHAnsi" w:hAnsiTheme="majorHAnsi"/>
          <w:sz w:val="20"/>
          <w:szCs w:val="20"/>
        </w:rPr>
        <w:t>obliczenia_fotometryczne</w:t>
      </w:r>
      <w:proofErr w:type="spellEnd"/>
      <w:r>
        <w:rPr>
          <w:rFonts w:asciiTheme="majorHAnsi" w:hAnsiTheme="majorHAnsi"/>
          <w:sz w:val="20"/>
          <w:szCs w:val="20"/>
        </w:rPr>
        <w:t xml:space="preserve">." Oraz </w:t>
      </w:r>
      <w:r w:rsidRPr="00AA0D33">
        <w:rPr>
          <w:rFonts w:asciiTheme="majorHAnsi" w:hAnsiTheme="majorHAnsi"/>
          <w:sz w:val="20"/>
          <w:szCs w:val="20"/>
        </w:rPr>
        <w:t>"Zalacznik_nr_1a_Tabela_do_obliczen_fotometrycznych." pojawiły się opr</w:t>
      </w:r>
      <w:r>
        <w:rPr>
          <w:rFonts w:asciiTheme="majorHAnsi" w:hAnsiTheme="majorHAnsi"/>
          <w:sz w:val="20"/>
          <w:szCs w:val="20"/>
        </w:rPr>
        <w:t xml:space="preserve">awy parkowe, jednak w projekcie </w:t>
      </w:r>
      <w:r w:rsidRPr="00AA0D33">
        <w:rPr>
          <w:rFonts w:asciiTheme="majorHAnsi" w:hAnsiTheme="majorHAnsi"/>
          <w:sz w:val="20"/>
          <w:szCs w:val="20"/>
        </w:rPr>
        <w:t xml:space="preserve">wykonawczym znajdują się tylko wymagania odnośnie opraw ulicznych. </w:t>
      </w:r>
      <w:r>
        <w:rPr>
          <w:rFonts w:asciiTheme="majorHAnsi" w:hAnsiTheme="majorHAnsi"/>
          <w:sz w:val="20"/>
          <w:szCs w:val="20"/>
        </w:rPr>
        <w:t xml:space="preserve">Prosimy o udostępnienie wymagań </w:t>
      </w:r>
      <w:r w:rsidRPr="00AA0D33">
        <w:rPr>
          <w:rFonts w:asciiTheme="majorHAnsi" w:hAnsiTheme="majorHAnsi"/>
          <w:sz w:val="20"/>
          <w:szCs w:val="20"/>
        </w:rPr>
        <w:t>dotyczących opraw parkowych.</w:t>
      </w:r>
    </w:p>
    <w:p w:rsidR="00C51EFC" w:rsidRDefault="00C51EFC" w:rsidP="00C51EFC">
      <w:pPr>
        <w:pStyle w:val="Bezodstpw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7C71C2">
        <w:rPr>
          <w:rFonts w:asciiTheme="majorHAnsi" w:hAnsiTheme="majorHAnsi"/>
          <w:b/>
          <w:sz w:val="20"/>
          <w:szCs w:val="20"/>
        </w:rPr>
        <w:t>Odpowiedź:</w:t>
      </w:r>
    </w:p>
    <w:p w:rsidR="00887FBF" w:rsidRPr="00016867" w:rsidRDefault="00887FBF" w:rsidP="00C51EFC">
      <w:pPr>
        <w:pStyle w:val="Bezodstpw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016867">
        <w:rPr>
          <w:rFonts w:asciiTheme="majorHAnsi" w:hAnsiTheme="majorHAnsi"/>
          <w:sz w:val="20"/>
          <w:szCs w:val="20"/>
        </w:rPr>
        <w:t>Wymagania dotyczące opraw parkowych są następujące:</w:t>
      </w:r>
    </w:p>
    <w:tbl>
      <w:tblPr>
        <w:tblW w:w="8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8161"/>
      </w:tblGrid>
      <w:tr w:rsidR="00887FBF" w:rsidRPr="009242C1" w:rsidTr="0034365E">
        <w:trPr>
          <w:trHeight w:val="240"/>
          <w:jc w:val="center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BF" w:rsidRPr="00E8571B" w:rsidRDefault="00887FBF" w:rsidP="0034365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8571B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BF" w:rsidRPr="00E8571B" w:rsidRDefault="00887FBF" w:rsidP="00887FB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571B">
              <w:rPr>
                <w:b/>
                <w:bCs/>
                <w:color w:val="000000"/>
                <w:sz w:val="18"/>
                <w:szCs w:val="18"/>
              </w:rPr>
              <w:t>Wymagania dotyczące opraw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parkowych</w:t>
            </w:r>
          </w:p>
        </w:tc>
      </w:tr>
      <w:tr w:rsidR="00887FBF" w:rsidRPr="009242C1" w:rsidTr="0034365E">
        <w:trPr>
          <w:trHeight w:val="319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BF" w:rsidRPr="00E8571B" w:rsidRDefault="00887FBF" w:rsidP="0034365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E8571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BF" w:rsidRPr="00E8571B" w:rsidRDefault="00887FBF" w:rsidP="00F34A4D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  <w:r w:rsidRPr="00E8571B">
              <w:rPr>
                <w:color w:val="000000"/>
                <w:sz w:val="18"/>
                <w:szCs w:val="18"/>
              </w:rPr>
              <w:t xml:space="preserve">prawa nowa wykonana w zakresie </w:t>
            </w:r>
            <w:r w:rsidR="00F34A4D">
              <w:rPr>
                <w:color w:val="000000"/>
                <w:sz w:val="18"/>
                <w:szCs w:val="18"/>
              </w:rPr>
              <w:t>korpusu</w:t>
            </w:r>
            <w:r w:rsidRPr="00E8571B">
              <w:rPr>
                <w:color w:val="000000"/>
                <w:sz w:val="18"/>
                <w:szCs w:val="18"/>
              </w:rPr>
              <w:t xml:space="preserve">, jako odlew aluminiowy malowany </w:t>
            </w:r>
            <w:r>
              <w:rPr>
                <w:color w:val="000000"/>
                <w:sz w:val="18"/>
                <w:szCs w:val="18"/>
              </w:rPr>
              <w:t xml:space="preserve">proszkowo w kolorze RAL </w:t>
            </w:r>
            <w:r w:rsidR="00F34A4D">
              <w:rPr>
                <w:color w:val="000000"/>
                <w:sz w:val="18"/>
                <w:szCs w:val="18"/>
              </w:rPr>
              <w:t>9006</w:t>
            </w:r>
          </w:p>
        </w:tc>
      </w:tr>
      <w:tr w:rsidR="00887FBF" w:rsidRPr="009242C1" w:rsidTr="0034365E">
        <w:trPr>
          <w:trHeight w:val="240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BF" w:rsidRPr="00E8571B" w:rsidRDefault="00887FBF" w:rsidP="0034365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E8571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BF" w:rsidRPr="00E8571B" w:rsidRDefault="00887FBF" w:rsidP="0034365E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C9252D">
              <w:rPr>
                <w:color w:val="000000"/>
                <w:sz w:val="18"/>
                <w:szCs w:val="18"/>
              </w:rPr>
              <w:t>Skuteczność świetlna oprawy, rozumiana, jako strumień świetlny emitowany przez oprawę z uwzględnieniem wszelkich występujących strat do całkowitej energii zużywanej przez oprawę, n</w:t>
            </w:r>
            <w:r w:rsidR="001200E3">
              <w:rPr>
                <w:color w:val="000000"/>
                <w:sz w:val="18"/>
                <w:szCs w:val="18"/>
              </w:rPr>
              <w:t>ie może być niższa niż 11</w:t>
            </w:r>
            <w:r>
              <w:rPr>
                <w:color w:val="000000"/>
                <w:sz w:val="18"/>
                <w:szCs w:val="18"/>
              </w:rPr>
              <w:t>0 lm/W</w:t>
            </w:r>
            <w:r w:rsidR="00744F71">
              <w:rPr>
                <w:color w:val="000000"/>
                <w:sz w:val="18"/>
                <w:szCs w:val="18"/>
              </w:rPr>
              <w:t>, min. moc oprawy 35</w:t>
            </w:r>
            <w:r w:rsidR="00452233">
              <w:rPr>
                <w:color w:val="000000"/>
                <w:sz w:val="18"/>
                <w:szCs w:val="18"/>
              </w:rPr>
              <w:t>W</w:t>
            </w:r>
          </w:p>
        </w:tc>
      </w:tr>
      <w:tr w:rsidR="00887FBF" w:rsidRPr="009242C1" w:rsidTr="0034365E">
        <w:trPr>
          <w:trHeight w:val="240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BF" w:rsidRPr="00E8571B" w:rsidRDefault="00887FBF" w:rsidP="0034365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E8571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FBF" w:rsidRPr="00E8571B" w:rsidRDefault="00887FBF" w:rsidP="0034365E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8571B">
              <w:rPr>
                <w:color w:val="000000"/>
                <w:sz w:val="18"/>
                <w:szCs w:val="18"/>
              </w:rPr>
              <w:t>szczelność oprawy w zakresie komory osprzętu i optyki - IP66, Zakres temperatury pracy oprawy -30°C do +35°C</w:t>
            </w:r>
          </w:p>
        </w:tc>
      </w:tr>
      <w:tr w:rsidR="00887FBF" w:rsidRPr="009242C1" w:rsidTr="0034365E">
        <w:trPr>
          <w:trHeight w:val="240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BF" w:rsidRPr="00E8571B" w:rsidRDefault="00887FBF" w:rsidP="0034365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E8571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FBF" w:rsidRPr="00E8571B" w:rsidRDefault="00887FBF" w:rsidP="0034365E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8571B">
              <w:rPr>
                <w:color w:val="000000"/>
                <w:sz w:val="18"/>
                <w:szCs w:val="18"/>
              </w:rPr>
              <w:t>Oprawa musi być dostosowana do zasilania napięciem sieciowym  </w:t>
            </w:r>
            <w:r w:rsidRPr="00C9252D">
              <w:rPr>
                <w:color w:val="000000"/>
                <w:sz w:val="18"/>
                <w:szCs w:val="18"/>
              </w:rPr>
              <w:t xml:space="preserve">220-240 V / 50-60 </w:t>
            </w:r>
            <w:proofErr w:type="spellStart"/>
            <w:r w:rsidRPr="00C9252D">
              <w:rPr>
                <w:color w:val="000000"/>
                <w:sz w:val="18"/>
                <w:szCs w:val="18"/>
              </w:rPr>
              <w:t>Hz</w:t>
            </w:r>
            <w:proofErr w:type="spellEnd"/>
            <w:r w:rsidRPr="00E8571B">
              <w:rPr>
                <w:color w:val="000000"/>
                <w:sz w:val="18"/>
                <w:szCs w:val="18"/>
              </w:rPr>
              <w:t xml:space="preserve"> prądu zmiennego</w:t>
            </w:r>
          </w:p>
        </w:tc>
      </w:tr>
      <w:tr w:rsidR="00887FBF" w:rsidRPr="009242C1" w:rsidTr="0034365E">
        <w:trPr>
          <w:trHeight w:val="510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BF" w:rsidRPr="00E8571B" w:rsidRDefault="00887FBF" w:rsidP="0034365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E8571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FBF" w:rsidRPr="00E8571B" w:rsidRDefault="00887FBF" w:rsidP="0034365E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  <w:r w:rsidRPr="006111E9">
              <w:rPr>
                <w:color w:val="000000"/>
                <w:sz w:val="18"/>
                <w:szCs w:val="18"/>
              </w:rPr>
              <w:t>prawa musi posiadać moduł przyłączeniowy z wbudowanym ogranicznikiem przepięć 10kV</w:t>
            </w:r>
            <w:r>
              <w:rPr>
                <w:color w:val="000000"/>
                <w:sz w:val="18"/>
                <w:szCs w:val="18"/>
              </w:rPr>
              <w:t>/5kA (chroniący</w:t>
            </w:r>
            <w:r w:rsidRPr="00E8571B">
              <w:rPr>
                <w:color w:val="000000"/>
                <w:sz w:val="18"/>
                <w:szCs w:val="18"/>
              </w:rPr>
              <w:t xml:space="preserve"> e</w:t>
            </w:r>
            <w:r w:rsidR="00B6558C">
              <w:rPr>
                <w:color w:val="000000"/>
                <w:sz w:val="18"/>
                <w:szCs w:val="18"/>
              </w:rPr>
              <w:t xml:space="preserve">lementy oprawy jak i zasilacza) </w:t>
            </w:r>
            <w:r w:rsidRPr="006111E9">
              <w:rPr>
                <w:color w:val="000000"/>
                <w:sz w:val="18"/>
                <w:szCs w:val="18"/>
              </w:rPr>
              <w:t>dedykowanym do opraw wykonanych w II klasy o</w:t>
            </w:r>
            <w:r>
              <w:rPr>
                <w:color w:val="000000"/>
                <w:sz w:val="18"/>
                <w:szCs w:val="18"/>
              </w:rPr>
              <w:t xml:space="preserve">chronności </w:t>
            </w:r>
            <w:r w:rsidR="00452233">
              <w:rPr>
                <w:color w:val="000000"/>
                <w:sz w:val="18"/>
                <w:szCs w:val="18"/>
              </w:rPr>
              <w:t>przeciwporażeniowej</w:t>
            </w:r>
          </w:p>
        </w:tc>
      </w:tr>
      <w:tr w:rsidR="00887FBF" w:rsidRPr="009242C1" w:rsidTr="0034365E">
        <w:trPr>
          <w:trHeight w:val="201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BF" w:rsidRPr="00E8571B" w:rsidRDefault="00887FBF" w:rsidP="0034365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E8571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FBF" w:rsidRPr="00E8571B" w:rsidRDefault="00887FBF" w:rsidP="0034365E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C9252D">
              <w:rPr>
                <w:color w:val="000000"/>
                <w:sz w:val="18"/>
                <w:szCs w:val="18"/>
              </w:rPr>
              <w:t>Zasilacz oprawy musi posiadać funkcje zgodne ze standardem IEC 62386</w:t>
            </w:r>
          </w:p>
        </w:tc>
      </w:tr>
      <w:tr w:rsidR="00887FBF" w:rsidRPr="009242C1" w:rsidTr="0034365E">
        <w:trPr>
          <w:trHeight w:val="240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BF" w:rsidRPr="00E8571B" w:rsidRDefault="00887FBF" w:rsidP="0034365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E8571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FBF" w:rsidRPr="00E8571B" w:rsidRDefault="00887FBF" w:rsidP="0034365E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  <w:r w:rsidRPr="006111E9">
              <w:rPr>
                <w:color w:val="000000"/>
                <w:sz w:val="18"/>
                <w:szCs w:val="18"/>
              </w:rPr>
              <w:t>prawa musi</w:t>
            </w:r>
            <w:r w:rsidRPr="00E8571B">
              <w:rPr>
                <w:color w:val="000000"/>
                <w:sz w:val="18"/>
                <w:szCs w:val="18"/>
              </w:rPr>
              <w:t xml:space="preserve"> posiadać trwałość co najmniej L90 B10, Ta = 25 </w:t>
            </w:r>
            <w:proofErr w:type="spellStart"/>
            <w:r w:rsidRPr="00E8571B">
              <w:rPr>
                <w:color w:val="000000"/>
                <w:sz w:val="18"/>
                <w:szCs w:val="18"/>
              </w:rPr>
              <w:t>st.C</w:t>
            </w:r>
            <w:proofErr w:type="spellEnd"/>
            <w:r w:rsidRPr="00E8571B">
              <w:rPr>
                <w:color w:val="000000"/>
                <w:sz w:val="18"/>
                <w:szCs w:val="18"/>
              </w:rPr>
              <w:t xml:space="preserve">  dla 100 000 godzin pracy</w:t>
            </w:r>
          </w:p>
        </w:tc>
      </w:tr>
      <w:tr w:rsidR="00887FBF" w:rsidRPr="009242C1" w:rsidTr="0034365E">
        <w:trPr>
          <w:trHeight w:val="240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BF" w:rsidRPr="00E8571B" w:rsidRDefault="00887FBF" w:rsidP="0034365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E8571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FBF" w:rsidRPr="00E8571B" w:rsidRDefault="00887FBF" w:rsidP="00470165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  <w:r w:rsidRPr="006111E9">
              <w:rPr>
                <w:color w:val="000000"/>
                <w:sz w:val="18"/>
                <w:szCs w:val="18"/>
              </w:rPr>
              <w:t>prawa musi</w:t>
            </w:r>
            <w:r w:rsidRPr="00E8571B">
              <w:rPr>
                <w:color w:val="000000"/>
                <w:sz w:val="18"/>
                <w:szCs w:val="18"/>
              </w:rPr>
              <w:t xml:space="preserve"> spełniać normę o bezpieczeństwie fotobiologicznym zgodnie z normą PN-EN 62471</w:t>
            </w:r>
            <w:r w:rsidR="00470165">
              <w:rPr>
                <w:color w:val="000000"/>
                <w:sz w:val="18"/>
                <w:szCs w:val="18"/>
              </w:rPr>
              <w:t>:2010</w:t>
            </w:r>
            <w:r>
              <w:rPr>
                <w:color w:val="000000"/>
                <w:sz w:val="18"/>
                <w:szCs w:val="18"/>
              </w:rPr>
              <w:t>.  P</w:t>
            </w:r>
            <w:r w:rsidR="00B6558C">
              <w:rPr>
                <w:color w:val="000000"/>
                <w:sz w:val="18"/>
                <w:szCs w:val="18"/>
              </w:rPr>
              <w:t>o</w:t>
            </w:r>
            <w:r w:rsidR="00470165">
              <w:rPr>
                <w:color w:val="000000"/>
                <w:sz w:val="18"/>
                <w:szCs w:val="18"/>
              </w:rPr>
              <w:t>twierdzone</w:t>
            </w:r>
            <w:r>
              <w:rPr>
                <w:color w:val="000000"/>
                <w:sz w:val="18"/>
                <w:szCs w:val="18"/>
              </w:rPr>
              <w:t xml:space="preserve"> r</w:t>
            </w:r>
            <w:r w:rsidRPr="00723784">
              <w:rPr>
                <w:color w:val="000000"/>
                <w:sz w:val="18"/>
                <w:szCs w:val="18"/>
              </w:rPr>
              <w:t>aport</w:t>
            </w:r>
            <w:r>
              <w:rPr>
                <w:color w:val="000000"/>
                <w:sz w:val="18"/>
                <w:szCs w:val="18"/>
              </w:rPr>
              <w:t>em</w:t>
            </w:r>
            <w:r w:rsidRPr="00723784">
              <w:rPr>
                <w:color w:val="000000"/>
                <w:sz w:val="18"/>
                <w:szCs w:val="18"/>
              </w:rPr>
              <w:t xml:space="preserve"> z badań bezpieczeństwa fotobiologicznego, przeprowadzonego przez niezależne laboratorium badawcze na terenie Unii Europejskiej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887FBF" w:rsidRPr="009242C1" w:rsidTr="0034365E">
        <w:trPr>
          <w:trHeight w:val="888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BF" w:rsidRPr="00E8571B" w:rsidRDefault="00887FBF" w:rsidP="0034365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E8571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FBF" w:rsidRPr="006111E9" w:rsidRDefault="001200E3" w:rsidP="0034365E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  <w:r w:rsidRPr="006111E9">
              <w:rPr>
                <w:color w:val="000000"/>
                <w:sz w:val="18"/>
                <w:szCs w:val="18"/>
              </w:rPr>
              <w:t>prawa musi</w:t>
            </w:r>
            <w:r w:rsidR="00887FBF" w:rsidRPr="006111E9">
              <w:rPr>
                <w:color w:val="000000"/>
                <w:sz w:val="18"/>
                <w:szCs w:val="18"/>
              </w:rPr>
              <w:t xml:space="preserve"> posiadać:</w:t>
            </w:r>
          </w:p>
          <w:p w:rsidR="00887FBF" w:rsidRPr="006111E9" w:rsidRDefault="00887FBF" w:rsidP="0034365E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6111E9">
              <w:rPr>
                <w:color w:val="000000"/>
                <w:sz w:val="18"/>
                <w:szCs w:val="18"/>
              </w:rPr>
              <w:t>a.</w:t>
            </w:r>
            <w:r w:rsidRPr="006111E9">
              <w:rPr>
                <w:color w:val="000000"/>
                <w:sz w:val="18"/>
                <w:szCs w:val="18"/>
              </w:rPr>
              <w:tab/>
              <w:t>deklarację producenta CE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57FCE">
              <w:rPr>
                <w:color w:val="000000"/>
                <w:sz w:val="18"/>
                <w:szCs w:val="18"/>
              </w:rPr>
              <w:t>RoHSE</w:t>
            </w:r>
            <w:proofErr w:type="spellEnd"/>
          </w:p>
          <w:p w:rsidR="00887FBF" w:rsidRPr="00E8571B" w:rsidRDefault="00887FBF" w:rsidP="001200E3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6111E9">
              <w:rPr>
                <w:color w:val="000000"/>
                <w:sz w:val="18"/>
                <w:szCs w:val="18"/>
              </w:rPr>
              <w:t>b.</w:t>
            </w:r>
            <w:r w:rsidRPr="006111E9">
              <w:rPr>
                <w:color w:val="000000"/>
                <w:sz w:val="18"/>
                <w:szCs w:val="18"/>
              </w:rPr>
              <w:tab/>
              <w:t xml:space="preserve">aktualny certyfikat akredytowanego ośrodka badawczego potwierdzający wykonanie wyrobu zgodnie z Normami zharmonizowanymi z Dyrektywą LVD (PN-EN 60598-1/PN-EN 60598-2-3) oraz zachowanie reżimów produkcji i jej powtarzalności, zgodnie z Typem 5 wg ISO/IEC 17067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6111E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licencja/</w:t>
            </w:r>
            <w:r w:rsidRPr="006111E9">
              <w:rPr>
                <w:color w:val="000000"/>
                <w:sz w:val="18"/>
                <w:szCs w:val="18"/>
              </w:rPr>
              <w:t>certyfikat ENEC lub równoważny (certyfikat będzie uznany za równoważny, jeśli zostanie nadany przez niezależne laboratorium badawcze, posiadające akredytację na terenie Unii Europejskiej)</w:t>
            </w:r>
          </w:p>
        </w:tc>
      </w:tr>
      <w:tr w:rsidR="00887FBF" w:rsidRPr="009242C1" w:rsidTr="0034365E">
        <w:trPr>
          <w:trHeight w:val="240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BF" w:rsidRPr="00E8571B" w:rsidRDefault="00887FBF" w:rsidP="0034365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E8571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FBF" w:rsidRPr="00E8571B" w:rsidRDefault="00887FBF" w:rsidP="0034365E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8571B">
              <w:rPr>
                <w:color w:val="000000"/>
                <w:sz w:val="18"/>
                <w:szCs w:val="18"/>
              </w:rPr>
              <w:t>wszystkie oprawy wykonane w II klasie ochronności</w:t>
            </w:r>
          </w:p>
        </w:tc>
      </w:tr>
      <w:tr w:rsidR="00887FBF" w:rsidRPr="009242C1" w:rsidTr="0034365E">
        <w:trPr>
          <w:trHeight w:val="484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BF" w:rsidRPr="00E8571B" w:rsidRDefault="00887FBF" w:rsidP="0034365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E8571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FBF" w:rsidRPr="00E8571B" w:rsidRDefault="00887FBF" w:rsidP="0034365E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6111E9">
              <w:rPr>
                <w:color w:val="000000"/>
                <w:sz w:val="18"/>
                <w:szCs w:val="18"/>
              </w:rPr>
              <w:t>Oprawa musi być wykonana w technologii LED z bryłą fotometryczną kształtowaną za pomocą płaskiej wielosoczewkowej matrycy LED. Każda z soczewek matrycy musi emitować taką samą krzywą światłości, a całkowity strumień oprawy jest sumą strumieni poszczególnych soczewek. Oprawa musi posiadać pliki fotometryczne (np. format .</w:t>
            </w:r>
            <w:proofErr w:type="spellStart"/>
            <w:r w:rsidRPr="006111E9">
              <w:rPr>
                <w:color w:val="000000"/>
                <w:sz w:val="18"/>
                <w:szCs w:val="18"/>
              </w:rPr>
              <w:t>Ldt</w:t>
            </w:r>
            <w:proofErr w:type="spellEnd"/>
            <w:r w:rsidRPr="006111E9">
              <w:rPr>
                <w:color w:val="000000"/>
                <w:sz w:val="18"/>
                <w:szCs w:val="18"/>
              </w:rPr>
              <w:t>, .</w:t>
            </w:r>
            <w:proofErr w:type="spellStart"/>
            <w:r w:rsidRPr="006111E9">
              <w:rPr>
                <w:color w:val="000000"/>
                <w:sz w:val="18"/>
                <w:szCs w:val="18"/>
              </w:rPr>
              <w:t>les</w:t>
            </w:r>
            <w:proofErr w:type="spellEnd"/>
            <w:r w:rsidRPr="006111E9">
              <w:rPr>
                <w:color w:val="000000"/>
                <w:sz w:val="18"/>
                <w:szCs w:val="18"/>
              </w:rPr>
              <w:t xml:space="preserve">). zamieszczone na stronie internetowej producenta lub dystrybutora pozwalające wykonać sprawdzające obliczenia fotometryczne w ogólnodostępnych </w:t>
            </w:r>
            <w:r>
              <w:rPr>
                <w:color w:val="000000"/>
                <w:sz w:val="18"/>
                <w:szCs w:val="18"/>
              </w:rPr>
              <w:t xml:space="preserve">bezpłatnych </w:t>
            </w:r>
            <w:r w:rsidRPr="006111E9">
              <w:rPr>
                <w:color w:val="000000"/>
                <w:sz w:val="18"/>
                <w:szCs w:val="18"/>
              </w:rPr>
              <w:t xml:space="preserve">oświetleniowych programach komputerowych (np. </w:t>
            </w:r>
            <w:proofErr w:type="spellStart"/>
            <w:r w:rsidRPr="006111E9">
              <w:rPr>
                <w:color w:val="000000"/>
                <w:sz w:val="18"/>
                <w:szCs w:val="18"/>
              </w:rPr>
              <w:t>Dialux</w:t>
            </w:r>
            <w:proofErr w:type="spellEnd"/>
            <w:r w:rsidRPr="006111E9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111E9">
              <w:rPr>
                <w:color w:val="000000"/>
                <w:sz w:val="18"/>
                <w:szCs w:val="18"/>
              </w:rPr>
              <w:t>Relux</w:t>
            </w:r>
            <w:proofErr w:type="spellEnd"/>
            <w:r w:rsidRPr="006111E9">
              <w:rPr>
                <w:color w:val="000000"/>
                <w:sz w:val="18"/>
                <w:szCs w:val="18"/>
              </w:rPr>
              <w:t>).</w:t>
            </w:r>
          </w:p>
        </w:tc>
      </w:tr>
      <w:tr w:rsidR="00887FBF" w:rsidRPr="009242C1" w:rsidTr="0034365E">
        <w:trPr>
          <w:trHeight w:val="240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BF" w:rsidRPr="00E8571B" w:rsidRDefault="00BD4812" w:rsidP="0034365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FBF" w:rsidRPr="00E8571B" w:rsidRDefault="001200E3" w:rsidP="0034365E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</w:t>
            </w:r>
            <w:r w:rsidR="00887FBF" w:rsidRPr="00E8571B">
              <w:rPr>
                <w:color w:val="000000"/>
                <w:sz w:val="18"/>
                <w:szCs w:val="18"/>
              </w:rPr>
              <w:t>ska</w:t>
            </w:r>
            <w:r w:rsidR="00887FBF">
              <w:rPr>
                <w:color w:val="000000"/>
                <w:sz w:val="18"/>
                <w:szCs w:val="18"/>
              </w:rPr>
              <w:t>źnik oddawania barw przez oprawę</w:t>
            </w:r>
            <w:r w:rsidR="00F34A4D">
              <w:rPr>
                <w:color w:val="000000"/>
                <w:sz w:val="18"/>
                <w:szCs w:val="18"/>
              </w:rPr>
              <w:t xml:space="preserve"> Ra &gt;7</w:t>
            </w:r>
            <w:r w:rsidR="00887FBF" w:rsidRPr="00E8571B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7FBF" w:rsidRPr="009242C1" w:rsidTr="00470165">
        <w:trPr>
          <w:trHeight w:val="637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BF" w:rsidRPr="00E8571B" w:rsidRDefault="00BD4812" w:rsidP="0047016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FBF" w:rsidRPr="002F3100" w:rsidRDefault="00887FBF" w:rsidP="00470165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2F3100">
              <w:rPr>
                <w:color w:val="000000"/>
                <w:sz w:val="18"/>
                <w:szCs w:val="18"/>
              </w:rPr>
              <w:t>Każda oprawa ma być wyposażona w sterownik lub zasilacz umożliwiający zaprogramowanie min. pięciostopniowej redukcji strumienia świetlnego i mocy oprawy zgodnie z ustalonym z Zamawiającym harmonogramem oraz w dowolnej ilości, zmianę bezprzewodowo harmonogramu redukcji</w:t>
            </w:r>
          </w:p>
        </w:tc>
      </w:tr>
      <w:tr w:rsidR="00887FBF" w:rsidRPr="009242C1" w:rsidTr="0034365E">
        <w:trPr>
          <w:trHeight w:val="372"/>
          <w:jc w:val="center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FBF" w:rsidRPr="00E8571B" w:rsidRDefault="00BD4812" w:rsidP="0047016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FBF" w:rsidRPr="00E8571B" w:rsidRDefault="00887FBF" w:rsidP="0034365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8571B">
              <w:rPr>
                <w:color w:val="000000"/>
                <w:sz w:val="18"/>
                <w:szCs w:val="18"/>
              </w:rPr>
              <w:t>zespół optyki i źródeł światła chroniony szybą har</w:t>
            </w:r>
            <w:r>
              <w:rPr>
                <w:color w:val="000000"/>
                <w:sz w:val="18"/>
                <w:szCs w:val="18"/>
              </w:rPr>
              <w:t>towaną o wytrzymał</w:t>
            </w:r>
            <w:r w:rsidR="00D66513">
              <w:rPr>
                <w:color w:val="000000"/>
                <w:sz w:val="18"/>
                <w:szCs w:val="18"/>
              </w:rPr>
              <w:t>ości min. IK08</w:t>
            </w:r>
          </w:p>
        </w:tc>
      </w:tr>
      <w:tr w:rsidR="00887FBF" w:rsidRPr="009242C1" w:rsidTr="0034365E">
        <w:trPr>
          <w:trHeight w:val="372"/>
          <w:jc w:val="center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FBF" w:rsidRPr="00E8571B" w:rsidRDefault="00BD4812" w:rsidP="0047016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FBF" w:rsidRPr="00E8571B" w:rsidRDefault="00887FBF" w:rsidP="00887FB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4F71">
              <w:rPr>
                <w:color w:val="000000"/>
                <w:sz w:val="18"/>
                <w:szCs w:val="18"/>
              </w:rPr>
              <w:t>Oprawa musi mieć możliwość montażu bezpośrednio na słupie, uch</w:t>
            </w:r>
            <w:r w:rsidR="00452233">
              <w:rPr>
                <w:color w:val="000000"/>
                <w:sz w:val="18"/>
                <w:szCs w:val="18"/>
              </w:rPr>
              <w:t xml:space="preserve">wyt montażowy umieszczony w osi </w:t>
            </w:r>
            <w:r w:rsidRPr="00744F71">
              <w:rPr>
                <w:color w:val="000000"/>
                <w:sz w:val="18"/>
                <w:szCs w:val="18"/>
              </w:rPr>
              <w:t>oprawy</w:t>
            </w:r>
          </w:p>
        </w:tc>
      </w:tr>
      <w:tr w:rsidR="00887FBF" w:rsidRPr="009242C1" w:rsidTr="0034365E">
        <w:trPr>
          <w:trHeight w:val="372"/>
          <w:jc w:val="center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FBF" w:rsidRPr="00E8571B" w:rsidRDefault="00BD4812" w:rsidP="0047016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FBF" w:rsidRPr="00E8571B" w:rsidRDefault="00887FBF" w:rsidP="00BD48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  <w:r w:rsidRPr="00E8571B">
              <w:rPr>
                <w:color w:val="000000"/>
                <w:sz w:val="18"/>
                <w:szCs w:val="18"/>
              </w:rPr>
              <w:t>arwa światła emitowana przez opraw</w:t>
            </w:r>
            <w:r w:rsidRPr="00744F71">
              <w:rPr>
                <w:color w:val="000000"/>
                <w:sz w:val="18"/>
                <w:szCs w:val="18"/>
              </w:rPr>
              <w:t>ę:</w:t>
            </w:r>
            <w:r w:rsidR="00D66513">
              <w:rPr>
                <w:color w:val="000000"/>
                <w:sz w:val="18"/>
                <w:szCs w:val="18"/>
              </w:rPr>
              <w:t xml:space="preserve"> </w:t>
            </w:r>
            <w:r w:rsidR="00BD4812">
              <w:rPr>
                <w:color w:val="000000"/>
                <w:sz w:val="18"/>
                <w:szCs w:val="18"/>
              </w:rPr>
              <w:t>30</w:t>
            </w:r>
            <w:r w:rsidRPr="00744F71">
              <w:rPr>
                <w:color w:val="000000"/>
                <w:sz w:val="18"/>
                <w:szCs w:val="18"/>
              </w:rPr>
              <w:t>00 stopn</w:t>
            </w:r>
            <w:r w:rsidRPr="00E8571B">
              <w:rPr>
                <w:color w:val="000000"/>
                <w:sz w:val="18"/>
                <w:szCs w:val="18"/>
              </w:rPr>
              <w:t>i K</w:t>
            </w:r>
            <w:r>
              <w:rPr>
                <w:color w:val="000000"/>
                <w:sz w:val="18"/>
                <w:szCs w:val="18"/>
              </w:rPr>
              <w:t xml:space="preserve"> z tolerancją +/-8%</w:t>
            </w:r>
          </w:p>
        </w:tc>
      </w:tr>
      <w:tr w:rsidR="00887FBF" w:rsidRPr="009242C1" w:rsidTr="0034365E">
        <w:trPr>
          <w:trHeight w:val="372"/>
          <w:jc w:val="center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FBF" w:rsidRPr="00E8571B" w:rsidRDefault="00BD4812" w:rsidP="0047016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FBF" w:rsidRPr="00E8571B" w:rsidRDefault="001200E3" w:rsidP="00470165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  <w:r w:rsidRPr="006111E9">
              <w:rPr>
                <w:color w:val="000000"/>
                <w:sz w:val="18"/>
                <w:szCs w:val="18"/>
              </w:rPr>
              <w:t>prawa musi</w:t>
            </w:r>
            <w:r>
              <w:rPr>
                <w:color w:val="000000"/>
                <w:sz w:val="18"/>
                <w:szCs w:val="18"/>
              </w:rPr>
              <w:t xml:space="preserve"> być wyposażona</w:t>
            </w:r>
            <w:r w:rsidR="00887FBF" w:rsidRPr="00C67182">
              <w:rPr>
                <w:color w:val="000000"/>
                <w:sz w:val="18"/>
                <w:szCs w:val="18"/>
              </w:rPr>
              <w:t xml:space="preserve"> w standaryzowane </w:t>
            </w:r>
            <w:r w:rsidR="00887FBF">
              <w:rPr>
                <w:color w:val="000000"/>
                <w:sz w:val="18"/>
                <w:szCs w:val="18"/>
              </w:rPr>
              <w:t>złącze</w:t>
            </w:r>
            <w:r w:rsidR="00887FBF" w:rsidRPr="00C671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87FBF">
              <w:rPr>
                <w:color w:val="000000"/>
                <w:sz w:val="18"/>
                <w:szCs w:val="18"/>
              </w:rPr>
              <w:t>Zhaga</w:t>
            </w:r>
            <w:proofErr w:type="spellEnd"/>
            <w:r w:rsidR="00BD4812">
              <w:rPr>
                <w:color w:val="000000"/>
                <w:sz w:val="18"/>
                <w:szCs w:val="18"/>
              </w:rPr>
              <w:t xml:space="preserve"> lub ZD4i</w:t>
            </w:r>
            <w:r w:rsidR="00887FBF" w:rsidRPr="005A19F2">
              <w:rPr>
                <w:color w:val="000000"/>
                <w:sz w:val="18"/>
                <w:szCs w:val="18"/>
              </w:rPr>
              <w:t>,</w:t>
            </w:r>
            <w:r w:rsidR="00887FBF">
              <w:rPr>
                <w:color w:val="000000"/>
                <w:sz w:val="18"/>
                <w:szCs w:val="18"/>
              </w:rPr>
              <w:t xml:space="preserve"> umożliwiające montaż </w:t>
            </w:r>
            <w:r w:rsidR="00887FBF" w:rsidRPr="00C67182">
              <w:rPr>
                <w:color w:val="000000"/>
                <w:sz w:val="18"/>
                <w:szCs w:val="18"/>
              </w:rPr>
              <w:t>sterowników</w:t>
            </w:r>
            <w:r w:rsidR="00887FBF">
              <w:rPr>
                <w:color w:val="000000"/>
                <w:sz w:val="18"/>
                <w:szCs w:val="18"/>
              </w:rPr>
              <w:t xml:space="preserve"> systemu sterowania oświetleniem</w:t>
            </w:r>
            <w:r w:rsidR="00887FBF" w:rsidRPr="00C67182">
              <w:rPr>
                <w:color w:val="000000"/>
                <w:sz w:val="18"/>
                <w:szCs w:val="18"/>
              </w:rPr>
              <w:t>, bez ingerencji w</w:t>
            </w:r>
            <w:r w:rsidR="00887FBF">
              <w:rPr>
                <w:color w:val="000000"/>
                <w:sz w:val="18"/>
                <w:szCs w:val="18"/>
              </w:rPr>
              <w:t>e</w:t>
            </w:r>
            <w:r w:rsidR="00887FBF" w:rsidRPr="00C67182">
              <w:rPr>
                <w:color w:val="000000"/>
                <w:sz w:val="18"/>
                <w:szCs w:val="18"/>
              </w:rPr>
              <w:t xml:space="preserve"> </w:t>
            </w:r>
            <w:r w:rsidR="00887FBF">
              <w:rPr>
                <w:color w:val="000000"/>
                <w:sz w:val="18"/>
                <w:szCs w:val="18"/>
              </w:rPr>
              <w:t>wnętrze oprawy</w:t>
            </w:r>
            <w:r w:rsidR="00887FBF" w:rsidRPr="00C67182">
              <w:rPr>
                <w:color w:val="000000"/>
                <w:sz w:val="18"/>
                <w:szCs w:val="18"/>
              </w:rPr>
              <w:t>.</w:t>
            </w:r>
            <w:r w:rsidR="00887FBF">
              <w:rPr>
                <w:color w:val="000000"/>
                <w:sz w:val="18"/>
                <w:szCs w:val="18"/>
              </w:rPr>
              <w:t xml:space="preserve"> </w:t>
            </w:r>
            <w:r w:rsidR="00887FBF" w:rsidRPr="00333FFD">
              <w:rPr>
                <w:color w:val="000000"/>
                <w:sz w:val="18"/>
                <w:szCs w:val="18"/>
              </w:rPr>
              <w:t xml:space="preserve">Ze względów bezpieczeństwa </w:t>
            </w:r>
            <w:r w:rsidR="00887FBF">
              <w:rPr>
                <w:color w:val="000000"/>
                <w:sz w:val="18"/>
                <w:szCs w:val="18"/>
              </w:rPr>
              <w:t>Zamawiający</w:t>
            </w:r>
            <w:r w:rsidR="00452233">
              <w:rPr>
                <w:color w:val="000000"/>
                <w:sz w:val="18"/>
                <w:szCs w:val="18"/>
              </w:rPr>
              <w:t xml:space="preserve"> nie dopuszcza złącza, które wyprowadza</w:t>
            </w:r>
            <w:r w:rsidR="00887FBF">
              <w:rPr>
                <w:color w:val="000000"/>
                <w:sz w:val="18"/>
                <w:szCs w:val="18"/>
              </w:rPr>
              <w:t xml:space="preserve"> na zewnątrz oprawy napięcie </w:t>
            </w:r>
            <w:r w:rsidR="00887FBF" w:rsidRPr="00887FBF">
              <w:rPr>
                <w:color w:val="000000"/>
                <w:sz w:val="18"/>
                <w:szCs w:val="18"/>
              </w:rPr>
              <w:t>powyżej 24 V +/-10%.</w:t>
            </w:r>
          </w:p>
        </w:tc>
      </w:tr>
      <w:tr w:rsidR="00B61F66" w:rsidRPr="009242C1" w:rsidTr="0034365E">
        <w:trPr>
          <w:trHeight w:val="372"/>
          <w:jc w:val="center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F66" w:rsidRDefault="00BD4812" w:rsidP="0047016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1F66" w:rsidRDefault="00B61F66" w:rsidP="00B61F66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B61F66">
              <w:rPr>
                <w:color w:val="000000"/>
                <w:sz w:val="18"/>
                <w:szCs w:val="18"/>
              </w:rPr>
              <w:t>Ze względu na p</w:t>
            </w:r>
            <w:r w:rsidR="009D6DCD">
              <w:rPr>
                <w:color w:val="000000"/>
                <w:sz w:val="18"/>
                <w:szCs w:val="18"/>
              </w:rPr>
              <w:t xml:space="preserve">rojektowaną estetykę otoczenia </w:t>
            </w:r>
            <w:r>
              <w:rPr>
                <w:color w:val="000000"/>
                <w:sz w:val="18"/>
                <w:szCs w:val="18"/>
              </w:rPr>
              <w:t xml:space="preserve">kształt oprawy </w:t>
            </w:r>
            <w:r w:rsidR="00BD4812">
              <w:rPr>
                <w:color w:val="000000"/>
                <w:sz w:val="18"/>
                <w:szCs w:val="18"/>
              </w:rPr>
              <w:t xml:space="preserve">musi być </w:t>
            </w:r>
            <w:r>
              <w:rPr>
                <w:color w:val="000000"/>
                <w:sz w:val="18"/>
                <w:szCs w:val="18"/>
              </w:rPr>
              <w:t xml:space="preserve">zbliżony do </w:t>
            </w:r>
            <w:r w:rsidRPr="00B61F66">
              <w:rPr>
                <w:color w:val="000000"/>
                <w:sz w:val="18"/>
                <w:szCs w:val="18"/>
              </w:rPr>
              <w:t>przykładowego na rysunku:</w:t>
            </w:r>
          </w:p>
          <w:p w:rsidR="00B61F66" w:rsidRDefault="00B61F66" w:rsidP="00B61F66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B61F66" w:rsidRDefault="009D6DCD" w:rsidP="00B61F6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lang w:eastAsia="pl-PL"/>
              </w:rPr>
              <w:drawing>
                <wp:inline distT="0" distB="0" distL="0" distR="0">
                  <wp:extent cx="2154804" cy="1981572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695" cy="1981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F66" w:rsidRDefault="00B61F66" w:rsidP="00B61F66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C51EFC" w:rsidRDefault="00C51EFC" w:rsidP="00960161">
      <w:pPr>
        <w:pStyle w:val="Bezodstpw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746D08" w:rsidRDefault="00746D08" w:rsidP="00960161">
      <w:pPr>
        <w:pStyle w:val="Bezodstpw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C51EFC" w:rsidRDefault="00C51EFC" w:rsidP="00C51EFC">
      <w:pPr>
        <w:pStyle w:val="Bezodstpw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Pytanie nr 6</w:t>
      </w:r>
      <w:r w:rsidRPr="00960161">
        <w:rPr>
          <w:rFonts w:asciiTheme="majorHAnsi" w:hAnsiTheme="majorHAnsi"/>
          <w:b/>
          <w:sz w:val="20"/>
          <w:szCs w:val="20"/>
        </w:rPr>
        <w:t>:</w:t>
      </w:r>
    </w:p>
    <w:p w:rsidR="00471CB6" w:rsidRPr="00471CB6" w:rsidRDefault="00471CB6" w:rsidP="00471CB6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471CB6">
        <w:rPr>
          <w:rFonts w:asciiTheme="majorHAnsi" w:hAnsiTheme="majorHAnsi"/>
          <w:sz w:val="20"/>
          <w:szCs w:val="20"/>
        </w:rPr>
        <w:t>Czy zakres zamówienia obejmuje dostawę urządzeń kompensacji mocy biernej?</w:t>
      </w:r>
    </w:p>
    <w:p w:rsidR="00C51EFC" w:rsidRPr="00960161" w:rsidRDefault="00C51EFC" w:rsidP="00C51EFC">
      <w:pPr>
        <w:pStyle w:val="Bezodstpw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960161">
        <w:rPr>
          <w:rFonts w:asciiTheme="majorHAnsi" w:hAnsiTheme="majorHAnsi"/>
          <w:b/>
          <w:sz w:val="20"/>
          <w:szCs w:val="20"/>
        </w:rPr>
        <w:t>Odpowiedź:</w:t>
      </w:r>
    </w:p>
    <w:p w:rsidR="00C51EFC" w:rsidRDefault="007C71C2" w:rsidP="00960161">
      <w:pPr>
        <w:pStyle w:val="Bezodstpw"/>
        <w:spacing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</w:t>
      </w:r>
      <w:r w:rsidRPr="007C71C2">
        <w:rPr>
          <w:rFonts w:asciiTheme="majorHAnsi" w:hAnsiTheme="majorHAnsi"/>
          <w:sz w:val="20"/>
          <w:szCs w:val="20"/>
        </w:rPr>
        <w:t>godnie z Dokumentacja projektową załączoną do SWZ</w:t>
      </w:r>
      <w:r>
        <w:rPr>
          <w:rFonts w:asciiTheme="majorHAnsi" w:hAnsiTheme="majorHAnsi"/>
          <w:sz w:val="20"/>
          <w:szCs w:val="20"/>
        </w:rPr>
        <w:t>:</w:t>
      </w:r>
    </w:p>
    <w:p w:rsidR="007C71C2" w:rsidRDefault="007C71C2" w:rsidP="007C71C2">
      <w:pPr>
        <w:pStyle w:val="Bezodstpw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„</w:t>
      </w:r>
      <w:r w:rsidRPr="007C71C2">
        <w:rPr>
          <w:rFonts w:asciiTheme="majorHAnsi" w:hAnsiTheme="majorHAnsi"/>
          <w:sz w:val="20"/>
          <w:szCs w:val="20"/>
        </w:rPr>
        <w:t>Należy zainstalować oprawy oświetlenia drogowego, które nie generują opłat za energię bierną.</w:t>
      </w:r>
      <w:r>
        <w:rPr>
          <w:rFonts w:asciiTheme="majorHAnsi" w:hAnsiTheme="majorHAnsi"/>
          <w:sz w:val="20"/>
          <w:szCs w:val="20"/>
        </w:rPr>
        <w:t xml:space="preserve"> </w:t>
      </w:r>
      <w:r w:rsidRPr="007C71C2">
        <w:rPr>
          <w:rFonts w:asciiTheme="majorHAnsi" w:hAnsiTheme="majorHAnsi"/>
          <w:sz w:val="20"/>
          <w:szCs w:val="20"/>
        </w:rPr>
        <w:t>W</w:t>
      </w:r>
      <w:r>
        <w:rPr>
          <w:rFonts w:asciiTheme="majorHAnsi" w:hAnsiTheme="majorHAnsi"/>
          <w:sz w:val="20"/>
          <w:szCs w:val="20"/>
        </w:rPr>
        <w:t xml:space="preserve"> </w:t>
      </w:r>
      <w:r w:rsidRPr="007C71C2">
        <w:rPr>
          <w:rFonts w:asciiTheme="majorHAnsi" w:hAnsiTheme="majorHAnsi"/>
          <w:sz w:val="20"/>
          <w:szCs w:val="20"/>
        </w:rPr>
        <w:t>przypadku wystąpienia opłat za energię bierną na fakturach za d</w:t>
      </w:r>
      <w:r>
        <w:rPr>
          <w:rFonts w:asciiTheme="majorHAnsi" w:hAnsiTheme="majorHAnsi"/>
          <w:sz w:val="20"/>
          <w:szCs w:val="20"/>
        </w:rPr>
        <w:t xml:space="preserve">ystrybucję energii elektrycznej </w:t>
      </w:r>
      <w:r w:rsidRPr="007C71C2">
        <w:rPr>
          <w:rFonts w:asciiTheme="majorHAnsi" w:hAnsiTheme="majorHAnsi"/>
          <w:sz w:val="20"/>
          <w:szCs w:val="20"/>
        </w:rPr>
        <w:t>otrzymanych z PGE Dystrybucja S.A., należy zastosować odpowiednie rozwiązania techniczne</w:t>
      </w:r>
      <w:r>
        <w:rPr>
          <w:rFonts w:asciiTheme="majorHAnsi" w:hAnsiTheme="majorHAnsi"/>
          <w:sz w:val="20"/>
          <w:szCs w:val="20"/>
        </w:rPr>
        <w:t xml:space="preserve"> </w:t>
      </w:r>
      <w:r w:rsidRPr="007C71C2">
        <w:rPr>
          <w:rFonts w:asciiTheme="majorHAnsi" w:hAnsiTheme="majorHAnsi"/>
          <w:sz w:val="20"/>
          <w:szCs w:val="20"/>
        </w:rPr>
        <w:t>dostosowane do zainstalowanych opraw. Dodatkowe rozwiązania techniczne nie są uwzględnione w</w:t>
      </w:r>
      <w:r>
        <w:rPr>
          <w:rFonts w:asciiTheme="majorHAnsi" w:hAnsiTheme="majorHAnsi"/>
          <w:sz w:val="20"/>
          <w:szCs w:val="20"/>
        </w:rPr>
        <w:t xml:space="preserve"> </w:t>
      </w:r>
      <w:r w:rsidRPr="007C71C2">
        <w:rPr>
          <w:rFonts w:asciiTheme="majorHAnsi" w:hAnsiTheme="majorHAnsi"/>
          <w:sz w:val="20"/>
          <w:szCs w:val="20"/>
        </w:rPr>
        <w:t>dokumentacji. W okresie udzielonej przez Wykonawcę gwarancji, w przypadku wystąpienia opłat za</w:t>
      </w:r>
      <w:r>
        <w:rPr>
          <w:rFonts w:asciiTheme="majorHAnsi" w:hAnsiTheme="majorHAnsi"/>
          <w:sz w:val="20"/>
          <w:szCs w:val="20"/>
        </w:rPr>
        <w:t xml:space="preserve"> </w:t>
      </w:r>
      <w:r w:rsidRPr="007C71C2">
        <w:rPr>
          <w:rFonts w:asciiTheme="majorHAnsi" w:hAnsiTheme="majorHAnsi"/>
          <w:sz w:val="20"/>
          <w:szCs w:val="20"/>
        </w:rPr>
        <w:t>energię bierną na fakturach za dystrybucję energii elektrycznej otrzymanych z PGE Dystrybucja S.A.</w:t>
      </w:r>
      <w:r>
        <w:rPr>
          <w:rFonts w:asciiTheme="majorHAnsi" w:hAnsiTheme="majorHAnsi"/>
          <w:sz w:val="20"/>
          <w:szCs w:val="20"/>
        </w:rPr>
        <w:t xml:space="preserve"> </w:t>
      </w:r>
      <w:r w:rsidRPr="007C71C2">
        <w:rPr>
          <w:rFonts w:asciiTheme="majorHAnsi" w:hAnsiTheme="majorHAnsi"/>
          <w:sz w:val="20"/>
          <w:szCs w:val="20"/>
        </w:rPr>
        <w:t>dotyczących realizowanego przez Wykonawcę zakresu prac, Wykonawca będzie obciążony poniesionymi</w:t>
      </w:r>
      <w:r>
        <w:rPr>
          <w:rFonts w:asciiTheme="majorHAnsi" w:hAnsiTheme="majorHAnsi"/>
          <w:sz w:val="20"/>
          <w:szCs w:val="20"/>
        </w:rPr>
        <w:t xml:space="preserve"> </w:t>
      </w:r>
      <w:r w:rsidRPr="007C71C2">
        <w:rPr>
          <w:rFonts w:asciiTheme="majorHAnsi" w:hAnsiTheme="majorHAnsi"/>
          <w:sz w:val="20"/>
          <w:szCs w:val="20"/>
        </w:rPr>
        <w:t>przez Zamawiającego opłatami oraz Wykonawca na własny koszt wykona stosowne prace w celu</w:t>
      </w:r>
      <w:r>
        <w:rPr>
          <w:rFonts w:asciiTheme="majorHAnsi" w:hAnsiTheme="majorHAnsi"/>
          <w:sz w:val="20"/>
          <w:szCs w:val="20"/>
        </w:rPr>
        <w:t xml:space="preserve"> </w:t>
      </w:r>
      <w:r w:rsidRPr="007C71C2">
        <w:rPr>
          <w:rFonts w:asciiTheme="majorHAnsi" w:hAnsiTheme="majorHAnsi"/>
          <w:sz w:val="20"/>
          <w:szCs w:val="20"/>
        </w:rPr>
        <w:t>zlikwidowania występujących opłat w terminie 1 miesiąca od stwierdzenia faktu wystąpienia opłat za</w:t>
      </w:r>
      <w:r>
        <w:rPr>
          <w:rFonts w:asciiTheme="majorHAnsi" w:hAnsiTheme="majorHAnsi"/>
          <w:sz w:val="20"/>
          <w:szCs w:val="20"/>
        </w:rPr>
        <w:t xml:space="preserve"> </w:t>
      </w:r>
      <w:r w:rsidRPr="007C71C2">
        <w:rPr>
          <w:rFonts w:asciiTheme="majorHAnsi" w:hAnsiTheme="majorHAnsi"/>
          <w:sz w:val="20"/>
          <w:szCs w:val="20"/>
        </w:rPr>
        <w:t>energię bierną.</w:t>
      </w:r>
      <w:r>
        <w:rPr>
          <w:rFonts w:asciiTheme="majorHAnsi" w:hAnsiTheme="majorHAnsi"/>
          <w:sz w:val="20"/>
          <w:szCs w:val="20"/>
        </w:rPr>
        <w:t>”</w:t>
      </w:r>
    </w:p>
    <w:p w:rsidR="007C71C2" w:rsidRDefault="007C71C2" w:rsidP="007C71C2">
      <w:pPr>
        <w:pStyle w:val="Bezodstpw"/>
        <w:jc w:val="both"/>
        <w:rPr>
          <w:rFonts w:asciiTheme="majorHAnsi" w:hAnsiTheme="majorHAnsi"/>
          <w:sz w:val="20"/>
          <w:szCs w:val="20"/>
        </w:rPr>
      </w:pPr>
    </w:p>
    <w:p w:rsidR="007C71C2" w:rsidRPr="00B61244" w:rsidRDefault="007C71C2" w:rsidP="007C71C2">
      <w:pPr>
        <w:pStyle w:val="Bezodstpw"/>
        <w:jc w:val="both"/>
        <w:rPr>
          <w:rFonts w:asciiTheme="majorHAnsi" w:hAnsiTheme="majorHAnsi"/>
          <w:b/>
          <w:sz w:val="20"/>
          <w:szCs w:val="20"/>
        </w:rPr>
      </w:pPr>
      <w:r w:rsidRPr="00B61244">
        <w:rPr>
          <w:rFonts w:asciiTheme="majorHAnsi" w:hAnsiTheme="majorHAnsi"/>
          <w:b/>
          <w:sz w:val="20"/>
          <w:szCs w:val="20"/>
        </w:rPr>
        <w:t>Z uwagi na fakt, że wszystkie opłaty za energię bierną, które wystąpią w okresie udzielonej gwarancji na fakturach za dystrybucję energii elektrycznej otrzymanych z PGE Dystrybucja S.A. dotyczących realizowanego przez Wykonawcę zakresu prac, będą refakturowane na Wykonawcę, zaleca się wykonanie stosownych pomiarów i zainstalowanie odpowiednich urządzeń kompensacji mocy biernej przed odbiorem końcowym.</w:t>
      </w:r>
    </w:p>
    <w:p w:rsidR="007C71C2" w:rsidRDefault="007C71C2" w:rsidP="007C71C2">
      <w:pPr>
        <w:pStyle w:val="Bezodstpw"/>
        <w:jc w:val="both"/>
        <w:rPr>
          <w:rFonts w:asciiTheme="majorHAnsi" w:hAnsiTheme="majorHAnsi"/>
          <w:b/>
          <w:sz w:val="20"/>
          <w:szCs w:val="20"/>
        </w:rPr>
      </w:pPr>
    </w:p>
    <w:p w:rsidR="00C51EFC" w:rsidRDefault="00C51EFC" w:rsidP="00C51EFC">
      <w:pPr>
        <w:pStyle w:val="Bezodstpw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Pytanie nr 7</w:t>
      </w:r>
      <w:r w:rsidRPr="00960161">
        <w:rPr>
          <w:rFonts w:asciiTheme="majorHAnsi" w:hAnsiTheme="majorHAnsi"/>
          <w:b/>
          <w:sz w:val="20"/>
          <w:szCs w:val="20"/>
        </w:rPr>
        <w:t>:</w:t>
      </w:r>
    </w:p>
    <w:p w:rsidR="00471CB6" w:rsidRPr="00471CB6" w:rsidRDefault="00471CB6" w:rsidP="00471CB6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471CB6">
        <w:rPr>
          <w:rFonts w:asciiTheme="majorHAnsi" w:hAnsiTheme="majorHAnsi"/>
          <w:sz w:val="20"/>
          <w:szCs w:val="20"/>
        </w:rPr>
        <w:t>Prosimy o potwierdzenie że zakres zamówienia obejmuję wymianę zasilającej linii napowietrznej.</w:t>
      </w:r>
    </w:p>
    <w:p w:rsidR="00C51EFC" w:rsidRDefault="00C51EFC" w:rsidP="00C51EFC">
      <w:pPr>
        <w:pStyle w:val="Bezodstpw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960161">
        <w:rPr>
          <w:rFonts w:asciiTheme="majorHAnsi" w:hAnsiTheme="majorHAnsi"/>
          <w:b/>
          <w:sz w:val="20"/>
          <w:szCs w:val="20"/>
        </w:rPr>
        <w:t>Odpowiedź:</w:t>
      </w:r>
    </w:p>
    <w:p w:rsidR="007C71C2" w:rsidRPr="007C71C2" w:rsidRDefault="007C71C2" w:rsidP="00C51EFC">
      <w:pPr>
        <w:pStyle w:val="Bezodstpw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7C71C2">
        <w:rPr>
          <w:rFonts w:asciiTheme="majorHAnsi" w:hAnsiTheme="majorHAnsi"/>
          <w:sz w:val="20"/>
          <w:szCs w:val="20"/>
        </w:rPr>
        <w:t>Tak, zakres zamówienia obejmuję wymianę zasilającej linii napowietrznej zgodnie z Dokumentacja projektową załączoną do SWZ.</w:t>
      </w:r>
    </w:p>
    <w:p w:rsidR="00C51EFC" w:rsidRDefault="00C51EFC" w:rsidP="00960161">
      <w:pPr>
        <w:pStyle w:val="Bezodstpw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AA0D33" w:rsidRDefault="00AA0D33" w:rsidP="00AA0D33">
      <w:pPr>
        <w:pStyle w:val="Bezodstpw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>Pytanie nr 8</w:t>
      </w:r>
      <w:r w:rsidRPr="00960161">
        <w:rPr>
          <w:rFonts w:asciiTheme="majorHAnsi" w:hAnsiTheme="majorHAnsi"/>
          <w:b/>
          <w:sz w:val="20"/>
          <w:szCs w:val="20"/>
        </w:rPr>
        <w:t>:</w:t>
      </w:r>
    </w:p>
    <w:p w:rsidR="00471CB6" w:rsidRPr="00471CB6" w:rsidRDefault="00471CB6" w:rsidP="00471CB6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471CB6">
        <w:rPr>
          <w:rFonts w:asciiTheme="majorHAnsi" w:hAnsiTheme="majorHAnsi"/>
          <w:sz w:val="20"/>
          <w:szCs w:val="20"/>
        </w:rPr>
        <w:t>Proszę o podanie minimalnych parametrów oświetleniowych dla opraw parkowych.</w:t>
      </w:r>
    </w:p>
    <w:p w:rsidR="00AA0D33" w:rsidRDefault="00AA0D33" w:rsidP="00AA0D33">
      <w:pPr>
        <w:pStyle w:val="Bezodstpw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F27A4B">
        <w:rPr>
          <w:rFonts w:asciiTheme="majorHAnsi" w:hAnsiTheme="majorHAnsi"/>
          <w:b/>
          <w:sz w:val="20"/>
          <w:szCs w:val="20"/>
        </w:rPr>
        <w:t>Odpowiedź:</w:t>
      </w:r>
    </w:p>
    <w:p w:rsidR="00F27A4B" w:rsidRPr="007C71C2" w:rsidRDefault="00BA4C59" w:rsidP="00AA0D33">
      <w:pPr>
        <w:pStyle w:val="Bezodstpw"/>
        <w:spacing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Patrz odpowiedź</w:t>
      </w:r>
      <w:r w:rsidR="00F27A4B" w:rsidRPr="007C71C2">
        <w:rPr>
          <w:rFonts w:asciiTheme="majorHAnsi" w:hAnsiTheme="majorHAnsi"/>
          <w:sz w:val="20"/>
          <w:szCs w:val="20"/>
        </w:rPr>
        <w:t xml:space="preserve"> na pytanie nr 5.</w:t>
      </w:r>
    </w:p>
    <w:p w:rsidR="00AA0D33" w:rsidRDefault="00AA0D33" w:rsidP="00960161">
      <w:pPr>
        <w:pStyle w:val="Bezodstpw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AA0D33" w:rsidRDefault="00AA0D33" w:rsidP="00AA0D33">
      <w:pPr>
        <w:pStyle w:val="Bezodstpw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Pytanie nr 9</w:t>
      </w:r>
      <w:r w:rsidRPr="00960161">
        <w:rPr>
          <w:rFonts w:asciiTheme="majorHAnsi" w:hAnsiTheme="majorHAnsi"/>
          <w:b/>
          <w:sz w:val="20"/>
          <w:szCs w:val="20"/>
        </w:rPr>
        <w:t>:</w:t>
      </w:r>
    </w:p>
    <w:p w:rsidR="00471CB6" w:rsidRPr="00471CB6" w:rsidRDefault="00471CB6" w:rsidP="00471CB6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471CB6">
        <w:rPr>
          <w:rFonts w:asciiTheme="majorHAnsi" w:hAnsiTheme="majorHAnsi"/>
          <w:sz w:val="20"/>
          <w:szCs w:val="20"/>
        </w:rPr>
        <w:t>W dokumentacji projektowej w punkcie 4.1 (tabela punkt 8) wskazano,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471CB6">
        <w:rPr>
          <w:rFonts w:asciiTheme="majorHAnsi" w:hAnsiTheme="majorHAnsi"/>
          <w:sz w:val="20"/>
          <w:szCs w:val="20"/>
        </w:rPr>
        <w:t>że oprawy powinny spełniać:</w:t>
      </w:r>
      <w:r w:rsidR="00F27A4B">
        <w:rPr>
          <w:rFonts w:asciiTheme="majorHAnsi" w:hAnsiTheme="majorHAnsi"/>
          <w:sz w:val="20"/>
          <w:szCs w:val="20"/>
        </w:rPr>
        <w:t xml:space="preserve"> </w:t>
      </w:r>
      <w:r w:rsidRPr="00471CB6">
        <w:rPr>
          <w:rFonts w:asciiTheme="majorHAnsi" w:hAnsiTheme="majorHAnsi"/>
          <w:sz w:val="20"/>
          <w:szCs w:val="20"/>
        </w:rPr>
        <w:t>Grupa ryz</w:t>
      </w:r>
      <w:r w:rsidR="008A79B2">
        <w:rPr>
          <w:rFonts w:asciiTheme="majorHAnsi" w:hAnsiTheme="majorHAnsi"/>
          <w:sz w:val="20"/>
          <w:szCs w:val="20"/>
        </w:rPr>
        <w:t>yka fotobiologicznego-</w:t>
      </w:r>
      <w:r>
        <w:rPr>
          <w:rFonts w:asciiTheme="majorHAnsi" w:hAnsiTheme="majorHAnsi"/>
          <w:sz w:val="20"/>
          <w:szCs w:val="20"/>
        </w:rPr>
        <w:t xml:space="preserve">0 (RG0) </w:t>
      </w:r>
      <w:r w:rsidRPr="00471CB6">
        <w:rPr>
          <w:rFonts w:asciiTheme="majorHAnsi" w:hAnsiTheme="majorHAnsi"/>
          <w:sz w:val="20"/>
          <w:szCs w:val="20"/>
        </w:rPr>
        <w:t>Potwierdzone raportem z badań bezpieczeństwa fotobiologicznego,</w:t>
      </w:r>
      <w:r w:rsidR="00F27A4B">
        <w:rPr>
          <w:rFonts w:asciiTheme="majorHAnsi" w:hAnsiTheme="majorHAnsi"/>
          <w:sz w:val="20"/>
          <w:szCs w:val="20"/>
        </w:rPr>
        <w:t xml:space="preserve"> </w:t>
      </w:r>
      <w:r w:rsidRPr="00471CB6">
        <w:rPr>
          <w:rFonts w:asciiTheme="majorHAnsi" w:hAnsiTheme="majorHAnsi"/>
          <w:sz w:val="20"/>
          <w:szCs w:val="20"/>
        </w:rPr>
        <w:t>przeprowadzonego przez niezale</w:t>
      </w:r>
      <w:r>
        <w:rPr>
          <w:rFonts w:asciiTheme="majorHAnsi" w:hAnsiTheme="majorHAnsi"/>
          <w:sz w:val="20"/>
          <w:szCs w:val="20"/>
        </w:rPr>
        <w:t xml:space="preserve">żne </w:t>
      </w:r>
      <w:r w:rsidRPr="00471CB6">
        <w:rPr>
          <w:rFonts w:asciiTheme="majorHAnsi" w:hAnsiTheme="majorHAnsi"/>
          <w:sz w:val="20"/>
          <w:szCs w:val="20"/>
        </w:rPr>
        <w:t>laboratorium badawcze na terenie Unii Europejskiej potwierdzających</w:t>
      </w:r>
      <w:r w:rsidR="00F27A4B">
        <w:rPr>
          <w:rFonts w:asciiTheme="majorHAnsi" w:hAnsiTheme="majorHAnsi"/>
          <w:sz w:val="20"/>
          <w:szCs w:val="20"/>
        </w:rPr>
        <w:t xml:space="preserve"> </w:t>
      </w:r>
      <w:r w:rsidRPr="00471CB6">
        <w:rPr>
          <w:rFonts w:asciiTheme="majorHAnsi" w:hAnsiTheme="majorHAnsi"/>
          <w:sz w:val="20"/>
          <w:szCs w:val="20"/>
        </w:rPr>
        <w:t>sp</w:t>
      </w:r>
      <w:r>
        <w:rPr>
          <w:rFonts w:asciiTheme="majorHAnsi" w:hAnsiTheme="majorHAnsi"/>
          <w:sz w:val="20"/>
          <w:szCs w:val="20"/>
        </w:rPr>
        <w:t xml:space="preserve">ełnienie niniejszego wymagania. </w:t>
      </w:r>
      <w:r w:rsidRPr="00471CB6">
        <w:rPr>
          <w:rFonts w:asciiTheme="majorHAnsi" w:hAnsiTheme="majorHAnsi"/>
          <w:sz w:val="20"/>
          <w:szCs w:val="20"/>
        </w:rPr>
        <w:t xml:space="preserve">Zadeklarowanie grupy 0 w formularzu ofertowym wiąże się z </w:t>
      </w:r>
      <w:r w:rsidR="00BA4C59" w:rsidRPr="00471CB6">
        <w:rPr>
          <w:rFonts w:asciiTheme="majorHAnsi" w:hAnsiTheme="majorHAnsi"/>
          <w:sz w:val="20"/>
          <w:szCs w:val="20"/>
        </w:rPr>
        <w:t>uzyskaniem</w:t>
      </w:r>
    </w:p>
    <w:p w:rsidR="00471CB6" w:rsidRPr="00471CB6" w:rsidRDefault="00471CB6" w:rsidP="00471CB6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471CB6">
        <w:rPr>
          <w:rFonts w:asciiTheme="majorHAnsi" w:hAnsiTheme="majorHAnsi"/>
          <w:sz w:val="20"/>
          <w:szCs w:val="20"/>
        </w:rPr>
        <w:t>przez Wykonawcę dodatkowych punktów.</w:t>
      </w:r>
      <w:r>
        <w:rPr>
          <w:rFonts w:asciiTheme="majorHAnsi" w:hAnsiTheme="majorHAnsi"/>
          <w:sz w:val="20"/>
          <w:szCs w:val="20"/>
        </w:rPr>
        <w:t xml:space="preserve"> </w:t>
      </w:r>
      <w:r w:rsidRPr="00471CB6">
        <w:rPr>
          <w:rFonts w:asciiTheme="majorHAnsi" w:hAnsiTheme="majorHAnsi"/>
          <w:sz w:val="20"/>
          <w:szCs w:val="20"/>
        </w:rPr>
        <w:t>Proszę doprecyzować czy raport z badań bezpieczeństwa</w:t>
      </w:r>
      <w:r>
        <w:rPr>
          <w:rFonts w:asciiTheme="majorHAnsi" w:hAnsiTheme="majorHAnsi"/>
          <w:sz w:val="20"/>
          <w:szCs w:val="20"/>
        </w:rPr>
        <w:t xml:space="preserve"> </w:t>
      </w:r>
      <w:r w:rsidRPr="00471CB6">
        <w:rPr>
          <w:rFonts w:asciiTheme="majorHAnsi" w:hAnsiTheme="majorHAnsi"/>
          <w:sz w:val="20"/>
          <w:szCs w:val="20"/>
        </w:rPr>
        <w:t>fotobiologicznego na grupę 0 powinien być wydany przez niezależne</w:t>
      </w:r>
      <w:r>
        <w:rPr>
          <w:rFonts w:asciiTheme="majorHAnsi" w:hAnsiTheme="majorHAnsi"/>
          <w:sz w:val="20"/>
          <w:szCs w:val="20"/>
        </w:rPr>
        <w:t xml:space="preserve"> </w:t>
      </w:r>
      <w:r w:rsidRPr="00471CB6">
        <w:rPr>
          <w:rFonts w:asciiTheme="majorHAnsi" w:hAnsiTheme="majorHAnsi"/>
          <w:sz w:val="20"/>
          <w:szCs w:val="20"/>
        </w:rPr>
        <w:t>AKREDYTOWANE laboratorium badawcze na terenie UE, czy wystarczy</w:t>
      </w:r>
      <w:r>
        <w:rPr>
          <w:rFonts w:asciiTheme="majorHAnsi" w:hAnsiTheme="majorHAnsi"/>
          <w:sz w:val="20"/>
          <w:szCs w:val="20"/>
        </w:rPr>
        <w:t xml:space="preserve"> laboratorium bez akredytacji?</w:t>
      </w:r>
    </w:p>
    <w:p w:rsidR="00AA0D33" w:rsidRPr="00960161" w:rsidRDefault="00AA0D33" w:rsidP="00AA0D33">
      <w:pPr>
        <w:pStyle w:val="Bezodstpw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960161">
        <w:rPr>
          <w:rFonts w:asciiTheme="majorHAnsi" w:hAnsiTheme="majorHAnsi"/>
          <w:b/>
          <w:sz w:val="20"/>
          <w:szCs w:val="20"/>
        </w:rPr>
        <w:t>Odpowiedź:</w:t>
      </w:r>
    </w:p>
    <w:p w:rsidR="00F27A4B" w:rsidRPr="007400B0" w:rsidRDefault="007400B0" w:rsidP="00960161">
      <w:pPr>
        <w:pStyle w:val="Bezodstpw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7400B0">
        <w:rPr>
          <w:rFonts w:asciiTheme="majorHAnsi" w:hAnsiTheme="majorHAnsi"/>
          <w:sz w:val="20"/>
          <w:szCs w:val="20"/>
        </w:rPr>
        <w:t xml:space="preserve">Wystarczające jest przedstawienie raportu z badań bezpieczeństwa fotobiologicznego na grupę 0 </w:t>
      </w:r>
      <w:r>
        <w:rPr>
          <w:rFonts w:asciiTheme="majorHAnsi" w:hAnsiTheme="majorHAnsi"/>
          <w:sz w:val="20"/>
          <w:szCs w:val="20"/>
        </w:rPr>
        <w:t>zgodnego</w:t>
      </w:r>
      <w:r w:rsidRPr="007400B0">
        <w:rPr>
          <w:rFonts w:asciiTheme="majorHAnsi" w:hAnsiTheme="majorHAnsi"/>
          <w:sz w:val="20"/>
          <w:szCs w:val="20"/>
        </w:rPr>
        <w:t xml:space="preserve"> z normą PN-EN 62471:2010</w:t>
      </w:r>
      <w:r>
        <w:rPr>
          <w:rFonts w:asciiTheme="majorHAnsi" w:hAnsiTheme="majorHAnsi"/>
          <w:sz w:val="20"/>
          <w:szCs w:val="20"/>
        </w:rPr>
        <w:t xml:space="preserve">, </w:t>
      </w:r>
      <w:r w:rsidRPr="007400B0">
        <w:rPr>
          <w:rFonts w:asciiTheme="majorHAnsi" w:hAnsiTheme="majorHAnsi"/>
          <w:sz w:val="20"/>
          <w:szCs w:val="20"/>
        </w:rPr>
        <w:t>wydanego przez niezależne laboratorium badawcze na terenie Unii Europejskiej bez akredytacji.</w:t>
      </w:r>
    </w:p>
    <w:p w:rsidR="007400B0" w:rsidRDefault="007400B0" w:rsidP="00960161">
      <w:pPr>
        <w:pStyle w:val="Bezodstpw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AA0D33" w:rsidRDefault="00AA0D33" w:rsidP="00AA0D33">
      <w:pPr>
        <w:pStyle w:val="Bezodstpw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Pytanie nr 10</w:t>
      </w:r>
      <w:r w:rsidRPr="00960161">
        <w:rPr>
          <w:rFonts w:asciiTheme="majorHAnsi" w:hAnsiTheme="majorHAnsi"/>
          <w:b/>
          <w:sz w:val="20"/>
          <w:szCs w:val="20"/>
        </w:rPr>
        <w:t>:</w:t>
      </w:r>
    </w:p>
    <w:p w:rsidR="00471CB6" w:rsidRPr="00471CB6" w:rsidRDefault="00471CB6" w:rsidP="00471CB6">
      <w:pPr>
        <w:pStyle w:val="Bezodstpw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  <w:r w:rsidRPr="00471CB6">
        <w:rPr>
          <w:rFonts w:asciiTheme="majorHAnsi" w:hAnsiTheme="majorHAnsi"/>
          <w:sz w:val="20"/>
          <w:szCs w:val="20"/>
        </w:rPr>
        <w:t>W dokumentacji projektowej w punkcie</w:t>
      </w:r>
      <w:r>
        <w:rPr>
          <w:rFonts w:asciiTheme="majorHAnsi" w:hAnsiTheme="majorHAnsi"/>
          <w:sz w:val="20"/>
          <w:szCs w:val="20"/>
        </w:rPr>
        <w:t xml:space="preserve"> 4.1 (tabela punkt 8) wskazano, </w:t>
      </w:r>
      <w:r w:rsidRPr="00471CB6">
        <w:rPr>
          <w:rFonts w:asciiTheme="majorHAnsi" w:hAnsiTheme="majorHAnsi"/>
          <w:sz w:val="20"/>
          <w:szCs w:val="20"/>
        </w:rPr>
        <w:t>że oprawy powinny spełniać:</w:t>
      </w:r>
      <w:r w:rsidR="007400B0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</w:t>
      </w:r>
      <w:r w:rsidRPr="00471CB6">
        <w:rPr>
          <w:rFonts w:asciiTheme="majorHAnsi" w:hAnsiTheme="majorHAnsi"/>
          <w:sz w:val="20"/>
          <w:szCs w:val="20"/>
        </w:rPr>
        <w:t>Grupa ryz</w:t>
      </w:r>
      <w:r w:rsidR="008A79B2">
        <w:rPr>
          <w:rFonts w:asciiTheme="majorHAnsi" w:hAnsiTheme="majorHAnsi"/>
          <w:sz w:val="20"/>
          <w:szCs w:val="20"/>
        </w:rPr>
        <w:t>yka fotobiologicznego-</w:t>
      </w:r>
      <w:r>
        <w:rPr>
          <w:rFonts w:asciiTheme="majorHAnsi" w:hAnsiTheme="majorHAnsi"/>
          <w:sz w:val="20"/>
          <w:szCs w:val="20"/>
        </w:rPr>
        <w:t xml:space="preserve">0 (RG0) </w:t>
      </w:r>
      <w:r w:rsidRPr="00471CB6">
        <w:rPr>
          <w:rFonts w:asciiTheme="majorHAnsi" w:hAnsiTheme="majorHAnsi"/>
          <w:sz w:val="20"/>
          <w:szCs w:val="20"/>
        </w:rPr>
        <w:t>Potwierdzone raportem z badań bezpieczeństwa fotobiologicznego,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471CB6">
        <w:rPr>
          <w:rFonts w:asciiTheme="majorHAnsi" w:hAnsiTheme="majorHAnsi"/>
          <w:sz w:val="20"/>
          <w:szCs w:val="20"/>
        </w:rPr>
        <w:t>pr</w:t>
      </w:r>
      <w:r>
        <w:rPr>
          <w:rFonts w:asciiTheme="majorHAnsi" w:hAnsiTheme="majorHAnsi"/>
          <w:sz w:val="20"/>
          <w:szCs w:val="20"/>
        </w:rPr>
        <w:t xml:space="preserve">zeprowadzonego przez niezależne </w:t>
      </w:r>
      <w:r w:rsidRPr="00471CB6">
        <w:rPr>
          <w:rFonts w:asciiTheme="majorHAnsi" w:hAnsiTheme="majorHAnsi"/>
          <w:sz w:val="20"/>
          <w:szCs w:val="20"/>
        </w:rPr>
        <w:t>laboratorium badawcze na terenie Unii Europejskiej potwierdzających</w:t>
      </w:r>
      <w:r>
        <w:rPr>
          <w:rFonts w:asciiTheme="majorHAnsi" w:hAnsiTheme="majorHAnsi"/>
          <w:sz w:val="20"/>
          <w:szCs w:val="20"/>
        </w:rPr>
        <w:t xml:space="preserve"> </w:t>
      </w:r>
      <w:r w:rsidRPr="00471CB6">
        <w:rPr>
          <w:rFonts w:asciiTheme="majorHAnsi" w:hAnsiTheme="majorHAnsi"/>
          <w:sz w:val="20"/>
          <w:szCs w:val="20"/>
        </w:rPr>
        <w:t>spełnienie ni</w:t>
      </w:r>
      <w:r>
        <w:rPr>
          <w:rFonts w:asciiTheme="majorHAnsi" w:hAnsiTheme="majorHAnsi"/>
          <w:sz w:val="20"/>
          <w:szCs w:val="20"/>
        </w:rPr>
        <w:t xml:space="preserve">niejszego wymagania. </w:t>
      </w:r>
      <w:r w:rsidRPr="00471CB6">
        <w:rPr>
          <w:rFonts w:asciiTheme="majorHAnsi" w:hAnsiTheme="majorHAnsi"/>
          <w:sz w:val="20"/>
          <w:szCs w:val="20"/>
        </w:rPr>
        <w:t xml:space="preserve">Zadeklarowanie grupy 0 w formularzu ofertowym wiąże się z </w:t>
      </w:r>
      <w:r w:rsidR="00BA4C59" w:rsidRPr="00471CB6">
        <w:rPr>
          <w:rFonts w:asciiTheme="majorHAnsi" w:hAnsiTheme="majorHAnsi"/>
          <w:sz w:val="20"/>
          <w:szCs w:val="20"/>
        </w:rPr>
        <w:t>uzyskaniem</w:t>
      </w:r>
      <w:r>
        <w:rPr>
          <w:rFonts w:asciiTheme="majorHAnsi" w:hAnsiTheme="majorHAnsi"/>
          <w:sz w:val="20"/>
          <w:szCs w:val="20"/>
        </w:rPr>
        <w:t xml:space="preserve"> </w:t>
      </w:r>
      <w:r w:rsidRPr="00471CB6">
        <w:rPr>
          <w:rFonts w:asciiTheme="majorHAnsi" w:hAnsiTheme="majorHAnsi"/>
          <w:sz w:val="20"/>
          <w:szCs w:val="20"/>
        </w:rPr>
        <w:t>przez</w:t>
      </w:r>
      <w:r>
        <w:rPr>
          <w:rFonts w:asciiTheme="majorHAnsi" w:hAnsiTheme="majorHAnsi"/>
          <w:sz w:val="20"/>
          <w:szCs w:val="20"/>
        </w:rPr>
        <w:t xml:space="preserve"> Wykonawcę dodatkowych punktów. </w:t>
      </w:r>
      <w:r w:rsidRPr="00471CB6">
        <w:rPr>
          <w:rFonts w:asciiTheme="majorHAnsi" w:hAnsiTheme="majorHAnsi"/>
          <w:sz w:val="20"/>
          <w:szCs w:val="20"/>
        </w:rPr>
        <w:t>Proszę doprecyzować czy raport z badań bezpieczeństwa</w:t>
      </w:r>
      <w:r>
        <w:rPr>
          <w:rFonts w:asciiTheme="majorHAnsi" w:hAnsiTheme="majorHAnsi"/>
          <w:sz w:val="20"/>
          <w:szCs w:val="20"/>
        </w:rPr>
        <w:t xml:space="preserve"> </w:t>
      </w:r>
      <w:r w:rsidRPr="00471CB6">
        <w:rPr>
          <w:rFonts w:asciiTheme="majorHAnsi" w:hAnsiTheme="majorHAnsi"/>
          <w:sz w:val="20"/>
          <w:szCs w:val="20"/>
        </w:rPr>
        <w:t>fotobiologicznego na grupę 0 powinien b</w:t>
      </w:r>
      <w:r>
        <w:rPr>
          <w:rFonts w:asciiTheme="majorHAnsi" w:hAnsiTheme="majorHAnsi"/>
          <w:sz w:val="20"/>
          <w:szCs w:val="20"/>
        </w:rPr>
        <w:t xml:space="preserve">yć wykonany zgodnie z aktualnie </w:t>
      </w:r>
      <w:r w:rsidRPr="00471CB6">
        <w:rPr>
          <w:rFonts w:asciiTheme="majorHAnsi" w:hAnsiTheme="majorHAnsi"/>
          <w:sz w:val="20"/>
          <w:szCs w:val="20"/>
        </w:rPr>
        <w:t>stosowaną normą PN-EN 62471:2</w:t>
      </w:r>
      <w:r>
        <w:rPr>
          <w:rFonts w:asciiTheme="majorHAnsi" w:hAnsiTheme="majorHAnsi"/>
          <w:sz w:val="20"/>
          <w:szCs w:val="20"/>
        </w:rPr>
        <w:t xml:space="preserve">010 uzupełnioną o raport IEC TR </w:t>
      </w:r>
      <w:r w:rsidRPr="00471CB6">
        <w:rPr>
          <w:rFonts w:asciiTheme="majorHAnsi" w:hAnsiTheme="majorHAnsi"/>
          <w:sz w:val="20"/>
          <w:szCs w:val="20"/>
        </w:rPr>
        <w:t>62778:2014?</w:t>
      </w:r>
    </w:p>
    <w:p w:rsidR="00AA0D33" w:rsidRPr="00960161" w:rsidRDefault="00AA0D33" w:rsidP="00471CB6">
      <w:pPr>
        <w:pStyle w:val="Bezodstpw"/>
        <w:jc w:val="both"/>
        <w:rPr>
          <w:rFonts w:asciiTheme="majorHAnsi" w:hAnsiTheme="majorHAnsi"/>
          <w:b/>
          <w:sz w:val="20"/>
          <w:szCs w:val="20"/>
        </w:rPr>
      </w:pPr>
      <w:r w:rsidRPr="00960161">
        <w:rPr>
          <w:rFonts w:asciiTheme="majorHAnsi" w:hAnsiTheme="majorHAnsi"/>
          <w:b/>
          <w:sz w:val="20"/>
          <w:szCs w:val="20"/>
        </w:rPr>
        <w:t>Odpowiedź:</w:t>
      </w:r>
    </w:p>
    <w:p w:rsidR="00AA0D33" w:rsidRDefault="007400B0" w:rsidP="00960161">
      <w:pPr>
        <w:pStyle w:val="Bezodstpw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7400B0">
        <w:rPr>
          <w:rFonts w:asciiTheme="majorHAnsi" w:hAnsiTheme="majorHAnsi"/>
          <w:sz w:val="20"/>
          <w:szCs w:val="20"/>
        </w:rPr>
        <w:t xml:space="preserve">Zamawiający nie wymaga uzupełnienia raportu z badań bezpieczeństwa fotobiologicznego na grupę 0 </w:t>
      </w:r>
      <w:r w:rsidR="00BA4C59">
        <w:rPr>
          <w:rFonts w:asciiTheme="majorHAnsi" w:hAnsiTheme="majorHAnsi"/>
          <w:sz w:val="20"/>
          <w:szCs w:val="20"/>
        </w:rPr>
        <w:br/>
      </w:r>
      <w:r w:rsidRPr="007400B0">
        <w:rPr>
          <w:rFonts w:asciiTheme="majorHAnsi" w:hAnsiTheme="majorHAnsi"/>
          <w:sz w:val="20"/>
          <w:szCs w:val="20"/>
        </w:rPr>
        <w:t>o raport IEC TR 62778:2014.</w:t>
      </w:r>
    </w:p>
    <w:p w:rsidR="007400B0" w:rsidRPr="007400B0" w:rsidRDefault="007400B0" w:rsidP="00960161">
      <w:pPr>
        <w:pStyle w:val="Bezodstpw"/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:rsidR="00AA0D33" w:rsidRPr="00BF6B44" w:rsidRDefault="00AA0D33" w:rsidP="00AA0D33">
      <w:pPr>
        <w:pStyle w:val="Bezodstpw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BF6B44">
        <w:rPr>
          <w:rFonts w:asciiTheme="majorHAnsi" w:hAnsiTheme="majorHAnsi"/>
          <w:b/>
          <w:sz w:val="20"/>
          <w:szCs w:val="20"/>
        </w:rPr>
        <w:t>Pytanie nr 11:</w:t>
      </w:r>
    </w:p>
    <w:p w:rsidR="00471CB6" w:rsidRPr="00BF6B44" w:rsidRDefault="00471CB6" w:rsidP="00471CB6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BF6B44">
        <w:rPr>
          <w:rFonts w:asciiTheme="majorHAnsi" w:hAnsiTheme="majorHAnsi"/>
          <w:sz w:val="20"/>
          <w:szCs w:val="20"/>
        </w:rPr>
        <w:t>W dokumentacji projektowej w punkcie 4.1 (tabela punkt 8) wskazano, że oprawy powinny spełniać: Grupa ryz</w:t>
      </w:r>
      <w:r w:rsidR="007400B0" w:rsidRPr="00BF6B44">
        <w:rPr>
          <w:rFonts w:asciiTheme="majorHAnsi" w:hAnsiTheme="majorHAnsi"/>
          <w:sz w:val="20"/>
          <w:szCs w:val="20"/>
        </w:rPr>
        <w:t>yka fotobiologicznego-</w:t>
      </w:r>
      <w:r w:rsidRPr="00BF6B44">
        <w:rPr>
          <w:rFonts w:asciiTheme="majorHAnsi" w:hAnsiTheme="majorHAnsi"/>
          <w:sz w:val="20"/>
          <w:szCs w:val="20"/>
        </w:rPr>
        <w:t>0 (RG0) Potwierdzone raportem z badań bezpieczeństwa fotobiologicznego, przeprowadzonego przez niezależne laboratorium badawcze na terenie Unii Europejskiej potwierdzających</w:t>
      </w:r>
      <w:r w:rsidR="00BA4C59" w:rsidRPr="00BF6B44">
        <w:rPr>
          <w:rFonts w:asciiTheme="majorHAnsi" w:hAnsiTheme="majorHAnsi"/>
          <w:sz w:val="20"/>
          <w:szCs w:val="20"/>
        </w:rPr>
        <w:t xml:space="preserve"> </w:t>
      </w:r>
      <w:r w:rsidRPr="00BF6B44">
        <w:rPr>
          <w:rFonts w:asciiTheme="majorHAnsi" w:hAnsiTheme="majorHAnsi"/>
          <w:sz w:val="20"/>
          <w:szCs w:val="20"/>
        </w:rPr>
        <w:t xml:space="preserve">spełnienie niniejszego wymagania. Zadeklarowanie grupy 0 w formularzu ofertowym wiąże się z </w:t>
      </w:r>
      <w:r w:rsidR="00BA4C59" w:rsidRPr="00BF6B44">
        <w:rPr>
          <w:rFonts w:asciiTheme="majorHAnsi" w:hAnsiTheme="majorHAnsi"/>
          <w:sz w:val="20"/>
          <w:szCs w:val="20"/>
        </w:rPr>
        <w:t xml:space="preserve">uzyskaniem </w:t>
      </w:r>
      <w:r w:rsidRPr="00BF6B44">
        <w:rPr>
          <w:rFonts w:asciiTheme="majorHAnsi" w:hAnsiTheme="majorHAnsi"/>
          <w:sz w:val="20"/>
          <w:szCs w:val="20"/>
        </w:rPr>
        <w:t xml:space="preserve">przez Wykonawcę dodatkowych punktów. Zamawiający jednak nie wymaga w SIWZ przedstawienia raportu z badań na </w:t>
      </w:r>
      <w:r w:rsidR="00BA4C59" w:rsidRPr="00BF6B44">
        <w:rPr>
          <w:rFonts w:asciiTheme="majorHAnsi" w:hAnsiTheme="majorHAnsi"/>
          <w:sz w:val="20"/>
          <w:szCs w:val="20"/>
        </w:rPr>
        <w:t>bezpieczeństwo</w:t>
      </w:r>
      <w:r w:rsidRPr="00BF6B44">
        <w:rPr>
          <w:rFonts w:asciiTheme="majorHAnsi" w:hAnsiTheme="majorHAnsi"/>
          <w:sz w:val="20"/>
          <w:szCs w:val="20"/>
        </w:rPr>
        <w:t xml:space="preserve"> fotobiologiczne, przez co niemożliwym jest potwierdzenie posiadania przez oprawy bezpieczeństwa fotobiologicznego w grupie ryzyka 0. Zasadnym jest aby dodać do Przedmiotowych Środków Dowodowych raportu z badania bezpieczeństwa </w:t>
      </w:r>
      <w:r w:rsidR="00BA4C59" w:rsidRPr="00BF6B44">
        <w:rPr>
          <w:rFonts w:asciiTheme="majorHAnsi" w:hAnsiTheme="majorHAnsi"/>
          <w:sz w:val="20"/>
          <w:szCs w:val="20"/>
        </w:rPr>
        <w:t>fotobiologicznego</w:t>
      </w:r>
      <w:r w:rsidRPr="00BF6B44">
        <w:rPr>
          <w:rFonts w:asciiTheme="majorHAnsi" w:hAnsiTheme="majorHAnsi"/>
          <w:sz w:val="20"/>
          <w:szCs w:val="20"/>
        </w:rPr>
        <w:t xml:space="preserve"> opraw, potwierdzającego spełnienie grupy ryzyka 0. Wnoszę zatem o rozszerzenie listy Przedmiotowych Środków Dowodowych o w/w raport. W razie nie wyrażenia zgody na proponowaną zmianę, proszę wskazać kiedy i w jaki sposób Wykonawca musi potwierdzić  grupę ryzyka 0 dla oferowanych opraw.</w:t>
      </w:r>
    </w:p>
    <w:p w:rsidR="00AA0D33" w:rsidRPr="00D25F35" w:rsidRDefault="00AA0D33" w:rsidP="00AA0D33">
      <w:pPr>
        <w:pStyle w:val="Bezodstpw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D25F35">
        <w:rPr>
          <w:rFonts w:asciiTheme="majorHAnsi" w:hAnsiTheme="majorHAnsi"/>
          <w:b/>
          <w:sz w:val="20"/>
          <w:szCs w:val="20"/>
        </w:rPr>
        <w:t>Odpowiedź:</w:t>
      </w:r>
    </w:p>
    <w:p w:rsidR="00BF6B44" w:rsidRPr="00D25F35" w:rsidRDefault="00565DF4" w:rsidP="00AA0D33">
      <w:pPr>
        <w:pStyle w:val="Bezodstpw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D25F35">
        <w:rPr>
          <w:rFonts w:asciiTheme="majorHAnsi" w:hAnsiTheme="majorHAnsi"/>
          <w:sz w:val="20"/>
          <w:szCs w:val="20"/>
        </w:rPr>
        <w:t>W</w:t>
      </w:r>
      <w:r w:rsidR="00BF6B44" w:rsidRPr="00D25F35">
        <w:rPr>
          <w:rFonts w:asciiTheme="majorHAnsi" w:hAnsiTheme="majorHAnsi"/>
          <w:sz w:val="20"/>
          <w:szCs w:val="20"/>
        </w:rPr>
        <w:t xml:space="preserve"> przypadku deklaracji w ofercie przez Oferenta, że oferowane oprawy oświetleniowe uliczne spełniają grupę ryzyka fotobiologicznego – 0 (RG0)</w:t>
      </w:r>
      <w:r w:rsidR="0013558F" w:rsidRPr="00D25F35">
        <w:rPr>
          <w:rFonts w:asciiTheme="majorHAnsi" w:hAnsiTheme="majorHAnsi"/>
          <w:sz w:val="20"/>
          <w:szCs w:val="20"/>
        </w:rPr>
        <w:t>,</w:t>
      </w:r>
      <w:r w:rsidR="00BF6B44" w:rsidRPr="00D25F35">
        <w:rPr>
          <w:rFonts w:asciiTheme="majorHAnsi" w:hAnsiTheme="majorHAnsi"/>
          <w:sz w:val="20"/>
          <w:szCs w:val="20"/>
        </w:rPr>
        <w:t xml:space="preserve"> należy </w:t>
      </w:r>
      <w:r w:rsidRPr="00D25F35">
        <w:rPr>
          <w:rFonts w:asciiTheme="majorHAnsi" w:hAnsiTheme="majorHAnsi"/>
          <w:sz w:val="20"/>
          <w:szCs w:val="20"/>
        </w:rPr>
        <w:t xml:space="preserve">załączyć do oferty </w:t>
      </w:r>
      <w:r w:rsidR="0013558F" w:rsidRPr="00D25F35">
        <w:rPr>
          <w:rFonts w:asciiTheme="majorHAnsi" w:hAnsiTheme="majorHAnsi"/>
          <w:sz w:val="20"/>
          <w:szCs w:val="20"/>
        </w:rPr>
        <w:t>raport z badań bezpieczeństwa fotobiologicznego, przeprowadzony przez niezależne laboratorium badawcze na terenie Unii Europejskiej zgodnie z normą PN-EN 62471:2010</w:t>
      </w:r>
    </w:p>
    <w:p w:rsidR="00AA220D" w:rsidRDefault="00AA220D" w:rsidP="00960161">
      <w:pPr>
        <w:pStyle w:val="Bezodstpw"/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:rsidR="00D25F35" w:rsidRDefault="00D25F35" w:rsidP="00960161">
      <w:pPr>
        <w:pStyle w:val="Bezodstpw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W związku z powyższym Zamawiający modyfikuje:</w:t>
      </w:r>
    </w:p>
    <w:p w:rsidR="00D25F35" w:rsidRDefault="00D25F35" w:rsidP="00960161">
      <w:pPr>
        <w:pStyle w:val="Bezodstpw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D25F35" w:rsidRDefault="00D25F35" w:rsidP="00960161">
      <w:pPr>
        <w:pStyle w:val="Bezodstpw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- treść rozdziału </w:t>
      </w:r>
      <w:r w:rsidR="00642CB2">
        <w:rPr>
          <w:rFonts w:asciiTheme="majorHAnsi" w:hAnsiTheme="majorHAnsi"/>
          <w:b/>
          <w:sz w:val="20"/>
          <w:szCs w:val="20"/>
        </w:rPr>
        <w:t>V</w:t>
      </w:r>
      <w:r>
        <w:rPr>
          <w:rFonts w:asciiTheme="majorHAnsi" w:hAnsiTheme="majorHAnsi"/>
          <w:b/>
          <w:sz w:val="20"/>
          <w:szCs w:val="20"/>
        </w:rPr>
        <w:t xml:space="preserve"> ust. 11 SWZ, który po modyfikacji otrzymuje brzmienie:</w:t>
      </w:r>
    </w:p>
    <w:p w:rsidR="00D25F35" w:rsidRDefault="00D25F35" w:rsidP="00960161">
      <w:pPr>
        <w:pStyle w:val="Bezodstpw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D25F35" w:rsidRPr="0028274D" w:rsidRDefault="00D25F35" w:rsidP="00D25F35">
      <w:pPr>
        <w:numPr>
          <w:ilvl w:val="0"/>
          <w:numId w:val="31"/>
        </w:numPr>
        <w:suppressAutoHyphens w:val="0"/>
        <w:autoSpaceDE w:val="0"/>
        <w:spacing w:after="0"/>
        <w:ind w:left="426" w:hanging="426"/>
        <w:jc w:val="both"/>
        <w:rPr>
          <w:rFonts w:ascii="Cambria" w:hAnsi="Cambria" w:cs="Arial"/>
          <w:b/>
          <w:sz w:val="20"/>
          <w:szCs w:val="20"/>
        </w:rPr>
      </w:pPr>
      <w:r w:rsidRPr="0028274D">
        <w:rPr>
          <w:rFonts w:ascii="Cambria" w:hAnsi="Cambria" w:cs="Arial"/>
          <w:b/>
          <w:sz w:val="20"/>
          <w:szCs w:val="20"/>
        </w:rPr>
        <w:t>Przedmiotowe środki dowodowe.</w:t>
      </w:r>
    </w:p>
    <w:p w:rsidR="00D25F35" w:rsidRPr="0028274D" w:rsidRDefault="00D25F35" w:rsidP="00D25F35">
      <w:pPr>
        <w:autoSpaceDE w:val="0"/>
        <w:ind w:left="426"/>
        <w:jc w:val="both"/>
        <w:rPr>
          <w:rFonts w:ascii="Cambria" w:hAnsi="Cambria" w:cs="Arial"/>
          <w:sz w:val="20"/>
          <w:szCs w:val="20"/>
        </w:rPr>
      </w:pPr>
    </w:p>
    <w:p w:rsidR="00D25F35" w:rsidRPr="0028274D" w:rsidRDefault="00D25F35" w:rsidP="00D25F35">
      <w:pPr>
        <w:numPr>
          <w:ilvl w:val="0"/>
          <w:numId w:val="33"/>
        </w:numPr>
        <w:suppressAutoHyphens w:val="0"/>
        <w:autoSpaceDE w:val="0"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28274D">
        <w:rPr>
          <w:rFonts w:ascii="Cambria" w:hAnsi="Cambria" w:cs="Arial"/>
          <w:sz w:val="20"/>
          <w:szCs w:val="20"/>
        </w:rPr>
        <w:lastRenderedPageBreak/>
        <w:t>W celu potwierdzenia spełniania przez Wykonawcę warunków udziału w postępowaniu, Zamawiający żąda złożenia wraz z ofertą następujących przedmiotowych środków dowodowych:</w:t>
      </w:r>
    </w:p>
    <w:p w:rsidR="00D25F35" w:rsidRPr="0028274D" w:rsidRDefault="00D25F35" w:rsidP="00D25F35">
      <w:pPr>
        <w:numPr>
          <w:ilvl w:val="0"/>
          <w:numId w:val="32"/>
        </w:numPr>
        <w:suppressAutoHyphens w:val="0"/>
        <w:autoSpaceDE w:val="0"/>
        <w:spacing w:after="0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28274D">
        <w:rPr>
          <w:rFonts w:ascii="Cambria" w:hAnsi="Cambria" w:cs="Arial"/>
          <w:sz w:val="20"/>
          <w:szCs w:val="20"/>
        </w:rPr>
        <w:t>obliczenia fotometryczne,</w:t>
      </w:r>
    </w:p>
    <w:p w:rsidR="00D25F35" w:rsidRPr="0028274D" w:rsidRDefault="00D25F35" w:rsidP="00D25F35">
      <w:pPr>
        <w:numPr>
          <w:ilvl w:val="0"/>
          <w:numId w:val="32"/>
        </w:numPr>
        <w:suppressAutoHyphens w:val="0"/>
        <w:autoSpaceDE w:val="0"/>
        <w:spacing w:after="0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28274D">
        <w:rPr>
          <w:rFonts w:ascii="Cambria" w:hAnsi="Cambria" w:cs="Arial"/>
          <w:sz w:val="20"/>
          <w:szCs w:val="20"/>
        </w:rPr>
        <w:t xml:space="preserve">deklaracje CE, </w:t>
      </w:r>
      <w:proofErr w:type="spellStart"/>
      <w:r w:rsidRPr="0028274D">
        <w:rPr>
          <w:rFonts w:ascii="Cambria" w:hAnsi="Cambria" w:cs="Arial"/>
          <w:sz w:val="20"/>
          <w:szCs w:val="20"/>
        </w:rPr>
        <w:t>RoHSE</w:t>
      </w:r>
      <w:proofErr w:type="spellEnd"/>
      <w:r w:rsidRPr="0028274D">
        <w:rPr>
          <w:rFonts w:ascii="Cambria" w:hAnsi="Cambria" w:cs="Arial"/>
          <w:sz w:val="20"/>
          <w:szCs w:val="20"/>
        </w:rPr>
        <w:t xml:space="preserve"> oraz certyfikat ENEC wraz z załącznikami potwierdzającymi listę certyfikowanych komponentów,</w:t>
      </w:r>
    </w:p>
    <w:p w:rsidR="00D25F35" w:rsidRDefault="00D25F35" w:rsidP="00D25F35">
      <w:pPr>
        <w:numPr>
          <w:ilvl w:val="0"/>
          <w:numId w:val="32"/>
        </w:numPr>
        <w:suppressAutoHyphens w:val="0"/>
        <w:autoSpaceDE w:val="0"/>
        <w:spacing w:after="0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28274D">
        <w:rPr>
          <w:rFonts w:ascii="Cambria" w:hAnsi="Cambria" w:cs="Arial"/>
          <w:sz w:val="20"/>
          <w:szCs w:val="20"/>
        </w:rPr>
        <w:t xml:space="preserve">kart katalogowych zastosowanych opraw oświetleniowych, </w:t>
      </w:r>
    </w:p>
    <w:p w:rsidR="00D25F35" w:rsidRPr="00D25F35" w:rsidRDefault="00D25F35" w:rsidP="00D25F35">
      <w:pPr>
        <w:numPr>
          <w:ilvl w:val="0"/>
          <w:numId w:val="32"/>
        </w:numPr>
        <w:suppressAutoHyphens w:val="0"/>
        <w:autoSpaceDE w:val="0"/>
        <w:spacing w:after="0"/>
        <w:ind w:left="993" w:hanging="284"/>
        <w:jc w:val="both"/>
        <w:rPr>
          <w:rFonts w:ascii="Cambria" w:hAnsi="Cambria" w:cs="Arial"/>
          <w:b/>
          <w:sz w:val="20"/>
          <w:szCs w:val="20"/>
        </w:rPr>
      </w:pPr>
      <w:r w:rsidRPr="00D25F35">
        <w:rPr>
          <w:rFonts w:ascii="Cambria" w:hAnsi="Cambria"/>
          <w:sz w:val="20"/>
        </w:rPr>
        <w:t xml:space="preserve">licencji/certyfikatu ENEC+ </w:t>
      </w:r>
      <w:r w:rsidRPr="00D25F35">
        <w:rPr>
          <w:rFonts w:ascii="Cambria" w:hAnsi="Cambria" w:cs="Arial"/>
          <w:sz w:val="20"/>
          <w:szCs w:val="20"/>
        </w:rPr>
        <w:t>wraz z załącznikami potwierdzającymi listę certyfikowanych komponentów</w:t>
      </w:r>
      <w:r w:rsidRPr="00D25F35">
        <w:rPr>
          <w:rFonts w:ascii="Cambria" w:hAnsi="Cambria"/>
          <w:sz w:val="20"/>
        </w:rPr>
        <w:t xml:space="preserve"> lub certyfikat równoważny oferowanych opraw,</w:t>
      </w:r>
    </w:p>
    <w:p w:rsidR="00D25F35" w:rsidRPr="00D25F35" w:rsidRDefault="00D25F35" w:rsidP="00D25F35">
      <w:pPr>
        <w:numPr>
          <w:ilvl w:val="0"/>
          <w:numId w:val="32"/>
        </w:numPr>
        <w:suppressAutoHyphens w:val="0"/>
        <w:autoSpaceDE w:val="0"/>
        <w:spacing w:after="0"/>
        <w:ind w:left="993" w:hanging="284"/>
        <w:jc w:val="both"/>
        <w:rPr>
          <w:rFonts w:ascii="Cambria" w:hAnsi="Cambria" w:cs="Arial"/>
          <w:b/>
          <w:sz w:val="20"/>
          <w:szCs w:val="20"/>
        </w:rPr>
      </w:pPr>
      <w:r w:rsidRPr="00D25F35">
        <w:rPr>
          <w:rFonts w:asciiTheme="majorHAnsi" w:hAnsiTheme="majorHAnsi"/>
          <w:b/>
          <w:sz w:val="20"/>
          <w:szCs w:val="20"/>
        </w:rPr>
        <w:t>raport z badań bezpieczeństwa fotobiologicznego przeprowadzony przez niezależne laboratorium badawcze na terenie Unii Europejskiej zgodnie z normą PN-EN 62471:2010 (w przypadku deklaracji w ofercie przez Oferenta, że oferowane oprawy oświetleniowe uliczne spełniają grupę ryzyka fotobiologicznego – 0 (RG0)).</w:t>
      </w:r>
    </w:p>
    <w:p w:rsidR="00D25F35" w:rsidRPr="00D25F35" w:rsidRDefault="00D25F35" w:rsidP="00D25F35">
      <w:pPr>
        <w:suppressAutoHyphens w:val="0"/>
        <w:autoSpaceDE w:val="0"/>
        <w:spacing w:after="0"/>
        <w:ind w:left="993"/>
        <w:jc w:val="both"/>
        <w:rPr>
          <w:rFonts w:ascii="Cambria" w:hAnsi="Cambria" w:cs="Arial"/>
          <w:b/>
          <w:sz w:val="20"/>
          <w:szCs w:val="20"/>
        </w:rPr>
      </w:pPr>
    </w:p>
    <w:p w:rsidR="00D25F35" w:rsidRDefault="00D25F35" w:rsidP="00D25F35">
      <w:pPr>
        <w:suppressAutoHyphens w:val="0"/>
        <w:autoSpaceDE w:val="0"/>
        <w:spacing w:after="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- treść rozdziału XIV ust. 9 SWZ, który po modyfikacji otrzymuje brzmienie:</w:t>
      </w:r>
    </w:p>
    <w:p w:rsidR="00D25F35" w:rsidRDefault="00D25F35" w:rsidP="00D25F35">
      <w:pPr>
        <w:suppressAutoHyphens w:val="0"/>
        <w:autoSpaceDE w:val="0"/>
        <w:spacing w:after="0"/>
        <w:jc w:val="both"/>
        <w:rPr>
          <w:rFonts w:asciiTheme="majorHAnsi" w:hAnsiTheme="majorHAnsi"/>
          <w:b/>
          <w:sz w:val="20"/>
          <w:szCs w:val="20"/>
        </w:rPr>
      </w:pPr>
    </w:p>
    <w:p w:rsidR="00D25F35" w:rsidRPr="00C27174" w:rsidRDefault="00D25F35" w:rsidP="00D25F35">
      <w:pPr>
        <w:pStyle w:val="pkt"/>
        <w:numPr>
          <w:ilvl w:val="0"/>
          <w:numId w:val="34"/>
        </w:numPr>
        <w:spacing w:line="276" w:lineRule="auto"/>
        <w:rPr>
          <w:rFonts w:ascii="Cambria" w:hAnsi="Cambria" w:cs="Arial"/>
          <w:b/>
          <w:sz w:val="20"/>
          <w:szCs w:val="20"/>
          <w:lang w:bidi="pl-PL"/>
        </w:rPr>
      </w:pPr>
      <w:r>
        <w:rPr>
          <w:rFonts w:ascii="Cambria" w:hAnsi="Cambria" w:cs="Arial"/>
          <w:b/>
          <w:sz w:val="20"/>
          <w:szCs w:val="20"/>
          <w:lang w:bidi="pl-PL"/>
        </w:rPr>
        <w:t>Ofertę należy złożyć z wymaganymi załącznikami</w:t>
      </w:r>
      <w:r w:rsidRPr="00C27174">
        <w:rPr>
          <w:rFonts w:ascii="Cambria" w:hAnsi="Cambria" w:cs="Arial"/>
          <w:b/>
          <w:sz w:val="20"/>
          <w:szCs w:val="20"/>
          <w:lang w:bidi="pl-PL"/>
        </w:rPr>
        <w:t>:</w:t>
      </w:r>
      <w:r>
        <w:rPr>
          <w:rFonts w:ascii="Cambria" w:hAnsi="Cambria" w:cs="Arial"/>
          <w:b/>
          <w:sz w:val="20"/>
          <w:szCs w:val="20"/>
          <w:lang w:bidi="pl-PL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3"/>
      </w:tblGrid>
      <w:tr w:rsidR="00D25F35" w:rsidRPr="00C27174" w:rsidTr="009B135F">
        <w:trPr>
          <w:trHeight w:val="496"/>
          <w:jc w:val="center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5F35" w:rsidRPr="00C27174" w:rsidRDefault="00D25F35" w:rsidP="009B135F">
            <w:pPr>
              <w:pStyle w:val="pkt"/>
              <w:ind w:left="75" w:firstLine="0"/>
              <w:rPr>
                <w:rFonts w:ascii="Cambria" w:hAnsi="Cambria" w:cs="Arial"/>
                <w:sz w:val="20"/>
                <w:szCs w:val="20"/>
                <w:lang w:val="x-none" w:bidi="pl-PL"/>
              </w:rPr>
            </w:pPr>
            <w:r w:rsidRPr="00C27174">
              <w:rPr>
                <w:rFonts w:ascii="Cambria" w:hAnsi="Cambria" w:cs="Arial"/>
                <w:sz w:val="20"/>
                <w:szCs w:val="20"/>
                <w:lang w:val="x-none" w:bidi="pl-PL"/>
              </w:rPr>
              <w:t>Oferta cenowa zgodna z załączonym drukiem „formularza oferty” – załącznik do SWZ</w:t>
            </w:r>
            <w:r w:rsidRPr="00C27174">
              <w:rPr>
                <w:rFonts w:ascii="Cambria" w:hAnsi="Cambria" w:cs="Arial"/>
                <w:sz w:val="20"/>
                <w:szCs w:val="20"/>
                <w:lang w:bidi="pl-PL"/>
              </w:rPr>
              <w:t xml:space="preserve">, która zawiera cenę </w:t>
            </w:r>
            <w:r w:rsidRPr="00C27174">
              <w:rPr>
                <w:rFonts w:ascii="Cambria" w:hAnsi="Cambria" w:cs="Arial"/>
                <w:iCs/>
                <w:sz w:val="20"/>
                <w:szCs w:val="20"/>
                <w:lang w:bidi="pl-PL"/>
              </w:rPr>
              <w:t xml:space="preserve">wyliczoną w sposób opisany w </w:t>
            </w:r>
            <w:r>
              <w:rPr>
                <w:rFonts w:ascii="Cambria" w:hAnsi="Cambria" w:cs="Arial"/>
                <w:iCs/>
                <w:sz w:val="20"/>
                <w:szCs w:val="20"/>
                <w:lang w:bidi="pl-PL"/>
              </w:rPr>
              <w:t>rozdziale</w:t>
            </w:r>
            <w:r w:rsidRPr="00C27174">
              <w:rPr>
                <w:rFonts w:ascii="Cambria" w:hAnsi="Cambria" w:cs="Arial"/>
                <w:iCs/>
                <w:sz w:val="20"/>
                <w:szCs w:val="20"/>
                <w:lang w:bidi="pl-PL"/>
              </w:rPr>
              <w:t xml:space="preserve"> XVII SWZ. </w:t>
            </w:r>
          </w:p>
        </w:tc>
      </w:tr>
      <w:tr w:rsidR="00D25F35" w:rsidRPr="00C27174" w:rsidTr="009B135F">
        <w:trPr>
          <w:trHeight w:val="496"/>
          <w:jc w:val="center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5F35" w:rsidRPr="0028274D" w:rsidRDefault="00D25F35" w:rsidP="009B135F">
            <w:pPr>
              <w:pStyle w:val="pkt"/>
              <w:ind w:left="75" w:firstLine="0"/>
              <w:rPr>
                <w:rFonts w:ascii="Cambria" w:hAnsi="Cambria" w:cs="Arial"/>
                <w:sz w:val="20"/>
                <w:szCs w:val="20"/>
                <w:lang w:bidi="pl-PL"/>
              </w:rPr>
            </w:pPr>
            <w:r w:rsidRPr="0028274D">
              <w:rPr>
                <w:rFonts w:ascii="Cambria" w:hAnsi="Cambria" w:cs="Arial"/>
                <w:sz w:val="20"/>
                <w:szCs w:val="20"/>
                <w:lang w:bidi="pl-PL"/>
              </w:rPr>
              <w:t>Załącznik 1</w:t>
            </w:r>
            <w:r w:rsidRPr="0028274D">
              <w:rPr>
                <w:rFonts w:ascii="Cambria" w:hAnsi="Cambria" w:cs="Arial"/>
                <w:sz w:val="20"/>
                <w:szCs w:val="20"/>
                <w:lang w:val="x-none" w:bidi="pl-PL"/>
              </w:rPr>
              <w:t>a wraz z obliczeniami fotometrycznymi</w:t>
            </w:r>
            <w:r w:rsidRPr="0028274D">
              <w:rPr>
                <w:rFonts w:ascii="Cambria" w:hAnsi="Cambria" w:cs="Arial"/>
                <w:sz w:val="20"/>
                <w:szCs w:val="20"/>
                <w:lang w:bidi="pl-PL"/>
              </w:rPr>
              <w:t xml:space="preserve">, kartami katalogowymi, </w:t>
            </w:r>
            <w:r w:rsidRPr="0028274D">
              <w:rPr>
                <w:rFonts w:ascii="Cambria" w:hAnsi="Cambria" w:cs="Arial"/>
                <w:sz w:val="20"/>
                <w:szCs w:val="20"/>
              </w:rPr>
              <w:t xml:space="preserve">deklaracje CE, </w:t>
            </w:r>
            <w:proofErr w:type="spellStart"/>
            <w:r w:rsidRPr="0028274D">
              <w:rPr>
                <w:rFonts w:ascii="Cambria" w:hAnsi="Cambria" w:cs="Arial"/>
                <w:sz w:val="20"/>
                <w:szCs w:val="20"/>
              </w:rPr>
              <w:t>RoHSE</w:t>
            </w:r>
            <w:proofErr w:type="spellEnd"/>
            <w:r w:rsidRPr="0028274D">
              <w:rPr>
                <w:rFonts w:ascii="Cambria" w:hAnsi="Cambria" w:cs="Arial"/>
                <w:sz w:val="20"/>
                <w:szCs w:val="20"/>
                <w:lang w:bidi="pl-PL"/>
              </w:rPr>
              <w:t xml:space="preserve">, certyfikatami ENEC </w:t>
            </w:r>
            <w:r w:rsidRPr="0028274D">
              <w:rPr>
                <w:rFonts w:ascii="Cambria" w:hAnsi="Cambria" w:cs="Arial"/>
                <w:sz w:val="20"/>
                <w:szCs w:val="20"/>
              </w:rPr>
              <w:t xml:space="preserve">wraz z załącznikami </w:t>
            </w:r>
            <w:r w:rsidRPr="0028274D">
              <w:rPr>
                <w:rFonts w:ascii="Cambria" w:hAnsi="Cambria" w:cs="Arial"/>
                <w:sz w:val="20"/>
                <w:szCs w:val="20"/>
                <w:lang w:bidi="pl-PL"/>
              </w:rPr>
              <w:t>(lub równoważne) proponowanych opraw oświetleniowych</w:t>
            </w:r>
            <w:r w:rsidRPr="0028274D">
              <w:rPr>
                <w:rFonts w:ascii="Cambria" w:hAnsi="Cambria" w:cs="Arial"/>
                <w:sz w:val="20"/>
                <w:szCs w:val="20"/>
              </w:rPr>
              <w:t xml:space="preserve"> potwierdzającymi listę certyfikowanych komponentów</w:t>
            </w:r>
            <w:r w:rsidRPr="0028274D">
              <w:rPr>
                <w:rFonts w:ascii="Cambria" w:hAnsi="Cambria" w:cs="Arial"/>
                <w:sz w:val="20"/>
                <w:szCs w:val="20"/>
                <w:lang w:val="x-none" w:bidi="pl-PL"/>
              </w:rPr>
              <w:t xml:space="preserve"> zgodnie z wymaganiami określonymi w SWZ. </w:t>
            </w:r>
            <w:r w:rsidRPr="0028274D">
              <w:rPr>
                <w:rFonts w:ascii="Cambria" w:hAnsi="Cambria" w:cs="Arial"/>
                <w:sz w:val="20"/>
                <w:szCs w:val="20"/>
                <w:lang w:bidi="pl-PL"/>
              </w:rPr>
              <w:t>Karty katalogowe i certyfikaty muszą być zgodne z przedstawionymi obliczeniami fotometrycznymi.</w:t>
            </w:r>
          </w:p>
          <w:p w:rsidR="00D25F35" w:rsidRPr="00C27174" w:rsidRDefault="00D25F35" w:rsidP="009B135F">
            <w:pPr>
              <w:pStyle w:val="pkt"/>
              <w:ind w:left="75" w:firstLine="0"/>
              <w:rPr>
                <w:rFonts w:ascii="Cambria" w:hAnsi="Cambria" w:cs="Arial"/>
                <w:sz w:val="20"/>
                <w:szCs w:val="20"/>
                <w:lang w:bidi="pl-PL"/>
              </w:rPr>
            </w:pPr>
            <w:r w:rsidRPr="0028274D">
              <w:rPr>
                <w:rFonts w:ascii="Cambria" w:hAnsi="Cambria" w:cs="Arial"/>
                <w:sz w:val="20"/>
                <w:szCs w:val="20"/>
                <w:lang w:val="x-none" w:bidi="pl-PL"/>
              </w:rPr>
              <w:t>W przypadku nie złożenia obliczeń fotometrycznych</w:t>
            </w:r>
            <w:r w:rsidRPr="0028274D">
              <w:rPr>
                <w:rFonts w:ascii="Cambria" w:hAnsi="Cambria" w:cs="Arial"/>
                <w:sz w:val="20"/>
                <w:szCs w:val="20"/>
                <w:lang w:bidi="pl-PL"/>
              </w:rPr>
              <w:t xml:space="preserve">, </w:t>
            </w:r>
            <w:r w:rsidRPr="0028274D">
              <w:rPr>
                <w:rFonts w:ascii="Cambria" w:hAnsi="Cambria" w:cs="Arial"/>
                <w:sz w:val="20"/>
                <w:szCs w:val="20"/>
                <w:lang w:val="x-none" w:bidi="pl-PL"/>
              </w:rPr>
              <w:t>kart katalogowych</w:t>
            </w:r>
            <w:r w:rsidRPr="0028274D">
              <w:rPr>
                <w:rFonts w:ascii="Cambria" w:hAnsi="Cambria" w:cs="Arial"/>
                <w:sz w:val="20"/>
                <w:szCs w:val="20"/>
                <w:lang w:bidi="pl-PL"/>
              </w:rPr>
              <w:t xml:space="preserve">, </w:t>
            </w:r>
            <w:r w:rsidRPr="0028274D">
              <w:rPr>
                <w:rFonts w:ascii="Cambria" w:hAnsi="Cambria" w:cs="Arial"/>
                <w:sz w:val="20"/>
                <w:szCs w:val="20"/>
              </w:rPr>
              <w:t xml:space="preserve">deklaracje CE, </w:t>
            </w:r>
            <w:proofErr w:type="spellStart"/>
            <w:r w:rsidRPr="0028274D">
              <w:rPr>
                <w:rFonts w:ascii="Cambria" w:hAnsi="Cambria" w:cs="Arial"/>
                <w:sz w:val="20"/>
                <w:szCs w:val="20"/>
              </w:rPr>
              <w:t>RoHSE</w:t>
            </w:r>
            <w:proofErr w:type="spellEnd"/>
            <w:r w:rsidRPr="0028274D">
              <w:rPr>
                <w:rFonts w:ascii="Cambria" w:hAnsi="Cambria" w:cs="Arial"/>
                <w:sz w:val="20"/>
                <w:szCs w:val="20"/>
              </w:rPr>
              <w:t>,</w:t>
            </w:r>
            <w:r w:rsidRPr="0028274D">
              <w:rPr>
                <w:rFonts w:ascii="Cambria" w:hAnsi="Cambria" w:cs="Arial"/>
                <w:sz w:val="20"/>
                <w:szCs w:val="20"/>
                <w:lang w:bidi="pl-PL"/>
              </w:rPr>
              <w:t xml:space="preserve"> certyfikatów ENEC </w:t>
            </w:r>
            <w:r w:rsidRPr="0028274D">
              <w:rPr>
                <w:rFonts w:ascii="Cambria" w:hAnsi="Cambria" w:cs="Arial"/>
                <w:sz w:val="20"/>
                <w:szCs w:val="20"/>
              </w:rPr>
              <w:t xml:space="preserve">wraz z załącznikami </w:t>
            </w:r>
            <w:r w:rsidRPr="0028274D">
              <w:rPr>
                <w:rFonts w:ascii="Cambria" w:hAnsi="Cambria" w:cs="Arial"/>
                <w:sz w:val="20"/>
                <w:szCs w:val="20"/>
                <w:lang w:bidi="pl-PL"/>
              </w:rPr>
              <w:t>(lub równoważne)</w:t>
            </w:r>
            <w:r w:rsidRPr="0028274D">
              <w:rPr>
                <w:rFonts w:ascii="Cambria" w:hAnsi="Cambria" w:cs="Arial"/>
                <w:sz w:val="20"/>
                <w:szCs w:val="20"/>
                <w:lang w:val="x-none" w:bidi="pl-PL"/>
              </w:rPr>
              <w:t xml:space="preserve"> proponowanych opraw oświetleniowych</w:t>
            </w:r>
            <w:r>
              <w:rPr>
                <w:rFonts w:ascii="Cambria" w:hAnsi="Cambria" w:cs="Arial"/>
                <w:sz w:val="20"/>
                <w:szCs w:val="20"/>
                <w:lang w:bidi="pl-PL"/>
              </w:rPr>
              <w:t xml:space="preserve">, </w:t>
            </w:r>
            <w:r w:rsidRPr="00D25F35">
              <w:rPr>
                <w:rFonts w:asciiTheme="majorHAnsi" w:hAnsiTheme="majorHAnsi"/>
                <w:b/>
                <w:sz w:val="20"/>
                <w:szCs w:val="20"/>
              </w:rPr>
              <w:t>raport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u</w:t>
            </w:r>
            <w:r w:rsidRPr="00D25F35">
              <w:rPr>
                <w:rFonts w:asciiTheme="majorHAnsi" w:hAnsiTheme="majorHAnsi"/>
                <w:b/>
                <w:sz w:val="20"/>
                <w:szCs w:val="20"/>
              </w:rPr>
              <w:t xml:space="preserve"> z badań bezpieczeństwa fotobiologicznego</w:t>
            </w:r>
            <w:r>
              <w:rPr>
                <w:rFonts w:ascii="Cambria" w:hAnsi="Cambria" w:cs="Arial"/>
                <w:sz w:val="20"/>
                <w:szCs w:val="20"/>
                <w:lang w:bidi="pl-PL"/>
              </w:rPr>
              <w:t xml:space="preserve"> </w:t>
            </w:r>
            <w:r w:rsidRPr="0028274D">
              <w:rPr>
                <w:rFonts w:ascii="Cambria" w:hAnsi="Cambria" w:cs="Arial"/>
                <w:sz w:val="20"/>
                <w:szCs w:val="20"/>
                <w:lang w:val="x-none" w:bidi="pl-PL"/>
              </w:rPr>
              <w:t xml:space="preserve">wraz z ofertą lub złożenia </w:t>
            </w:r>
            <w:r w:rsidRPr="0028274D">
              <w:rPr>
                <w:rFonts w:ascii="Cambria" w:hAnsi="Cambria" w:cs="Arial"/>
                <w:sz w:val="20"/>
                <w:szCs w:val="20"/>
                <w:lang w:bidi="pl-PL"/>
              </w:rPr>
              <w:t>dokumentów</w:t>
            </w:r>
            <w:r w:rsidRPr="0028274D">
              <w:rPr>
                <w:rFonts w:ascii="Cambria" w:hAnsi="Cambria" w:cs="Arial"/>
                <w:sz w:val="20"/>
                <w:szCs w:val="20"/>
                <w:lang w:val="x-none" w:bidi="pl-PL"/>
              </w:rPr>
              <w:t xml:space="preserve"> niezgodnych z wymaganiami SWZ</w:t>
            </w:r>
            <w:r w:rsidRPr="0028274D">
              <w:rPr>
                <w:rFonts w:ascii="Cambria" w:hAnsi="Cambria" w:cs="Arial"/>
                <w:sz w:val="20"/>
                <w:szCs w:val="20"/>
                <w:lang w:bidi="pl-PL"/>
              </w:rPr>
              <w:t>,</w:t>
            </w:r>
            <w:r w:rsidRPr="0028274D">
              <w:rPr>
                <w:rFonts w:ascii="Cambria" w:hAnsi="Cambria" w:cs="Arial"/>
                <w:sz w:val="20"/>
                <w:szCs w:val="20"/>
                <w:lang w:val="x-none" w:bidi="pl-PL"/>
              </w:rPr>
              <w:t xml:space="preserve"> oferta nie podlega uzupełnieniu w trybie art. </w:t>
            </w:r>
            <w:r w:rsidRPr="0028274D">
              <w:rPr>
                <w:rFonts w:ascii="Cambria" w:hAnsi="Cambria" w:cs="Arial"/>
                <w:sz w:val="20"/>
                <w:szCs w:val="20"/>
                <w:lang w:bidi="pl-PL"/>
              </w:rPr>
              <w:t>128</w:t>
            </w:r>
            <w:r w:rsidRPr="0028274D">
              <w:rPr>
                <w:rFonts w:ascii="Cambria" w:hAnsi="Cambria" w:cs="Arial"/>
                <w:sz w:val="20"/>
                <w:szCs w:val="20"/>
                <w:lang w:val="x-none" w:bidi="pl-PL"/>
              </w:rPr>
              <w:t xml:space="preserve"> ust. </w:t>
            </w:r>
            <w:r w:rsidRPr="0028274D">
              <w:rPr>
                <w:rFonts w:ascii="Cambria" w:hAnsi="Cambria" w:cs="Arial"/>
                <w:sz w:val="20"/>
                <w:szCs w:val="20"/>
                <w:lang w:bidi="pl-PL"/>
              </w:rPr>
              <w:t>1</w:t>
            </w:r>
            <w:r w:rsidRPr="0028274D">
              <w:rPr>
                <w:rFonts w:ascii="Cambria" w:hAnsi="Cambria" w:cs="Arial"/>
                <w:sz w:val="20"/>
                <w:szCs w:val="20"/>
                <w:lang w:val="x-none" w:bidi="pl-PL"/>
              </w:rPr>
              <w:t xml:space="preserve"> ustawy </w:t>
            </w:r>
            <w:proofErr w:type="spellStart"/>
            <w:r w:rsidRPr="0028274D">
              <w:rPr>
                <w:rFonts w:ascii="Cambria" w:hAnsi="Cambria" w:cs="Arial"/>
                <w:sz w:val="20"/>
                <w:szCs w:val="20"/>
                <w:lang w:val="x-none" w:bidi="pl-PL"/>
              </w:rPr>
              <w:t>Pzp</w:t>
            </w:r>
            <w:proofErr w:type="spellEnd"/>
            <w:r w:rsidRPr="0028274D">
              <w:rPr>
                <w:rFonts w:ascii="Cambria" w:hAnsi="Cambria" w:cs="Arial"/>
                <w:sz w:val="20"/>
                <w:szCs w:val="20"/>
                <w:lang w:bidi="pl-PL"/>
              </w:rPr>
              <w:t xml:space="preserve"> </w:t>
            </w:r>
            <w:r w:rsidRPr="0028274D">
              <w:rPr>
                <w:rFonts w:ascii="Cambria" w:hAnsi="Cambria" w:cs="Arial"/>
                <w:sz w:val="20"/>
                <w:szCs w:val="20"/>
                <w:lang w:val="x-none" w:bidi="pl-PL"/>
              </w:rPr>
              <w:t>i zostanie odrzucona.</w:t>
            </w:r>
          </w:p>
        </w:tc>
      </w:tr>
      <w:tr w:rsidR="00D25F35" w:rsidRPr="00C27174" w:rsidTr="009B135F">
        <w:trPr>
          <w:trHeight w:val="496"/>
          <w:jc w:val="center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5F35" w:rsidRPr="00C27174" w:rsidRDefault="00D25F35" w:rsidP="009B135F">
            <w:pPr>
              <w:pStyle w:val="pkt"/>
              <w:ind w:left="75" w:firstLine="0"/>
              <w:rPr>
                <w:rFonts w:ascii="Cambria" w:hAnsi="Cambria" w:cs="Arial"/>
                <w:sz w:val="20"/>
                <w:szCs w:val="20"/>
                <w:lang w:val="x-none" w:bidi="pl-PL"/>
              </w:rPr>
            </w:pPr>
            <w:r w:rsidRPr="00C27174">
              <w:rPr>
                <w:rFonts w:ascii="Cambria" w:hAnsi="Cambria" w:cs="Arial"/>
                <w:sz w:val="20"/>
                <w:szCs w:val="20"/>
                <w:lang w:bidi="pl-PL"/>
              </w:rPr>
              <w:t>Oświadczenia JEDZ, o których mowa w</w:t>
            </w:r>
            <w:r>
              <w:rPr>
                <w:rFonts w:ascii="Cambria" w:hAnsi="Cambria" w:cs="Arial"/>
                <w:sz w:val="20"/>
                <w:szCs w:val="20"/>
                <w:lang w:bidi="pl-PL"/>
              </w:rPr>
              <w:t xml:space="preserve"> </w:t>
            </w:r>
            <w:r w:rsidRPr="00C27174">
              <w:rPr>
                <w:rFonts w:ascii="Cambria" w:hAnsi="Cambria" w:cs="Arial"/>
                <w:sz w:val="20"/>
                <w:szCs w:val="20"/>
                <w:lang w:bidi="pl-PL"/>
              </w:rPr>
              <w:t>rozdziale V ust. 2 SWZ</w:t>
            </w:r>
            <w:r>
              <w:rPr>
                <w:rFonts w:ascii="Cambria" w:hAnsi="Cambria" w:cs="Arial"/>
                <w:sz w:val="20"/>
                <w:szCs w:val="20"/>
                <w:lang w:bidi="pl-PL"/>
              </w:rPr>
              <w:t xml:space="preserve"> </w:t>
            </w:r>
            <w:r w:rsidRPr="00C27174">
              <w:rPr>
                <w:rFonts w:ascii="Cambria" w:hAnsi="Cambria" w:cs="Arial"/>
                <w:sz w:val="20"/>
                <w:szCs w:val="20"/>
                <w:lang w:bidi="pl-PL"/>
              </w:rPr>
              <w:t>(załącznik do SWZ)</w:t>
            </w:r>
          </w:p>
        </w:tc>
      </w:tr>
      <w:tr w:rsidR="00D25F35" w:rsidRPr="00C27174" w:rsidTr="009B135F">
        <w:trPr>
          <w:trHeight w:val="496"/>
          <w:jc w:val="center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5F35" w:rsidRPr="00C27174" w:rsidRDefault="00D25F35" w:rsidP="009B135F">
            <w:pPr>
              <w:pStyle w:val="pkt"/>
              <w:ind w:left="75" w:firstLine="0"/>
              <w:rPr>
                <w:rFonts w:ascii="Cambria" w:hAnsi="Cambria" w:cs="Arial"/>
                <w:sz w:val="20"/>
                <w:szCs w:val="20"/>
                <w:lang w:val="x-none" w:bidi="pl-PL"/>
              </w:rPr>
            </w:pPr>
            <w:r w:rsidRPr="00C27174">
              <w:rPr>
                <w:rFonts w:ascii="Cambria" w:hAnsi="Cambria" w:cs="Arial"/>
                <w:sz w:val="20"/>
                <w:szCs w:val="20"/>
                <w:lang w:bidi="pl-PL"/>
              </w:rPr>
              <w:t xml:space="preserve">Pełnomocnictwo - Jeżeli oferta wraz z oświadczeniami składana jest przez pełnomocnika należy do oferty załączyć pełnomocnictwo upoważniające pełnomocnika do tej czynności. </w:t>
            </w:r>
          </w:p>
        </w:tc>
      </w:tr>
      <w:tr w:rsidR="00D25F35" w:rsidRPr="00C27174" w:rsidTr="009B135F">
        <w:trPr>
          <w:trHeight w:val="496"/>
          <w:jc w:val="center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5F35" w:rsidRPr="00C27174" w:rsidRDefault="00D25F35" w:rsidP="009B135F">
            <w:pPr>
              <w:pStyle w:val="pkt"/>
              <w:ind w:left="75" w:firstLine="0"/>
              <w:rPr>
                <w:rFonts w:ascii="Cambria" w:hAnsi="Cambria" w:cs="Arial"/>
                <w:sz w:val="20"/>
                <w:szCs w:val="20"/>
                <w:lang w:bidi="pl-PL"/>
              </w:rPr>
            </w:pPr>
            <w:r w:rsidRPr="00C27174">
              <w:rPr>
                <w:rFonts w:ascii="Cambria" w:hAnsi="Cambria" w:cs="Arial"/>
                <w:sz w:val="20"/>
                <w:szCs w:val="20"/>
                <w:lang w:bidi="pl-PL"/>
              </w:rPr>
              <w:t>Pełnomocnictwo dla pełnomocnika do reprezentowania w postępowaniu Wykonawców wspólnie ubiegających się o udzielenie zamówienia - dotyczy ofert składanych przez Wykonawców wspólnie ubiegających się o udzielenie zamówienia</w:t>
            </w:r>
            <w:r>
              <w:rPr>
                <w:rFonts w:ascii="Cambria" w:hAnsi="Cambria" w:cs="Arial"/>
                <w:sz w:val="20"/>
                <w:szCs w:val="20"/>
                <w:lang w:bidi="pl-PL"/>
              </w:rPr>
              <w:t>.</w:t>
            </w:r>
          </w:p>
        </w:tc>
      </w:tr>
      <w:tr w:rsidR="00D25F35" w:rsidRPr="00C27174" w:rsidTr="009B135F">
        <w:trPr>
          <w:trHeight w:val="254"/>
          <w:jc w:val="center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5F35" w:rsidRPr="00C27174" w:rsidRDefault="00D25F35" w:rsidP="009B135F">
            <w:pPr>
              <w:pStyle w:val="pkt"/>
              <w:ind w:left="75" w:firstLine="0"/>
              <w:rPr>
                <w:rFonts w:ascii="Cambria" w:hAnsi="Cambria" w:cs="Arial"/>
                <w:sz w:val="20"/>
                <w:szCs w:val="20"/>
                <w:lang w:val="x-none" w:bidi="pl-PL"/>
              </w:rPr>
            </w:pPr>
            <w:r w:rsidRPr="003C0EF8">
              <w:rPr>
                <w:rFonts w:ascii="Cambria" w:hAnsi="Cambria" w:cs="Arial"/>
                <w:sz w:val="20"/>
                <w:szCs w:val="20"/>
                <w:lang w:bidi="pl-PL"/>
              </w:rPr>
              <w:t xml:space="preserve">Wykonawca, który polega na zasobach innych podmiotów składa wraz z ofertą oświadczenie podmiotu o udostępnieniu zasobów wskazujące na okoliczności opisane w rozdziale V ust. 5 SWZ oraz oświadczenia podmiotu udostępniającego zasoby potwierdzające brak podstaw wykluczenia tego podmiotu oraz odpowiednio spełnianie </w:t>
            </w:r>
            <w:r>
              <w:rPr>
                <w:rFonts w:ascii="Cambria" w:hAnsi="Cambria" w:cs="Arial"/>
                <w:sz w:val="20"/>
                <w:szCs w:val="20"/>
                <w:lang w:bidi="pl-PL"/>
              </w:rPr>
              <w:t>warunków udziału w postępowaniu,</w:t>
            </w:r>
            <w:r w:rsidRPr="003C0EF8">
              <w:rPr>
                <w:rFonts w:ascii="Cambria" w:hAnsi="Cambria" w:cs="Arial"/>
                <w:sz w:val="20"/>
                <w:szCs w:val="20"/>
                <w:lang w:bidi="pl-PL"/>
              </w:rPr>
              <w:t xml:space="preserve"> o których mowa </w:t>
            </w:r>
            <w:r>
              <w:rPr>
                <w:rFonts w:ascii="Cambria" w:hAnsi="Cambria" w:cs="Arial"/>
                <w:sz w:val="20"/>
                <w:szCs w:val="20"/>
                <w:lang w:bidi="pl-PL"/>
              </w:rPr>
              <w:br/>
            </w:r>
            <w:r w:rsidRPr="003C0EF8">
              <w:rPr>
                <w:rFonts w:ascii="Cambria" w:hAnsi="Cambria" w:cs="Arial"/>
                <w:sz w:val="20"/>
                <w:szCs w:val="20"/>
                <w:lang w:bidi="pl-PL"/>
              </w:rPr>
              <w:t>w Rozdziale V ust. 1</w:t>
            </w:r>
            <w:r>
              <w:rPr>
                <w:rFonts w:ascii="Cambria" w:hAnsi="Cambria" w:cs="Arial"/>
                <w:sz w:val="20"/>
                <w:szCs w:val="20"/>
                <w:lang w:bidi="pl-PL"/>
              </w:rPr>
              <w:t>.</w:t>
            </w:r>
          </w:p>
        </w:tc>
      </w:tr>
      <w:tr w:rsidR="00D25F35" w:rsidRPr="00C27174" w:rsidTr="009B135F">
        <w:trPr>
          <w:trHeight w:val="254"/>
          <w:jc w:val="center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5F35" w:rsidRPr="00C27174" w:rsidRDefault="00D25F35" w:rsidP="009B135F">
            <w:pPr>
              <w:pStyle w:val="pkt"/>
              <w:ind w:left="75" w:firstLine="0"/>
              <w:rPr>
                <w:rFonts w:ascii="Cambria" w:hAnsi="Cambria" w:cs="Arial"/>
                <w:sz w:val="20"/>
                <w:szCs w:val="20"/>
                <w:lang w:bidi="pl-PL"/>
              </w:rPr>
            </w:pPr>
            <w:r w:rsidRPr="003C0EF8">
              <w:rPr>
                <w:rFonts w:ascii="Cambria" w:hAnsi="Cambria" w:cs="Arial"/>
                <w:sz w:val="20"/>
                <w:szCs w:val="20"/>
                <w:lang w:bidi="pl-PL"/>
              </w:rPr>
              <w:t xml:space="preserve">Wykonawcy wspólnie ubiegający się o udzielenie zamówienia dołączają do oferty oświadczenie, </w:t>
            </w:r>
            <w:r>
              <w:rPr>
                <w:rFonts w:ascii="Cambria" w:hAnsi="Cambria" w:cs="Arial"/>
                <w:sz w:val="20"/>
                <w:szCs w:val="20"/>
                <w:lang w:bidi="pl-PL"/>
              </w:rPr>
              <w:br/>
            </w:r>
            <w:r w:rsidRPr="003C0EF8">
              <w:rPr>
                <w:rFonts w:ascii="Cambria" w:hAnsi="Cambria" w:cs="Arial"/>
                <w:sz w:val="20"/>
                <w:szCs w:val="20"/>
                <w:lang w:bidi="pl-PL"/>
              </w:rPr>
              <w:t>z którego wynika jaki zakres rzeczowy wykonania zamówienia real</w:t>
            </w:r>
            <w:r>
              <w:rPr>
                <w:rFonts w:ascii="Cambria" w:hAnsi="Cambria" w:cs="Arial"/>
                <w:sz w:val="20"/>
                <w:szCs w:val="20"/>
                <w:lang w:bidi="pl-PL"/>
              </w:rPr>
              <w:t>izować zamierzają poszczególni W</w:t>
            </w:r>
            <w:r w:rsidRPr="003C0EF8">
              <w:rPr>
                <w:rFonts w:ascii="Cambria" w:hAnsi="Cambria" w:cs="Arial"/>
                <w:sz w:val="20"/>
                <w:szCs w:val="20"/>
                <w:lang w:bidi="pl-PL"/>
              </w:rPr>
              <w:t>ykonawcy</w:t>
            </w:r>
            <w:r>
              <w:rPr>
                <w:rFonts w:ascii="Cambria" w:hAnsi="Cambria" w:cs="Arial"/>
                <w:sz w:val="20"/>
                <w:szCs w:val="20"/>
                <w:lang w:bidi="pl-PL"/>
              </w:rPr>
              <w:t>.</w:t>
            </w:r>
          </w:p>
        </w:tc>
      </w:tr>
      <w:tr w:rsidR="00D25F35" w:rsidRPr="00C27174" w:rsidTr="009B135F">
        <w:trPr>
          <w:trHeight w:val="496"/>
          <w:jc w:val="center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25F35" w:rsidRPr="00C27174" w:rsidRDefault="00D25F35" w:rsidP="009B135F">
            <w:pPr>
              <w:pStyle w:val="pkt"/>
              <w:ind w:left="75" w:firstLine="0"/>
              <w:rPr>
                <w:rFonts w:ascii="Cambria" w:hAnsi="Cambria" w:cs="Arial"/>
                <w:sz w:val="20"/>
                <w:szCs w:val="20"/>
                <w:lang w:val="x-none" w:bidi="pl-PL"/>
              </w:rPr>
            </w:pPr>
            <w:r w:rsidRPr="00C27174">
              <w:rPr>
                <w:rFonts w:ascii="Cambria" w:hAnsi="Cambria" w:cs="Arial"/>
                <w:sz w:val="20"/>
                <w:szCs w:val="20"/>
                <w:lang w:bidi="pl-PL"/>
              </w:rPr>
              <w:t>Oryginał wniesienia wadium, jeżeli zabezpieczenie wadialne zostało wniesione w formie niepieniężnej.</w:t>
            </w:r>
          </w:p>
        </w:tc>
      </w:tr>
    </w:tbl>
    <w:p w:rsidR="00D25F35" w:rsidRPr="00D25F35" w:rsidRDefault="00D25F35" w:rsidP="00D25F35">
      <w:pPr>
        <w:suppressAutoHyphens w:val="0"/>
        <w:autoSpaceDE w:val="0"/>
        <w:spacing w:after="0"/>
        <w:jc w:val="both"/>
        <w:rPr>
          <w:rFonts w:ascii="Cambria" w:hAnsi="Cambria" w:cs="Arial"/>
          <w:b/>
          <w:sz w:val="20"/>
          <w:szCs w:val="20"/>
        </w:rPr>
      </w:pPr>
    </w:p>
    <w:p w:rsidR="00471CB6" w:rsidRDefault="00471CB6" w:rsidP="00471CB6">
      <w:pPr>
        <w:pStyle w:val="Bezodstpw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Pytanie nr 12</w:t>
      </w:r>
      <w:r w:rsidRPr="00960161">
        <w:rPr>
          <w:rFonts w:asciiTheme="majorHAnsi" w:hAnsiTheme="majorHAnsi"/>
          <w:b/>
          <w:sz w:val="20"/>
          <w:szCs w:val="20"/>
        </w:rPr>
        <w:t>:</w:t>
      </w:r>
    </w:p>
    <w:p w:rsidR="00471CB6" w:rsidRPr="00471CB6" w:rsidRDefault="00471CB6" w:rsidP="00471CB6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471CB6">
        <w:rPr>
          <w:rFonts w:asciiTheme="majorHAnsi" w:hAnsiTheme="majorHAnsi"/>
          <w:sz w:val="20"/>
          <w:szCs w:val="20"/>
        </w:rPr>
        <w:t>Pragnę zaznaczyć, że przedstawiony w dokumentacji projektowej</w:t>
      </w:r>
      <w:r>
        <w:rPr>
          <w:rFonts w:asciiTheme="majorHAnsi" w:hAnsiTheme="majorHAnsi"/>
          <w:sz w:val="20"/>
          <w:szCs w:val="20"/>
        </w:rPr>
        <w:t xml:space="preserve"> </w:t>
      </w:r>
      <w:r w:rsidRPr="00471CB6">
        <w:rPr>
          <w:rFonts w:asciiTheme="majorHAnsi" w:hAnsiTheme="majorHAnsi"/>
          <w:sz w:val="20"/>
          <w:szCs w:val="20"/>
        </w:rPr>
        <w:t>system sterowania oświetleniem jest na tyle szczegółowo opisany na</w:t>
      </w:r>
      <w:r>
        <w:rPr>
          <w:rFonts w:asciiTheme="majorHAnsi" w:hAnsiTheme="majorHAnsi"/>
          <w:sz w:val="20"/>
          <w:szCs w:val="20"/>
        </w:rPr>
        <w:t xml:space="preserve"> </w:t>
      </w:r>
      <w:r w:rsidRPr="00471CB6">
        <w:rPr>
          <w:rFonts w:asciiTheme="majorHAnsi" w:hAnsiTheme="majorHAnsi"/>
          <w:sz w:val="20"/>
          <w:szCs w:val="20"/>
        </w:rPr>
        <w:t>kilku stronach, że tylko jeden producent systemu sterowania jest w</w:t>
      </w:r>
      <w:r>
        <w:rPr>
          <w:rFonts w:asciiTheme="majorHAnsi" w:hAnsiTheme="majorHAnsi"/>
          <w:sz w:val="20"/>
          <w:szCs w:val="20"/>
        </w:rPr>
        <w:t xml:space="preserve"> </w:t>
      </w:r>
      <w:r w:rsidRPr="00471CB6">
        <w:rPr>
          <w:rFonts w:asciiTheme="majorHAnsi" w:hAnsiTheme="majorHAnsi"/>
          <w:sz w:val="20"/>
          <w:szCs w:val="20"/>
        </w:rPr>
        <w:t xml:space="preserve">stanie </w:t>
      </w:r>
      <w:r w:rsidRPr="00471CB6">
        <w:rPr>
          <w:rFonts w:asciiTheme="majorHAnsi" w:hAnsiTheme="majorHAnsi"/>
          <w:sz w:val="20"/>
          <w:szCs w:val="20"/>
        </w:rPr>
        <w:lastRenderedPageBreak/>
        <w:t>spełnić te wymogi, z których wiele nie odnosi się do</w:t>
      </w:r>
      <w:r>
        <w:rPr>
          <w:rFonts w:asciiTheme="majorHAnsi" w:hAnsiTheme="majorHAnsi"/>
          <w:sz w:val="20"/>
          <w:szCs w:val="20"/>
        </w:rPr>
        <w:t xml:space="preserve"> </w:t>
      </w:r>
      <w:r w:rsidRPr="00471CB6">
        <w:rPr>
          <w:rFonts w:asciiTheme="majorHAnsi" w:hAnsiTheme="majorHAnsi"/>
          <w:sz w:val="20"/>
          <w:szCs w:val="20"/>
        </w:rPr>
        <w:t>rzeczywistych potrzeb ani potrzebnych funkcji. Wykonawca chciałby mieć</w:t>
      </w:r>
      <w:r>
        <w:rPr>
          <w:rFonts w:asciiTheme="majorHAnsi" w:hAnsiTheme="majorHAnsi"/>
          <w:sz w:val="20"/>
          <w:szCs w:val="20"/>
        </w:rPr>
        <w:t xml:space="preserve"> </w:t>
      </w:r>
      <w:r w:rsidRPr="00471CB6">
        <w:rPr>
          <w:rFonts w:asciiTheme="majorHAnsi" w:hAnsiTheme="majorHAnsi"/>
          <w:sz w:val="20"/>
          <w:szCs w:val="20"/>
        </w:rPr>
        <w:t>możliwość porównać oferty cenowe przynajmniej kilku producentów</w:t>
      </w:r>
      <w:r>
        <w:rPr>
          <w:rFonts w:asciiTheme="majorHAnsi" w:hAnsiTheme="majorHAnsi"/>
          <w:sz w:val="20"/>
          <w:szCs w:val="20"/>
        </w:rPr>
        <w:t xml:space="preserve"> </w:t>
      </w:r>
      <w:r w:rsidRPr="00471CB6">
        <w:rPr>
          <w:rFonts w:asciiTheme="majorHAnsi" w:hAnsiTheme="majorHAnsi"/>
          <w:sz w:val="20"/>
          <w:szCs w:val="20"/>
        </w:rPr>
        <w:t>systemów sterowania, co zdecydowanie mogłoby zoptymalizować</w:t>
      </w:r>
      <w:r>
        <w:rPr>
          <w:rFonts w:asciiTheme="majorHAnsi" w:hAnsiTheme="majorHAnsi"/>
          <w:sz w:val="20"/>
          <w:szCs w:val="20"/>
        </w:rPr>
        <w:t xml:space="preserve"> </w:t>
      </w:r>
      <w:r w:rsidRPr="00471CB6">
        <w:rPr>
          <w:rFonts w:asciiTheme="majorHAnsi" w:hAnsiTheme="majorHAnsi"/>
          <w:sz w:val="20"/>
          <w:szCs w:val="20"/>
        </w:rPr>
        <w:t>ofertowaną cenę. W związku z powyższym chciałbym zaproponować</w:t>
      </w:r>
      <w:r>
        <w:rPr>
          <w:rFonts w:asciiTheme="majorHAnsi" w:hAnsiTheme="majorHAnsi"/>
          <w:sz w:val="20"/>
          <w:szCs w:val="20"/>
        </w:rPr>
        <w:t xml:space="preserve"> </w:t>
      </w:r>
      <w:r w:rsidRPr="00471CB6">
        <w:rPr>
          <w:rFonts w:asciiTheme="majorHAnsi" w:hAnsiTheme="majorHAnsi"/>
          <w:sz w:val="20"/>
          <w:szCs w:val="20"/>
        </w:rPr>
        <w:t>zmianę wymogów na racjonalne, zaspokajające realne potrzeby</w:t>
      </w:r>
      <w:r>
        <w:rPr>
          <w:rFonts w:asciiTheme="majorHAnsi" w:hAnsiTheme="majorHAnsi"/>
          <w:sz w:val="20"/>
          <w:szCs w:val="20"/>
        </w:rPr>
        <w:t xml:space="preserve"> </w:t>
      </w:r>
      <w:r w:rsidRPr="00471CB6">
        <w:rPr>
          <w:rFonts w:asciiTheme="majorHAnsi" w:hAnsiTheme="majorHAnsi"/>
          <w:sz w:val="20"/>
          <w:szCs w:val="20"/>
        </w:rPr>
        <w:t>Zamawiającego lub dopuszczenie rozwiązań równoważnych w zakresie</w:t>
      </w:r>
      <w:r>
        <w:rPr>
          <w:rFonts w:asciiTheme="majorHAnsi" w:hAnsiTheme="majorHAnsi"/>
          <w:sz w:val="20"/>
          <w:szCs w:val="20"/>
        </w:rPr>
        <w:t xml:space="preserve"> </w:t>
      </w:r>
      <w:r w:rsidRPr="00471CB6">
        <w:rPr>
          <w:rFonts w:asciiTheme="majorHAnsi" w:hAnsiTheme="majorHAnsi"/>
          <w:sz w:val="20"/>
          <w:szCs w:val="20"/>
        </w:rPr>
        <w:t>kluczowych funkcji funkcjonowania systemu, jak poniżej:</w:t>
      </w:r>
    </w:p>
    <w:p w:rsidR="00471CB6" w:rsidRPr="00471CB6" w:rsidRDefault="00471CB6" w:rsidP="00471CB6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471CB6">
        <w:rPr>
          <w:rFonts w:asciiTheme="majorHAnsi" w:hAnsiTheme="majorHAnsi"/>
          <w:sz w:val="20"/>
          <w:szCs w:val="20"/>
        </w:rPr>
        <w:t>- system sterowania oprawami bezprzewodowy</w:t>
      </w:r>
    </w:p>
    <w:p w:rsidR="00471CB6" w:rsidRPr="00471CB6" w:rsidRDefault="00471CB6" w:rsidP="00471CB6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471CB6">
        <w:rPr>
          <w:rFonts w:asciiTheme="majorHAnsi" w:hAnsiTheme="majorHAnsi"/>
          <w:sz w:val="20"/>
          <w:szCs w:val="20"/>
        </w:rPr>
        <w:t>- system sterowania nie może</w:t>
      </w:r>
      <w:r>
        <w:rPr>
          <w:rFonts w:asciiTheme="majorHAnsi" w:hAnsiTheme="majorHAnsi"/>
          <w:sz w:val="20"/>
          <w:szCs w:val="20"/>
        </w:rPr>
        <w:t xml:space="preserve"> generować kosztów związanych z </w:t>
      </w:r>
      <w:r w:rsidRPr="00471CB6">
        <w:rPr>
          <w:rFonts w:asciiTheme="majorHAnsi" w:hAnsiTheme="majorHAnsi"/>
          <w:sz w:val="20"/>
          <w:szCs w:val="20"/>
        </w:rPr>
        <w:t>transmisją danych (np. karty</w:t>
      </w:r>
      <w:r>
        <w:rPr>
          <w:rFonts w:asciiTheme="majorHAnsi" w:hAnsiTheme="majorHAnsi"/>
          <w:sz w:val="20"/>
          <w:szCs w:val="20"/>
        </w:rPr>
        <w:t xml:space="preserve"> SIM lub płatne częstotliwości)</w:t>
      </w:r>
    </w:p>
    <w:p w:rsidR="00471CB6" w:rsidRPr="00471CB6" w:rsidRDefault="00471CB6" w:rsidP="00471CB6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471CB6">
        <w:rPr>
          <w:rFonts w:asciiTheme="majorHAnsi" w:hAnsiTheme="majorHAnsi"/>
          <w:sz w:val="20"/>
          <w:szCs w:val="20"/>
        </w:rPr>
        <w:t>- system składa się z centrum dy</w:t>
      </w:r>
      <w:r>
        <w:rPr>
          <w:rFonts w:asciiTheme="majorHAnsi" w:hAnsiTheme="majorHAnsi"/>
          <w:sz w:val="20"/>
          <w:szCs w:val="20"/>
        </w:rPr>
        <w:t>spozytorskiego oraz sterowników głównych i lokalnych</w:t>
      </w:r>
    </w:p>
    <w:p w:rsidR="00471CB6" w:rsidRPr="00471CB6" w:rsidRDefault="00471CB6" w:rsidP="00471CB6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471CB6">
        <w:rPr>
          <w:rFonts w:asciiTheme="majorHAnsi" w:hAnsiTheme="majorHAnsi"/>
          <w:sz w:val="20"/>
          <w:szCs w:val="20"/>
        </w:rPr>
        <w:t xml:space="preserve">- system </w:t>
      </w:r>
      <w:r w:rsidR="00524FA3" w:rsidRPr="00471CB6">
        <w:rPr>
          <w:rFonts w:asciiTheme="majorHAnsi" w:hAnsiTheme="majorHAnsi"/>
          <w:sz w:val="20"/>
          <w:szCs w:val="20"/>
        </w:rPr>
        <w:t>umożliwia</w:t>
      </w:r>
      <w:r w:rsidRPr="00471CB6">
        <w:rPr>
          <w:rFonts w:asciiTheme="majorHAnsi" w:hAnsiTheme="majorHAnsi"/>
          <w:sz w:val="20"/>
          <w:szCs w:val="20"/>
        </w:rPr>
        <w:t xml:space="preserve"> sterowanie pojedyn</w:t>
      </w:r>
      <w:r>
        <w:rPr>
          <w:rFonts w:asciiTheme="majorHAnsi" w:hAnsiTheme="majorHAnsi"/>
          <w:sz w:val="20"/>
          <w:szCs w:val="20"/>
        </w:rPr>
        <w:t xml:space="preserve">czymi oprawami, grupami opraw w zakresie regulacji mocy opraw, </w:t>
      </w:r>
      <w:r w:rsidRPr="00471CB6">
        <w:rPr>
          <w:rFonts w:asciiTheme="majorHAnsi" w:hAnsiTheme="majorHAnsi"/>
          <w:sz w:val="20"/>
          <w:szCs w:val="20"/>
        </w:rPr>
        <w:t>zadawani</w:t>
      </w:r>
      <w:r>
        <w:rPr>
          <w:rFonts w:asciiTheme="majorHAnsi" w:hAnsiTheme="majorHAnsi"/>
          <w:sz w:val="20"/>
          <w:szCs w:val="20"/>
        </w:rPr>
        <w:t>a dowolnych harmonogramów pracy opraw</w:t>
      </w:r>
    </w:p>
    <w:p w:rsidR="00471CB6" w:rsidRPr="00471CB6" w:rsidRDefault="00471CB6" w:rsidP="00471CB6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471CB6">
        <w:rPr>
          <w:rFonts w:asciiTheme="majorHAnsi" w:hAnsiTheme="majorHAnsi"/>
          <w:sz w:val="20"/>
          <w:szCs w:val="20"/>
        </w:rPr>
        <w:t>-informowanie użytkownika o awari</w:t>
      </w:r>
      <w:r>
        <w:rPr>
          <w:rFonts w:asciiTheme="majorHAnsi" w:hAnsiTheme="majorHAnsi"/>
          <w:sz w:val="20"/>
          <w:szCs w:val="20"/>
        </w:rPr>
        <w:t>ach opraw lub elementów systemu</w:t>
      </w:r>
    </w:p>
    <w:p w:rsidR="00471CB6" w:rsidRPr="00471CB6" w:rsidRDefault="00471CB6" w:rsidP="00471CB6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471CB6">
        <w:rPr>
          <w:rFonts w:asciiTheme="majorHAnsi" w:hAnsiTheme="majorHAnsi"/>
          <w:sz w:val="20"/>
          <w:szCs w:val="20"/>
        </w:rPr>
        <w:t>- sterowniki lokalne podłączane do opra</w:t>
      </w:r>
      <w:r>
        <w:rPr>
          <w:rFonts w:asciiTheme="majorHAnsi" w:hAnsiTheme="majorHAnsi"/>
          <w:sz w:val="20"/>
          <w:szCs w:val="20"/>
        </w:rPr>
        <w:t xml:space="preserve">w </w:t>
      </w:r>
      <w:r w:rsidR="00524FA3">
        <w:rPr>
          <w:rFonts w:asciiTheme="majorHAnsi" w:hAnsiTheme="majorHAnsi"/>
          <w:sz w:val="20"/>
          <w:szCs w:val="20"/>
        </w:rPr>
        <w:t>poprzez</w:t>
      </w:r>
      <w:r>
        <w:rPr>
          <w:rFonts w:asciiTheme="majorHAnsi" w:hAnsiTheme="majorHAnsi"/>
          <w:sz w:val="20"/>
          <w:szCs w:val="20"/>
        </w:rPr>
        <w:t xml:space="preserve"> uniwersalne gniazdo, np.</w:t>
      </w:r>
      <w:r w:rsidR="00524FA3"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zhaga</w:t>
      </w:r>
      <w:proofErr w:type="spellEnd"/>
    </w:p>
    <w:p w:rsidR="00471CB6" w:rsidRPr="00471CB6" w:rsidRDefault="00471CB6" w:rsidP="00471CB6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471CB6">
        <w:rPr>
          <w:rFonts w:asciiTheme="majorHAnsi" w:hAnsiTheme="majorHAnsi"/>
          <w:sz w:val="20"/>
          <w:szCs w:val="20"/>
        </w:rPr>
        <w:t>- sterowniki system</w:t>
      </w:r>
      <w:r>
        <w:rPr>
          <w:rFonts w:asciiTheme="majorHAnsi" w:hAnsiTheme="majorHAnsi"/>
          <w:sz w:val="20"/>
          <w:szCs w:val="20"/>
        </w:rPr>
        <w:t>u powinny być szczelne min IP65</w:t>
      </w:r>
    </w:p>
    <w:p w:rsidR="00471CB6" w:rsidRPr="00471CB6" w:rsidRDefault="00471CB6" w:rsidP="00471CB6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471CB6">
        <w:rPr>
          <w:rFonts w:asciiTheme="majorHAnsi" w:hAnsiTheme="majorHAnsi"/>
          <w:sz w:val="20"/>
          <w:szCs w:val="20"/>
        </w:rPr>
        <w:t xml:space="preserve">- </w:t>
      </w:r>
      <w:proofErr w:type="spellStart"/>
      <w:r w:rsidRPr="00471CB6">
        <w:rPr>
          <w:rFonts w:asciiTheme="majorHAnsi" w:hAnsiTheme="majorHAnsi"/>
          <w:sz w:val="20"/>
          <w:szCs w:val="20"/>
        </w:rPr>
        <w:t>interface</w:t>
      </w:r>
      <w:proofErr w:type="spellEnd"/>
      <w:r w:rsidRPr="00471CB6">
        <w:rPr>
          <w:rFonts w:asciiTheme="majorHAnsi" w:hAnsiTheme="majorHAnsi"/>
          <w:sz w:val="20"/>
          <w:szCs w:val="20"/>
        </w:rPr>
        <w:t xml:space="preserve"> systemu dostępny</w:t>
      </w:r>
      <w:r>
        <w:rPr>
          <w:rFonts w:asciiTheme="majorHAnsi" w:hAnsiTheme="majorHAnsi"/>
          <w:sz w:val="20"/>
          <w:szCs w:val="20"/>
        </w:rPr>
        <w:t xml:space="preserve"> przez przeglądarkę internetową</w:t>
      </w:r>
    </w:p>
    <w:p w:rsidR="00471CB6" w:rsidRPr="00471CB6" w:rsidRDefault="00471CB6" w:rsidP="00471CB6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471CB6">
        <w:rPr>
          <w:rFonts w:asciiTheme="majorHAnsi" w:hAnsiTheme="majorHAnsi"/>
          <w:sz w:val="20"/>
          <w:szCs w:val="20"/>
        </w:rPr>
        <w:t>- system umożliwia</w:t>
      </w:r>
      <w:r>
        <w:rPr>
          <w:rFonts w:asciiTheme="majorHAnsi" w:hAnsiTheme="majorHAnsi"/>
          <w:sz w:val="20"/>
          <w:szCs w:val="20"/>
        </w:rPr>
        <w:t xml:space="preserve"> podgląd opraw na mapach </w:t>
      </w:r>
      <w:proofErr w:type="spellStart"/>
      <w:r>
        <w:rPr>
          <w:rFonts w:asciiTheme="majorHAnsi" w:hAnsiTheme="majorHAnsi"/>
          <w:sz w:val="20"/>
          <w:szCs w:val="20"/>
        </w:rPr>
        <w:t>google</w:t>
      </w:r>
      <w:proofErr w:type="spellEnd"/>
    </w:p>
    <w:p w:rsidR="00471CB6" w:rsidRPr="00471CB6" w:rsidRDefault="00471CB6" w:rsidP="00471CB6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471CB6">
        <w:rPr>
          <w:rFonts w:asciiTheme="majorHAnsi" w:hAnsiTheme="majorHAnsi"/>
          <w:sz w:val="20"/>
          <w:szCs w:val="20"/>
        </w:rPr>
        <w:t>- system powinien być zabezpieczony pr</w:t>
      </w:r>
      <w:r>
        <w:rPr>
          <w:rFonts w:asciiTheme="majorHAnsi" w:hAnsiTheme="majorHAnsi"/>
          <w:sz w:val="20"/>
          <w:szCs w:val="20"/>
        </w:rPr>
        <w:t xml:space="preserve">zed </w:t>
      </w:r>
      <w:r w:rsidR="00524FA3">
        <w:rPr>
          <w:rFonts w:asciiTheme="majorHAnsi" w:hAnsiTheme="majorHAnsi"/>
          <w:sz w:val="20"/>
          <w:szCs w:val="20"/>
        </w:rPr>
        <w:t>dostępem</w:t>
      </w:r>
      <w:r>
        <w:rPr>
          <w:rFonts w:asciiTheme="majorHAnsi" w:hAnsiTheme="majorHAnsi"/>
          <w:sz w:val="20"/>
          <w:szCs w:val="20"/>
        </w:rPr>
        <w:t xml:space="preserve"> niepowołanych osób</w:t>
      </w:r>
    </w:p>
    <w:p w:rsidR="00471CB6" w:rsidRPr="00471CB6" w:rsidRDefault="00471CB6" w:rsidP="00471CB6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471CB6">
        <w:rPr>
          <w:rFonts w:asciiTheme="majorHAnsi" w:hAnsiTheme="majorHAnsi"/>
          <w:sz w:val="20"/>
          <w:szCs w:val="20"/>
        </w:rPr>
        <w:t>- system mierzy parametry elektryczne pojedynczych opraw jak i grup</w:t>
      </w:r>
    </w:p>
    <w:p w:rsidR="00471CB6" w:rsidRPr="00471CB6" w:rsidRDefault="00471CB6" w:rsidP="00471CB6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471CB6">
        <w:rPr>
          <w:rFonts w:asciiTheme="majorHAnsi" w:hAnsiTheme="majorHAnsi"/>
          <w:sz w:val="20"/>
          <w:szCs w:val="20"/>
        </w:rPr>
        <w:t xml:space="preserve">opraw (moc, </w:t>
      </w:r>
      <w:r w:rsidR="00524FA3" w:rsidRPr="00471CB6">
        <w:rPr>
          <w:rFonts w:asciiTheme="majorHAnsi" w:hAnsiTheme="majorHAnsi"/>
          <w:sz w:val="20"/>
          <w:szCs w:val="20"/>
        </w:rPr>
        <w:t>prąd</w:t>
      </w:r>
      <w:r w:rsidRPr="00471CB6">
        <w:rPr>
          <w:rFonts w:asciiTheme="majorHAnsi" w:hAnsiTheme="majorHAnsi"/>
          <w:sz w:val="20"/>
          <w:szCs w:val="20"/>
        </w:rPr>
        <w:t>, en</w:t>
      </w:r>
      <w:r>
        <w:rPr>
          <w:rFonts w:asciiTheme="majorHAnsi" w:hAnsiTheme="majorHAnsi"/>
          <w:sz w:val="20"/>
          <w:szCs w:val="20"/>
        </w:rPr>
        <w:t>ergia, współczynnik mocy, etc.)</w:t>
      </w:r>
    </w:p>
    <w:p w:rsidR="00471CB6" w:rsidRPr="00471CB6" w:rsidRDefault="00471CB6" w:rsidP="00471CB6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471CB6">
        <w:rPr>
          <w:rFonts w:asciiTheme="majorHAnsi" w:hAnsiTheme="majorHAnsi"/>
          <w:sz w:val="20"/>
          <w:szCs w:val="20"/>
        </w:rPr>
        <w:t>W razie braku zgody na wprowadzenie pow</w:t>
      </w:r>
      <w:r>
        <w:rPr>
          <w:rFonts w:asciiTheme="majorHAnsi" w:hAnsiTheme="majorHAnsi"/>
          <w:sz w:val="20"/>
          <w:szCs w:val="20"/>
        </w:rPr>
        <w:t xml:space="preserve">yższych zmian, proszę o podanie nazw przynajmniej dwóch </w:t>
      </w:r>
      <w:r w:rsidRPr="00471CB6">
        <w:rPr>
          <w:rFonts w:asciiTheme="majorHAnsi" w:hAnsiTheme="majorHAnsi"/>
          <w:sz w:val="20"/>
          <w:szCs w:val="20"/>
        </w:rPr>
        <w:t>systemów ste</w:t>
      </w:r>
      <w:r>
        <w:rPr>
          <w:rFonts w:asciiTheme="majorHAnsi" w:hAnsiTheme="majorHAnsi"/>
          <w:sz w:val="20"/>
          <w:szCs w:val="20"/>
        </w:rPr>
        <w:t xml:space="preserve">rowania spełniających wymagania </w:t>
      </w:r>
      <w:r w:rsidRPr="00471CB6">
        <w:rPr>
          <w:rFonts w:asciiTheme="majorHAnsi" w:hAnsiTheme="majorHAnsi"/>
          <w:sz w:val="20"/>
          <w:szCs w:val="20"/>
        </w:rPr>
        <w:t>opisane w projekcie.</w:t>
      </w:r>
    </w:p>
    <w:p w:rsidR="00471CB6" w:rsidRPr="00960161" w:rsidRDefault="00471CB6" w:rsidP="00471CB6">
      <w:pPr>
        <w:pStyle w:val="Bezodstpw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2A6D67">
        <w:rPr>
          <w:rFonts w:asciiTheme="majorHAnsi" w:hAnsiTheme="majorHAnsi"/>
          <w:b/>
          <w:sz w:val="20"/>
          <w:szCs w:val="20"/>
        </w:rPr>
        <w:t>Odpowiedź:</w:t>
      </w:r>
    </w:p>
    <w:p w:rsidR="007B76BF" w:rsidRPr="00BB2A6D" w:rsidRDefault="00BB2A6D" w:rsidP="002A6D67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BB2A6D">
        <w:rPr>
          <w:rFonts w:asciiTheme="majorHAnsi" w:hAnsiTheme="majorHAnsi"/>
          <w:sz w:val="20"/>
          <w:szCs w:val="20"/>
        </w:rPr>
        <w:t>Zamawiający nie wyr</w:t>
      </w:r>
      <w:r>
        <w:rPr>
          <w:rFonts w:asciiTheme="majorHAnsi" w:hAnsiTheme="majorHAnsi"/>
          <w:sz w:val="20"/>
          <w:szCs w:val="20"/>
        </w:rPr>
        <w:t>aża zgody na wprowadzenie zmian w wymaganiach</w:t>
      </w:r>
      <w:r w:rsidRPr="00BB2A6D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 xml:space="preserve"> Przedstawione w SWZ wymagania</w:t>
      </w:r>
      <w:r w:rsidRPr="00BB2A6D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dotyczące S</w:t>
      </w:r>
      <w:r w:rsidRPr="00BB2A6D">
        <w:rPr>
          <w:rFonts w:asciiTheme="majorHAnsi" w:hAnsiTheme="majorHAnsi"/>
          <w:sz w:val="20"/>
          <w:szCs w:val="20"/>
        </w:rPr>
        <w:t>ystem sterowania oświetleniem</w:t>
      </w:r>
      <w:r>
        <w:rPr>
          <w:rFonts w:asciiTheme="majorHAnsi" w:hAnsiTheme="majorHAnsi"/>
          <w:sz w:val="20"/>
          <w:szCs w:val="20"/>
        </w:rPr>
        <w:t>, są wymaganiami możliwymi do zrealizowania przy wykorzystaniu istniejących na rynku systemów sterowania oświetleniem</w:t>
      </w:r>
      <w:r w:rsidR="000629AF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po wprowadzeniu </w:t>
      </w:r>
      <w:r w:rsidR="000629AF">
        <w:rPr>
          <w:rFonts w:asciiTheme="majorHAnsi" w:hAnsiTheme="majorHAnsi"/>
          <w:sz w:val="20"/>
          <w:szCs w:val="20"/>
        </w:rPr>
        <w:t xml:space="preserve">odpowiednich modyfikacji tych systemów i dostosowania ich do wymagań Zamawiającego. </w:t>
      </w:r>
      <w:r w:rsidR="002A6D67">
        <w:rPr>
          <w:rFonts w:asciiTheme="majorHAnsi" w:hAnsiTheme="majorHAnsi"/>
          <w:sz w:val="20"/>
          <w:szCs w:val="20"/>
        </w:rPr>
        <w:t xml:space="preserve">Zamawiający nie jest uprawniony do wskazywania konkretnych rozwiązań – nazw systemów sterowania oświetleniem. </w:t>
      </w:r>
    </w:p>
    <w:p w:rsidR="00471CB6" w:rsidRDefault="00471CB6" w:rsidP="00960161">
      <w:pPr>
        <w:pStyle w:val="Bezodstpw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BA4C59" w:rsidRDefault="00BA4C59" w:rsidP="00960161">
      <w:pPr>
        <w:pStyle w:val="Bezodstpw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4C0BB2" w:rsidRDefault="00F36B7D" w:rsidP="00960161">
      <w:pPr>
        <w:pStyle w:val="Bezodstpw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Zamawiający dokonuje modyfikacji załącznika nr 2 </w:t>
      </w:r>
      <w:r w:rsidR="00BA4C59">
        <w:rPr>
          <w:rFonts w:asciiTheme="majorHAnsi" w:hAnsiTheme="majorHAnsi"/>
          <w:b/>
          <w:sz w:val="20"/>
          <w:szCs w:val="20"/>
        </w:rPr>
        <w:t>do SWZ „W</w:t>
      </w:r>
      <w:r>
        <w:rPr>
          <w:rFonts w:asciiTheme="majorHAnsi" w:hAnsiTheme="majorHAnsi"/>
          <w:b/>
          <w:sz w:val="20"/>
          <w:szCs w:val="20"/>
        </w:rPr>
        <w:t xml:space="preserve">zór </w:t>
      </w:r>
      <w:r w:rsidRPr="00F36B7D">
        <w:rPr>
          <w:rFonts w:asciiTheme="majorHAnsi" w:hAnsiTheme="majorHAnsi"/>
          <w:b/>
          <w:sz w:val="20"/>
          <w:szCs w:val="20"/>
        </w:rPr>
        <w:t>umowy</w:t>
      </w:r>
      <w:r w:rsidR="00BA4C59">
        <w:rPr>
          <w:rFonts w:asciiTheme="majorHAnsi" w:hAnsiTheme="majorHAnsi"/>
          <w:b/>
          <w:sz w:val="20"/>
          <w:szCs w:val="20"/>
        </w:rPr>
        <w:t>”</w:t>
      </w:r>
      <w:r w:rsidR="004C0BB2">
        <w:rPr>
          <w:rFonts w:asciiTheme="majorHAnsi" w:hAnsiTheme="majorHAnsi"/>
          <w:b/>
          <w:sz w:val="20"/>
          <w:szCs w:val="20"/>
        </w:rPr>
        <w:t>:</w:t>
      </w:r>
    </w:p>
    <w:p w:rsidR="00BA4C59" w:rsidRDefault="00BA4C59" w:rsidP="00960161">
      <w:pPr>
        <w:pStyle w:val="Bezodstpw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BA4C59" w:rsidRDefault="00BA4C59" w:rsidP="00BA4C59">
      <w:pPr>
        <w:pStyle w:val="Bezodstpw"/>
        <w:numPr>
          <w:ilvl w:val="0"/>
          <w:numId w:val="27"/>
        </w:numPr>
        <w:spacing w:line="276" w:lineRule="auto"/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w </w:t>
      </w:r>
      <w:r w:rsidRPr="00BA4C59">
        <w:rPr>
          <w:rFonts w:asciiTheme="majorHAnsi" w:hAnsiTheme="majorHAnsi"/>
          <w:b/>
          <w:sz w:val="20"/>
          <w:szCs w:val="20"/>
        </w:rPr>
        <w:t>§ 9</w:t>
      </w:r>
      <w:r>
        <w:rPr>
          <w:rFonts w:asciiTheme="majorHAnsi" w:hAnsiTheme="majorHAnsi"/>
          <w:b/>
          <w:sz w:val="20"/>
          <w:szCs w:val="20"/>
        </w:rPr>
        <w:t xml:space="preserve"> ust. 1, który po modyfikacji otrzymuje brzmienie:</w:t>
      </w:r>
    </w:p>
    <w:p w:rsidR="00BA4C59" w:rsidRDefault="00BA4C59" w:rsidP="00960161">
      <w:pPr>
        <w:pStyle w:val="Bezodstpw"/>
        <w:spacing w:line="276" w:lineRule="auto"/>
        <w:jc w:val="both"/>
        <w:rPr>
          <w:rFonts w:asciiTheme="majorHAnsi" w:hAnsiTheme="majorHAnsi"/>
          <w:color w:val="FF0000"/>
          <w:sz w:val="20"/>
          <w:szCs w:val="20"/>
        </w:rPr>
      </w:pPr>
    </w:p>
    <w:p w:rsidR="004C0BB2" w:rsidRPr="00524FA3" w:rsidRDefault="00BA4C59" w:rsidP="00BA4C59">
      <w:pPr>
        <w:pStyle w:val="Bezodstpw"/>
        <w:numPr>
          <w:ilvl w:val="0"/>
          <w:numId w:val="29"/>
        </w:numPr>
        <w:spacing w:line="276" w:lineRule="auto"/>
        <w:ind w:hanging="436"/>
        <w:jc w:val="both"/>
        <w:rPr>
          <w:rFonts w:asciiTheme="majorHAnsi" w:hAnsiTheme="majorHAnsi"/>
          <w:b/>
          <w:sz w:val="20"/>
          <w:szCs w:val="20"/>
        </w:rPr>
      </w:pPr>
      <w:r w:rsidRPr="00F1288D">
        <w:rPr>
          <w:rFonts w:ascii="Cambria" w:hAnsi="Cambria" w:cs="Times New Roman"/>
          <w:sz w:val="20"/>
          <w:szCs w:val="20"/>
        </w:rPr>
        <w:t xml:space="preserve">Wykonawca, podwykonawca lub dalszy podwykonawca zamierzający zawrzeć umowę o podwykonawstwo, której przedmiotem są prace  w ramach niniejszej umowy, jest obowiązany, </w:t>
      </w:r>
      <w:r>
        <w:rPr>
          <w:rFonts w:ascii="Cambria" w:hAnsi="Cambria" w:cs="Times New Roman"/>
          <w:sz w:val="20"/>
          <w:szCs w:val="20"/>
        </w:rPr>
        <w:br/>
      </w:r>
      <w:r w:rsidRPr="00F1288D">
        <w:rPr>
          <w:rFonts w:ascii="Cambria" w:hAnsi="Cambria" w:cs="Times New Roman"/>
          <w:sz w:val="20"/>
          <w:szCs w:val="20"/>
        </w:rPr>
        <w:t>w trakcie realizacji  umowy, do przedłożenia Zamawiającemu oświadczen</w:t>
      </w:r>
      <w:r>
        <w:rPr>
          <w:rFonts w:ascii="Cambria" w:hAnsi="Cambria" w:cs="Times New Roman"/>
          <w:sz w:val="20"/>
          <w:szCs w:val="20"/>
        </w:rPr>
        <w:t>ia i dokumentów określonych w S</w:t>
      </w:r>
      <w:r w:rsidRPr="00F1288D">
        <w:rPr>
          <w:rFonts w:ascii="Cambria" w:hAnsi="Cambria" w:cs="Times New Roman"/>
          <w:sz w:val="20"/>
          <w:szCs w:val="20"/>
        </w:rPr>
        <w:t>WZ o braku podstaw do wykluczenia w odniesieniu do podwykonawcy lub dalszego podwykonawcy w terminie nie dłuższym niż 5 dni od daty ich zgłoszenia.</w:t>
      </w:r>
      <w:r>
        <w:rPr>
          <w:rFonts w:ascii="Cambria" w:hAnsi="Cambria" w:cs="Times New Roman"/>
          <w:sz w:val="20"/>
          <w:szCs w:val="20"/>
        </w:rPr>
        <w:t xml:space="preserve"> </w:t>
      </w:r>
      <w:r w:rsidR="004C0BB2" w:rsidRPr="00524FA3">
        <w:rPr>
          <w:rFonts w:asciiTheme="majorHAnsi" w:hAnsiTheme="majorHAnsi"/>
          <w:b/>
          <w:sz w:val="20"/>
          <w:szCs w:val="20"/>
        </w:rPr>
        <w:t>Zamawiający wymaga osobistego wykonania przez Wykonawcę prac związanych z rozmieszczeniem i instalacją, tj.: czynności związane z montażem opraw oświetleniowych i montażem instalacji elektrycznej zasilania opraw oświetleniowych.</w:t>
      </w:r>
    </w:p>
    <w:p w:rsidR="00BA4C59" w:rsidRDefault="000912C1" w:rsidP="00960161">
      <w:pPr>
        <w:pStyle w:val="Bezodstpw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AA220D">
        <w:rPr>
          <w:rFonts w:asciiTheme="majorHAnsi" w:hAnsiTheme="majorHAnsi"/>
          <w:b/>
          <w:sz w:val="20"/>
          <w:szCs w:val="20"/>
        </w:rPr>
        <w:t xml:space="preserve"> </w:t>
      </w:r>
    </w:p>
    <w:p w:rsidR="00BA4C59" w:rsidRDefault="00BA4C59" w:rsidP="00BA4C59">
      <w:pPr>
        <w:pStyle w:val="Standard"/>
        <w:widowControl/>
        <w:numPr>
          <w:ilvl w:val="0"/>
          <w:numId w:val="27"/>
        </w:numPr>
        <w:suppressAutoHyphens/>
        <w:autoSpaceDE/>
        <w:adjustRightInd/>
        <w:spacing w:line="276" w:lineRule="auto"/>
        <w:ind w:left="426" w:hanging="426"/>
        <w:jc w:val="both"/>
        <w:textAlignment w:val="baseline"/>
        <w:rPr>
          <w:rFonts w:ascii="Cambria" w:hAnsi="Cambria"/>
          <w:color w:val="FF0000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w § 10 ust. 1, który po modyfikacji otrzymuje brzmienie:</w:t>
      </w:r>
      <w:r w:rsidRPr="00B61244">
        <w:rPr>
          <w:rFonts w:ascii="Cambria" w:hAnsi="Cambria"/>
          <w:color w:val="FF0000"/>
          <w:sz w:val="20"/>
          <w:szCs w:val="20"/>
        </w:rPr>
        <w:t xml:space="preserve"> </w:t>
      </w:r>
    </w:p>
    <w:p w:rsidR="00BA4C59" w:rsidRDefault="00BA4C59" w:rsidP="00BA4C59">
      <w:pPr>
        <w:pStyle w:val="Standard"/>
        <w:widowControl/>
        <w:suppressAutoHyphens/>
        <w:autoSpaceDE/>
        <w:adjustRightInd/>
        <w:spacing w:line="276" w:lineRule="auto"/>
        <w:ind w:left="426"/>
        <w:jc w:val="both"/>
        <w:textAlignment w:val="baseline"/>
        <w:rPr>
          <w:rFonts w:ascii="Cambria" w:hAnsi="Cambria"/>
          <w:color w:val="FF0000"/>
          <w:sz w:val="20"/>
          <w:szCs w:val="20"/>
        </w:rPr>
      </w:pPr>
    </w:p>
    <w:p w:rsidR="00BA4C59" w:rsidRDefault="00BA4C59" w:rsidP="00BA4C59">
      <w:pPr>
        <w:pStyle w:val="Standard"/>
        <w:widowControl/>
        <w:numPr>
          <w:ilvl w:val="0"/>
          <w:numId w:val="24"/>
        </w:numPr>
        <w:suppressAutoHyphens/>
        <w:autoSpaceDE/>
        <w:adjustRightInd/>
        <w:spacing w:line="276" w:lineRule="auto"/>
        <w:ind w:left="709" w:hanging="425"/>
        <w:jc w:val="both"/>
        <w:textAlignment w:val="baseline"/>
        <w:rPr>
          <w:rFonts w:ascii="Cambria" w:hAnsi="Cambria"/>
          <w:sz w:val="20"/>
          <w:szCs w:val="20"/>
        </w:rPr>
      </w:pPr>
      <w:r w:rsidRPr="00F1288D">
        <w:rPr>
          <w:rFonts w:ascii="Cambria" w:hAnsi="Cambria"/>
          <w:sz w:val="20"/>
          <w:szCs w:val="20"/>
        </w:rPr>
        <w:t xml:space="preserve">w wysokości 0,2 % wynagrodzenia określonego w § 7 ust. 1 umowy, w przypadku </w:t>
      </w:r>
      <w:r>
        <w:rPr>
          <w:rFonts w:ascii="Cambria" w:hAnsi="Cambria"/>
          <w:sz w:val="20"/>
          <w:szCs w:val="20"/>
        </w:rPr>
        <w:t>zwłoki</w:t>
      </w:r>
      <w:r w:rsidRPr="00F1288D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br/>
      </w:r>
      <w:r w:rsidRPr="00F1288D">
        <w:rPr>
          <w:rFonts w:ascii="Cambria" w:hAnsi="Cambria"/>
          <w:sz w:val="20"/>
          <w:szCs w:val="20"/>
        </w:rPr>
        <w:t xml:space="preserve">w wykonaniu przedmiotu umowy za każdy dzień </w:t>
      </w:r>
      <w:r>
        <w:rPr>
          <w:rFonts w:ascii="Cambria" w:hAnsi="Cambria"/>
          <w:sz w:val="20"/>
          <w:szCs w:val="20"/>
        </w:rPr>
        <w:t xml:space="preserve">zwłoki </w:t>
      </w:r>
      <w:r w:rsidRPr="000E0228">
        <w:rPr>
          <w:rFonts w:ascii="Cambria" w:hAnsi="Cambria"/>
          <w:sz w:val="20"/>
          <w:szCs w:val="20"/>
        </w:rPr>
        <w:t>licząc od terminu określonego w § 2 ust. 1 umowy;</w:t>
      </w:r>
    </w:p>
    <w:p w:rsidR="00BA4C59" w:rsidRPr="00BA4C59" w:rsidRDefault="00BA4C59" w:rsidP="00BA4C59">
      <w:pPr>
        <w:pStyle w:val="Standard"/>
        <w:widowControl/>
        <w:numPr>
          <w:ilvl w:val="0"/>
          <w:numId w:val="24"/>
        </w:numPr>
        <w:suppressAutoHyphens/>
        <w:autoSpaceDE/>
        <w:adjustRightInd/>
        <w:spacing w:line="276" w:lineRule="auto"/>
        <w:ind w:left="709" w:hanging="425"/>
        <w:jc w:val="both"/>
        <w:textAlignment w:val="baseline"/>
        <w:rPr>
          <w:rFonts w:ascii="Cambria" w:hAnsi="Cambria"/>
          <w:sz w:val="20"/>
          <w:szCs w:val="20"/>
        </w:rPr>
      </w:pPr>
      <w:r w:rsidRPr="00BA4C59">
        <w:rPr>
          <w:rFonts w:ascii="Cambria" w:hAnsi="Cambria" w:cs="Arial"/>
          <w:sz w:val="20"/>
          <w:szCs w:val="20"/>
        </w:rPr>
        <w:t>za zwłokę w przedłożeniu do zatwierdzenia nowego lub zmienionego harmonogramu</w:t>
      </w:r>
      <w:r w:rsidRPr="000E0228">
        <w:t xml:space="preserve"> </w:t>
      </w:r>
      <w:r w:rsidRPr="00BA4C59">
        <w:rPr>
          <w:rFonts w:ascii="Cambria" w:hAnsi="Cambria" w:cs="Arial"/>
          <w:sz w:val="20"/>
          <w:szCs w:val="20"/>
        </w:rPr>
        <w:t>w wysokości 0,05 % wynagrodzenia brutto określonego w § 7 ust. 1 umowy, za każdy dzień zwłoki;</w:t>
      </w:r>
    </w:p>
    <w:p w:rsidR="00BA4C59" w:rsidRDefault="00BA4C59" w:rsidP="00BA4C59">
      <w:pPr>
        <w:pStyle w:val="Standard"/>
        <w:widowControl/>
        <w:numPr>
          <w:ilvl w:val="0"/>
          <w:numId w:val="24"/>
        </w:numPr>
        <w:suppressAutoHyphens/>
        <w:autoSpaceDE/>
        <w:adjustRightInd/>
        <w:spacing w:line="276" w:lineRule="auto"/>
        <w:ind w:left="709" w:hanging="425"/>
        <w:jc w:val="both"/>
        <w:textAlignment w:val="baseline"/>
        <w:rPr>
          <w:rFonts w:ascii="Cambria" w:hAnsi="Cambria"/>
          <w:sz w:val="20"/>
          <w:szCs w:val="20"/>
        </w:rPr>
      </w:pPr>
      <w:r w:rsidRPr="00BA4C59">
        <w:rPr>
          <w:rFonts w:ascii="Cambria" w:hAnsi="Cambria" w:cs="Arial"/>
          <w:sz w:val="20"/>
          <w:szCs w:val="20"/>
        </w:rPr>
        <w:t xml:space="preserve">za przedłożenie kosztorysu ofertowego przed zawarciem umowy niezgodnego z wymaganiami opisanymi w SWZ i nie dokonanie jego zmiany w terminie 2 dni roboczych od jego przekazania do poprawienia w wysokości 5000 zł za każdy dzień zwłoki;  </w:t>
      </w:r>
    </w:p>
    <w:p w:rsidR="00BA4C59" w:rsidRDefault="00BA4C59" w:rsidP="00BA4C59">
      <w:pPr>
        <w:pStyle w:val="Standard"/>
        <w:widowControl/>
        <w:numPr>
          <w:ilvl w:val="0"/>
          <w:numId w:val="24"/>
        </w:numPr>
        <w:suppressAutoHyphens/>
        <w:autoSpaceDE/>
        <w:adjustRightInd/>
        <w:spacing w:line="276" w:lineRule="auto"/>
        <w:ind w:left="709" w:hanging="425"/>
        <w:jc w:val="both"/>
        <w:textAlignment w:val="baseline"/>
        <w:rPr>
          <w:rFonts w:ascii="Cambria" w:hAnsi="Cambria"/>
          <w:sz w:val="20"/>
          <w:szCs w:val="20"/>
        </w:rPr>
      </w:pPr>
      <w:r w:rsidRPr="00BA4C59">
        <w:rPr>
          <w:rFonts w:ascii="Cambria" w:eastAsia="Calibri" w:hAnsi="Cambria" w:cs="Arial"/>
          <w:sz w:val="20"/>
          <w:szCs w:val="20"/>
        </w:rPr>
        <w:t>za zwłokę w wykonaniu robót w terminach  wskazanych w zatwierdzonym harmonogramie                       w wysokości 0,05 % wynagrodzenia brutto określonego w § 7 ust. 1 umowy, za każdy dzień zwłoki;</w:t>
      </w:r>
    </w:p>
    <w:p w:rsidR="00BA4C59" w:rsidRDefault="00BA4C59" w:rsidP="00BA4C59">
      <w:pPr>
        <w:pStyle w:val="Standard"/>
        <w:widowControl/>
        <w:numPr>
          <w:ilvl w:val="0"/>
          <w:numId w:val="24"/>
        </w:numPr>
        <w:suppressAutoHyphens/>
        <w:autoSpaceDE/>
        <w:adjustRightInd/>
        <w:spacing w:line="276" w:lineRule="auto"/>
        <w:ind w:left="709" w:hanging="425"/>
        <w:jc w:val="both"/>
        <w:textAlignment w:val="baseline"/>
        <w:rPr>
          <w:rFonts w:ascii="Cambria" w:hAnsi="Cambria"/>
          <w:sz w:val="20"/>
          <w:szCs w:val="20"/>
        </w:rPr>
      </w:pPr>
      <w:r w:rsidRPr="00BA4C59">
        <w:rPr>
          <w:rFonts w:ascii="Cambria" w:hAnsi="Cambria"/>
          <w:sz w:val="20"/>
          <w:szCs w:val="20"/>
        </w:rPr>
        <w:t xml:space="preserve">w wysokości 0,5 % wynagrodzenia, o którym mowa w § 7 ust. 1, za każdy dzień zwłoki  </w:t>
      </w:r>
      <w:r w:rsidRPr="00BA4C59">
        <w:rPr>
          <w:rFonts w:ascii="Cambria" w:hAnsi="Cambria"/>
          <w:sz w:val="20"/>
          <w:szCs w:val="20"/>
        </w:rPr>
        <w:br/>
        <w:t xml:space="preserve">w usunięciu wad i usterek stwierdzonych przy odbiorze lub w okresie rękojmi za wady </w:t>
      </w:r>
      <w:r w:rsidRPr="00BA4C59">
        <w:rPr>
          <w:rFonts w:ascii="Cambria" w:hAnsi="Cambria"/>
          <w:sz w:val="20"/>
          <w:szCs w:val="20"/>
        </w:rPr>
        <w:br/>
        <w:t>i gwarancji jakości, liczonej od dnia, w którym wada lub usterka miała być usunięta;</w:t>
      </w:r>
    </w:p>
    <w:p w:rsidR="00BA4C59" w:rsidRDefault="00BA4C59" w:rsidP="00BA4C59">
      <w:pPr>
        <w:pStyle w:val="Standard"/>
        <w:widowControl/>
        <w:numPr>
          <w:ilvl w:val="0"/>
          <w:numId w:val="24"/>
        </w:numPr>
        <w:suppressAutoHyphens/>
        <w:autoSpaceDE/>
        <w:adjustRightInd/>
        <w:spacing w:line="276" w:lineRule="auto"/>
        <w:ind w:left="709" w:hanging="425"/>
        <w:jc w:val="both"/>
        <w:textAlignment w:val="baseline"/>
        <w:rPr>
          <w:rFonts w:ascii="Cambria" w:hAnsi="Cambria"/>
          <w:sz w:val="20"/>
          <w:szCs w:val="20"/>
        </w:rPr>
      </w:pPr>
      <w:r w:rsidRPr="00BA4C59">
        <w:rPr>
          <w:rFonts w:ascii="Cambria" w:hAnsi="Cambria"/>
          <w:sz w:val="20"/>
          <w:szCs w:val="20"/>
        </w:rPr>
        <w:t>w wysokości 10 % wynagrodzenia określonego w § 7 ust. 1 umowy, gdy Wykonawca odstąpi od umowy z przyczyn leżących po jego stronie;</w:t>
      </w:r>
    </w:p>
    <w:p w:rsidR="00BA4C59" w:rsidRDefault="00BA4C59" w:rsidP="00BA4C59">
      <w:pPr>
        <w:pStyle w:val="Standard"/>
        <w:widowControl/>
        <w:numPr>
          <w:ilvl w:val="0"/>
          <w:numId w:val="24"/>
        </w:numPr>
        <w:suppressAutoHyphens/>
        <w:autoSpaceDE/>
        <w:adjustRightInd/>
        <w:spacing w:line="276" w:lineRule="auto"/>
        <w:ind w:left="709" w:hanging="425"/>
        <w:jc w:val="both"/>
        <w:textAlignment w:val="baseline"/>
        <w:rPr>
          <w:rFonts w:ascii="Cambria" w:hAnsi="Cambria"/>
          <w:sz w:val="20"/>
          <w:szCs w:val="20"/>
        </w:rPr>
      </w:pPr>
      <w:r w:rsidRPr="00BA4C59">
        <w:rPr>
          <w:rFonts w:ascii="Cambria" w:hAnsi="Cambria"/>
          <w:sz w:val="20"/>
          <w:szCs w:val="20"/>
        </w:rPr>
        <w:t>w wysokości 10 % wynagrodzenia określonego w § 7 ust. 1 umowy, gdy Zamawiający odstąpi od umowy z przyczyn leżących po stronie Wykonawcy;</w:t>
      </w:r>
    </w:p>
    <w:p w:rsidR="00BA4C59" w:rsidRDefault="00BA4C59" w:rsidP="00BA4C59">
      <w:pPr>
        <w:pStyle w:val="Standard"/>
        <w:widowControl/>
        <w:numPr>
          <w:ilvl w:val="0"/>
          <w:numId w:val="24"/>
        </w:numPr>
        <w:suppressAutoHyphens/>
        <w:autoSpaceDE/>
        <w:adjustRightInd/>
        <w:spacing w:line="276" w:lineRule="auto"/>
        <w:ind w:left="709" w:hanging="425"/>
        <w:jc w:val="both"/>
        <w:textAlignment w:val="baseline"/>
        <w:rPr>
          <w:rFonts w:ascii="Cambria" w:hAnsi="Cambria"/>
          <w:sz w:val="20"/>
          <w:szCs w:val="20"/>
        </w:rPr>
      </w:pPr>
      <w:r w:rsidRPr="00BA4C59">
        <w:rPr>
          <w:rFonts w:ascii="Cambria" w:hAnsi="Cambria"/>
          <w:sz w:val="20"/>
          <w:szCs w:val="20"/>
        </w:rPr>
        <w:t>w wysokości 10 000,00 PLN za każdy stwierdzony przypadek nie wykonania przedmiotu umowy zgodnie dokumentacją lub nie osiągnięciem zadeklarowanych parametrów w punktacji w kryterium wyboru oferty najkorzystniejszej;</w:t>
      </w:r>
    </w:p>
    <w:p w:rsidR="00BA4C59" w:rsidRDefault="00BA4C59" w:rsidP="00BA4C59">
      <w:pPr>
        <w:pStyle w:val="Standard"/>
        <w:widowControl/>
        <w:numPr>
          <w:ilvl w:val="0"/>
          <w:numId w:val="24"/>
        </w:numPr>
        <w:suppressAutoHyphens/>
        <w:autoSpaceDE/>
        <w:adjustRightInd/>
        <w:spacing w:line="276" w:lineRule="auto"/>
        <w:ind w:left="709" w:hanging="425"/>
        <w:jc w:val="both"/>
        <w:textAlignment w:val="baseline"/>
        <w:rPr>
          <w:rFonts w:ascii="Cambria" w:hAnsi="Cambria"/>
          <w:sz w:val="20"/>
          <w:szCs w:val="20"/>
        </w:rPr>
      </w:pPr>
      <w:r w:rsidRPr="00BA4C59">
        <w:rPr>
          <w:rFonts w:ascii="Cambria" w:hAnsi="Cambria"/>
          <w:sz w:val="20"/>
          <w:szCs w:val="20"/>
        </w:rPr>
        <w:t xml:space="preserve">za rażące naruszenie podstawowych obowiązków Wykonawcy, wynikających z umowy, </w:t>
      </w:r>
      <w:r w:rsidRPr="00BA4C59">
        <w:rPr>
          <w:rFonts w:ascii="Cambria" w:hAnsi="Cambria"/>
          <w:sz w:val="20"/>
          <w:szCs w:val="20"/>
        </w:rPr>
        <w:br/>
        <w:t>w szczególności naruszenie zasad ochrony przeciwpożarowej, przepisów i zasad bezpieczeństwa, higieny pracy i ochrony zdrowia, utrzymania porządku na terenie budowy oraz naruszenie obowiązków w zakresie wymaganego zatrudnienia osób na umowę o pracę  w wysokości  5.000,00 złotych za każde naruszenie stwierdzone;</w:t>
      </w:r>
    </w:p>
    <w:p w:rsidR="00BA4C59" w:rsidRPr="00524FA3" w:rsidRDefault="00524FA3" w:rsidP="00BA4C59">
      <w:pPr>
        <w:pStyle w:val="Standard"/>
        <w:widowControl/>
        <w:numPr>
          <w:ilvl w:val="0"/>
          <w:numId w:val="24"/>
        </w:numPr>
        <w:suppressAutoHyphens/>
        <w:autoSpaceDE/>
        <w:adjustRightInd/>
        <w:spacing w:line="276" w:lineRule="auto"/>
        <w:ind w:left="709" w:hanging="425"/>
        <w:jc w:val="both"/>
        <w:textAlignment w:val="baseline"/>
        <w:rPr>
          <w:rFonts w:ascii="Cambria" w:hAnsi="Cambria"/>
          <w:b/>
          <w:sz w:val="20"/>
          <w:szCs w:val="20"/>
        </w:rPr>
      </w:pPr>
      <w:r w:rsidRPr="00524FA3">
        <w:rPr>
          <w:rFonts w:ascii="Cambria" w:hAnsi="Cambria"/>
          <w:b/>
          <w:sz w:val="20"/>
          <w:szCs w:val="20"/>
        </w:rPr>
        <w:t>3</w:t>
      </w:r>
      <w:r w:rsidR="00BA4C59" w:rsidRPr="00524FA3">
        <w:rPr>
          <w:rFonts w:ascii="Cambria" w:hAnsi="Cambria"/>
          <w:b/>
          <w:sz w:val="20"/>
          <w:szCs w:val="20"/>
        </w:rPr>
        <w:t xml:space="preserve">0 000,00 PLN za każdy stwierdzony przypadek nie wykonywania osobiście przez Wykonawcę, przez osoby zatrudnione na umowę o pracę zawartą z Wykonawcą, prac związanych z rozmieszczeniem i instalacją, tj.: czynności związanych z montażem opraw oświetleniowych i montażem instalacji elektrycznej zasilania opraw </w:t>
      </w:r>
      <w:r w:rsidR="00BA4C59" w:rsidRPr="00524FA3">
        <w:rPr>
          <w:rFonts w:asciiTheme="majorHAnsi" w:hAnsiTheme="majorHAnsi"/>
          <w:b/>
          <w:sz w:val="20"/>
          <w:szCs w:val="20"/>
        </w:rPr>
        <w:t>oświetleniowych</w:t>
      </w:r>
      <w:r w:rsidR="00BA4C59" w:rsidRPr="00524FA3">
        <w:rPr>
          <w:rFonts w:ascii="Cambria" w:hAnsi="Cambria"/>
          <w:b/>
          <w:sz w:val="20"/>
          <w:szCs w:val="20"/>
        </w:rPr>
        <w:t>;</w:t>
      </w:r>
    </w:p>
    <w:p w:rsidR="00BA4C59" w:rsidRPr="00BA4C59" w:rsidRDefault="00BA4C59" w:rsidP="00BA4C59">
      <w:pPr>
        <w:pStyle w:val="Standard"/>
        <w:widowControl/>
        <w:numPr>
          <w:ilvl w:val="0"/>
          <w:numId w:val="24"/>
        </w:numPr>
        <w:suppressAutoHyphens/>
        <w:autoSpaceDE/>
        <w:adjustRightInd/>
        <w:spacing w:line="276" w:lineRule="auto"/>
        <w:ind w:left="709" w:hanging="425"/>
        <w:jc w:val="both"/>
        <w:textAlignment w:val="baseline"/>
        <w:rPr>
          <w:rFonts w:ascii="Cambria" w:hAnsi="Cambria"/>
          <w:sz w:val="20"/>
          <w:szCs w:val="20"/>
        </w:rPr>
      </w:pPr>
      <w:r w:rsidRPr="00BA4C59">
        <w:rPr>
          <w:rFonts w:ascii="Cambria" w:hAnsi="Cambria"/>
          <w:sz w:val="20"/>
          <w:szCs w:val="20"/>
        </w:rPr>
        <w:t>maksymalny limit kar umownych o którym mowa w ust. 1 nie może przekroczyć 20 % Wynagrodzenia, o którym mowa w §7 ust. 1.</w:t>
      </w:r>
    </w:p>
    <w:p w:rsidR="00BA4C59" w:rsidRDefault="00BA4C59" w:rsidP="00BA4C59">
      <w:pPr>
        <w:pStyle w:val="Standard"/>
        <w:widowControl/>
        <w:suppressAutoHyphens/>
        <w:autoSpaceDE/>
        <w:adjustRightInd/>
        <w:spacing w:line="276" w:lineRule="auto"/>
        <w:ind w:left="426"/>
        <w:jc w:val="both"/>
        <w:textAlignment w:val="baseline"/>
        <w:rPr>
          <w:rFonts w:ascii="Cambria" w:hAnsi="Cambria"/>
          <w:color w:val="FF0000"/>
          <w:sz w:val="20"/>
          <w:szCs w:val="20"/>
        </w:rPr>
      </w:pPr>
    </w:p>
    <w:p w:rsidR="00007B79" w:rsidRDefault="00007B79" w:rsidP="00007B79">
      <w:pPr>
        <w:pStyle w:val="Bezodstpw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8B274E" w:rsidRDefault="00642CB2" w:rsidP="00277D51">
      <w:pPr>
        <w:pStyle w:val="Bezodstpw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Zamawiający modyfikuje treść rozdziału III</w:t>
      </w:r>
      <w:r w:rsidR="00D25F35">
        <w:rPr>
          <w:rFonts w:asciiTheme="majorHAnsi" w:hAnsiTheme="majorHAnsi"/>
          <w:b/>
          <w:sz w:val="20"/>
          <w:szCs w:val="20"/>
        </w:rPr>
        <w:t xml:space="preserve"> SWZ, </w:t>
      </w:r>
      <w:r>
        <w:rPr>
          <w:rFonts w:asciiTheme="majorHAnsi" w:hAnsiTheme="majorHAnsi"/>
          <w:b/>
          <w:sz w:val="20"/>
          <w:szCs w:val="20"/>
        </w:rPr>
        <w:t>poprzez dodanie ust. 6 o następującej treści:</w:t>
      </w:r>
    </w:p>
    <w:p w:rsidR="00642CB2" w:rsidRDefault="00642CB2" w:rsidP="00277D51">
      <w:pPr>
        <w:pStyle w:val="Bezodstpw"/>
        <w:jc w:val="both"/>
        <w:rPr>
          <w:rFonts w:asciiTheme="majorHAnsi" w:hAnsiTheme="majorHAnsi"/>
          <w:b/>
          <w:sz w:val="20"/>
          <w:szCs w:val="20"/>
        </w:rPr>
      </w:pPr>
    </w:p>
    <w:p w:rsidR="00642CB2" w:rsidRPr="00642CB2" w:rsidRDefault="00642CB2" w:rsidP="00642CB2">
      <w:pPr>
        <w:pStyle w:val="Bezodstpw"/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 w:rsidRPr="00642CB2">
        <w:rPr>
          <w:rFonts w:asciiTheme="majorHAnsi" w:hAnsiTheme="majorHAnsi"/>
          <w:b/>
          <w:sz w:val="20"/>
          <w:szCs w:val="20"/>
        </w:rPr>
        <w:t>6. W przy</w:t>
      </w:r>
      <w:r>
        <w:rPr>
          <w:rFonts w:asciiTheme="majorHAnsi" w:hAnsiTheme="majorHAnsi"/>
          <w:b/>
          <w:sz w:val="20"/>
          <w:szCs w:val="20"/>
        </w:rPr>
        <w:t>padku stwierdzenia rozbieżności</w:t>
      </w:r>
      <w:r w:rsidRPr="00642CB2">
        <w:rPr>
          <w:rFonts w:asciiTheme="majorHAnsi" w:hAnsiTheme="majorHAnsi"/>
          <w:b/>
          <w:sz w:val="20"/>
          <w:szCs w:val="20"/>
        </w:rPr>
        <w:t xml:space="preserve"> w wymaganych warunkach podmiotowych </w:t>
      </w:r>
      <w:r>
        <w:rPr>
          <w:rFonts w:asciiTheme="majorHAnsi" w:hAnsiTheme="majorHAnsi"/>
          <w:b/>
          <w:sz w:val="20"/>
          <w:szCs w:val="20"/>
        </w:rPr>
        <w:br/>
      </w:r>
      <w:r w:rsidRPr="00642CB2">
        <w:rPr>
          <w:rFonts w:asciiTheme="majorHAnsi" w:hAnsiTheme="majorHAnsi"/>
          <w:b/>
          <w:sz w:val="20"/>
          <w:szCs w:val="20"/>
        </w:rPr>
        <w:t xml:space="preserve">i przedmiotowych oraz wymaganych środkach dowodowych podmiotowych i przedmiotowych </w:t>
      </w:r>
      <w:r>
        <w:rPr>
          <w:rFonts w:asciiTheme="majorHAnsi" w:hAnsiTheme="majorHAnsi"/>
          <w:b/>
          <w:sz w:val="20"/>
          <w:szCs w:val="20"/>
        </w:rPr>
        <w:br/>
      </w:r>
      <w:r w:rsidRPr="00642CB2">
        <w:rPr>
          <w:rFonts w:asciiTheme="majorHAnsi" w:hAnsiTheme="majorHAnsi"/>
          <w:b/>
          <w:sz w:val="20"/>
          <w:szCs w:val="20"/>
        </w:rPr>
        <w:t>w OPZ i SWZ wiążące są postanowienia SWZ.</w:t>
      </w:r>
    </w:p>
    <w:sectPr w:rsidR="00642CB2" w:rsidRPr="00642CB2" w:rsidSect="006D7960">
      <w:headerReference w:type="default" r:id="rId9"/>
      <w:pgSz w:w="11906" w:h="16838"/>
      <w:pgMar w:top="2386" w:right="1133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0F5" w:rsidRDefault="003200F5">
      <w:pPr>
        <w:spacing w:after="0" w:line="240" w:lineRule="auto"/>
      </w:pPr>
      <w:r>
        <w:separator/>
      </w:r>
    </w:p>
  </w:endnote>
  <w:endnote w:type="continuationSeparator" w:id="0">
    <w:p w:rsidR="003200F5" w:rsidRDefault="00320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0F5" w:rsidRDefault="003200F5">
      <w:pPr>
        <w:spacing w:after="0" w:line="240" w:lineRule="auto"/>
      </w:pPr>
      <w:r>
        <w:separator/>
      </w:r>
    </w:p>
  </w:footnote>
  <w:footnote w:type="continuationSeparator" w:id="0">
    <w:p w:rsidR="003200F5" w:rsidRDefault="00320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1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0924E4" w:rsidRPr="00D77D6D" w:rsidTr="00B002A8">
      <w:tc>
        <w:tcPr>
          <w:tcW w:w="1843" w:type="dxa"/>
          <w:tcMar>
            <w:left w:w="0" w:type="dxa"/>
            <w:right w:w="0" w:type="dxa"/>
          </w:tcMar>
        </w:tcPr>
        <w:p w:rsidR="000924E4" w:rsidRPr="00D77D6D" w:rsidRDefault="000924E4" w:rsidP="000924E4">
          <w:pPr>
            <w:rPr>
              <w:noProof/>
            </w:rPr>
          </w:pPr>
          <w:bookmarkStart w:id="1" w:name="_Hlk25055772"/>
          <w:bookmarkStart w:id="2" w:name="_Hlk25055773"/>
          <w:bookmarkStart w:id="3" w:name="_Hlk9335319"/>
          <w:r w:rsidRPr="00616F01">
            <w:rPr>
              <w:noProof/>
              <w:lang w:eastAsia="pl-PL"/>
            </w:rPr>
            <w:drawing>
              <wp:inline distT="0" distB="0" distL="0" distR="0" wp14:anchorId="66875138" wp14:editId="7043AC01">
                <wp:extent cx="1031875" cy="436245"/>
                <wp:effectExtent l="0" t="0" r="0" b="190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0924E4" w:rsidRPr="00D77D6D" w:rsidRDefault="000924E4" w:rsidP="000924E4">
          <w:pPr>
            <w:ind w:left="48"/>
            <w:jc w:val="center"/>
            <w:rPr>
              <w:noProof/>
            </w:rPr>
          </w:pPr>
          <w:r w:rsidRPr="00616F01">
            <w:rPr>
              <w:noProof/>
              <w:lang w:eastAsia="pl-PL"/>
            </w:rPr>
            <w:drawing>
              <wp:inline distT="0" distB="0" distL="0" distR="0" wp14:anchorId="6F2A9A52" wp14:editId="506F34A6">
                <wp:extent cx="1409065" cy="436245"/>
                <wp:effectExtent l="0" t="0" r="635" b="190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06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0924E4" w:rsidRPr="00D77D6D" w:rsidRDefault="000924E4" w:rsidP="000924E4">
          <w:pPr>
            <w:ind w:left="-1"/>
            <w:jc w:val="center"/>
            <w:rPr>
              <w:noProof/>
            </w:rPr>
          </w:pPr>
          <w:r w:rsidRPr="00616F01">
            <w:rPr>
              <w:noProof/>
              <w:lang w:eastAsia="pl-PL"/>
            </w:rPr>
            <w:drawing>
              <wp:inline distT="0" distB="0" distL="0" distR="0" wp14:anchorId="55439DB1" wp14:editId="1E0583E4">
                <wp:extent cx="964565" cy="436245"/>
                <wp:effectExtent l="0" t="0" r="6985" b="190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56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0924E4" w:rsidRPr="00D77D6D" w:rsidRDefault="000924E4" w:rsidP="000924E4">
          <w:pPr>
            <w:ind w:right="-1"/>
            <w:jc w:val="right"/>
            <w:rPr>
              <w:noProof/>
            </w:rPr>
          </w:pPr>
          <w:r w:rsidRPr="00616F01">
            <w:rPr>
              <w:noProof/>
              <w:lang w:eastAsia="pl-PL"/>
            </w:rPr>
            <w:drawing>
              <wp:inline distT="0" distB="0" distL="0" distR="0" wp14:anchorId="54A18D94" wp14:editId="54C1591B">
                <wp:extent cx="1459865" cy="436245"/>
                <wp:effectExtent l="0" t="0" r="6985" b="190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986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24E4" w:rsidRDefault="000924E4" w:rsidP="000924E4">
    <w:pPr>
      <w:pStyle w:val="Nagwek"/>
      <w:rPr>
        <w:rFonts w:ascii="Cambria" w:hAnsi="Cambria" w:cs="Cambria"/>
        <w:sz w:val="20"/>
        <w:szCs w:val="20"/>
      </w:rPr>
    </w:pPr>
  </w:p>
  <w:p w:rsidR="000924E4" w:rsidRPr="00D310C5" w:rsidRDefault="000924E4" w:rsidP="000924E4">
    <w:pPr>
      <w:pStyle w:val="Standard"/>
      <w:rPr>
        <w:rFonts w:ascii="Cambria" w:hAnsi="Cambria"/>
        <w:b/>
        <w:bCs/>
        <w:sz w:val="20"/>
        <w:szCs w:val="20"/>
        <w:lang w:val="en-US"/>
      </w:rPr>
    </w:pPr>
    <w:proofErr w:type="spellStart"/>
    <w:r w:rsidRPr="00D310C5">
      <w:rPr>
        <w:rFonts w:ascii="Cambria" w:hAnsi="Cambria"/>
        <w:sz w:val="20"/>
        <w:szCs w:val="20"/>
        <w:lang w:val="en-US"/>
      </w:rPr>
      <w:t>Numer</w:t>
    </w:r>
    <w:proofErr w:type="spellEnd"/>
    <w:r w:rsidRPr="00D310C5">
      <w:rPr>
        <w:rFonts w:ascii="Cambria" w:hAnsi="Cambria"/>
        <w:sz w:val="20"/>
        <w:szCs w:val="20"/>
        <w:lang w:val="en-US"/>
      </w:rPr>
      <w:t xml:space="preserve"> </w:t>
    </w:r>
    <w:proofErr w:type="spellStart"/>
    <w:r w:rsidRPr="00D310C5">
      <w:rPr>
        <w:rFonts w:ascii="Cambria" w:hAnsi="Cambria"/>
        <w:sz w:val="20"/>
        <w:szCs w:val="20"/>
        <w:lang w:val="en-US"/>
      </w:rPr>
      <w:t>referencyjny</w:t>
    </w:r>
    <w:proofErr w:type="spellEnd"/>
    <w:r w:rsidRPr="00D310C5">
      <w:rPr>
        <w:rFonts w:ascii="Cambria" w:hAnsi="Cambria"/>
        <w:sz w:val="20"/>
        <w:szCs w:val="20"/>
        <w:lang w:val="en-US"/>
      </w:rPr>
      <w:t xml:space="preserve">: </w:t>
    </w:r>
    <w:r w:rsidR="00D310C5" w:rsidRPr="00D310C5">
      <w:rPr>
        <w:rFonts w:ascii="Cambria" w:hAnsi="Cambria"/>
        <w:sz w:val="20"/>
        <w:szCs w:val="20"/>
        <w:lang w:val="en-US"/>
      </w:rPr>
      <w:t>IN.271.7.2021.A.K.</w:t>
    </w:r>
    <w:r w:rsidRPr="00D310C5">
      <w:rPr>
        <w:rFonts w:ascii="Cambria" w:hAnsi="Cambria"/>
        <w:sz w:val="20"/>
        <w:szCs w:val="20"/>
        <w:lang w:val="en-US"/>
      </w:rPr>
      <w:t xml:space="preserve"> </w:t>
    </w:r>
  </w:p>
  <w:p w:rsidR="00B0224F" w:rsidRPr="00D310C5" w:rsidRDefault="00B0224F" w:rsidP="00EA27ED">
    <w:pPr>
      <w:pStyle w:val="Nagwek"/>
      <w:rPr>
        <w:lang w:val="en-US"/>
      </w:rPr>
    </w:pPr>
  </w:p>
  <w:bookmarkEnd w:id="1"/>
  <w:bookmarkEnd w:id="2"/>
  <w:bookmarkEnd w:id="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CD2830C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2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6" w15:restartNumberingAfterBreak="0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7" w15:restartNumberingAfterBreak="0">
    <w:nsid w:val="014E36EF"/>
    <w:multiLevelType w:val="multilevel"/>
    <w:tmpl w:val="5660F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7D232F6"/>
    <w:multiLevelType w:val="hybridMultilevel"/>
    <w:tmpl w:val="E9DAD724"/>
    <w:lvl w:ilvl="0" w:tplc="13C26BA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3C6D3A"/>
    <w:multiLevelType w:val="multilevel"/>
    <w:tmpl w:val="1C24E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0A577C"/>
    <w:multiLevelType w:val="hybridMultilevel"/>
    <w:tmpl w:val="0A664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BF3C20"/>
    <w:multiLevelType w:val="hybridMultilevel"/>
    <w:tmpl w:val="A0AA1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74303"/>
    <w:multiLevelType w:val="hybridMultilevel"/>
    <w:tmpl w:val="4196903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15D375BB"/>
    <w:multiLevelType w:val="multilevel"/>
    <w:tmpl w:val="99A829E4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7960365"/>
    <w:multiLevelType w:val="hybridMultilevel"/>
    <w:tmpl w:val="B7002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6" w15:restartNumberingAfterBreak="0">
    <w:nsid w:val="20435891"/>
    <w:multiLevelType w:val="hybridMultilevel"/>
    <w:tmpl w:val="58A2A446"/>
    <w:lvl w:ilvl="0" w:tplc="EF74F7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5A5A45"/>
    <w:multiLevelType w:val="hybridMultilevel"/>
    <w:tmpl w:val="56AC9258"/>
    <w:lvl w:ilvl="0" w:tplc="DA4AFFE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7300431"/>
    <w:multiLevelType w:val="multilevel"/>
    <w:tmpl w:val="DEE6DCE8"/>
    <w:styleLink w:val="WWNum10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31D73F99"/>
    <w:multiLevelType w:val="hybridMultilevel"/>
    <w:tmpl w:val="CE182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1225B"/>
    <w:multiLevelType w:val="hybridMultilevel"/>
    <w:tmpl w:val="8BA6F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D59AB"/>
    <w:multiLevelType w:val="hybridMultilevel"/>
    <w:tmpl w:val="D93096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3804F44"/>
    <w:multiLevelType w:val="multilevel"/>
    <w:tmpl w:val="7772C52C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4" w15:restartNumberingAfterBreak="0">
    <w:nsid w:val="45E52FD2"/>
    <w:multiLevelType w:val="hybridMultilevel"/>
    <w:tmpl w:val="CAF00036"/>
    <w:lvl w:ilvl="0" w:tplc="77A4400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45691"/>
    <w:multiLevelType w:val="hybridMultilevel"/>
    <w:tmpl w:val="A9D00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42390"/>
    <w:multiLevelType w:val="hybridMultilevel"/>
    <w:tmpl w:val="1A66FC1A"/>
    <w:lvl w:ilvl="0" w:tplc="9C18BD9C">
      <w:start w:val="1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A6910"/>
    <w:multiLevelType w:val="multilevel"/>
    <w:tmpl w:val="97BA3E5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28" w15:restartNumberingAfterBreak="0">
    <w:nsid w:val="52C33C1F"/>
    <w:multiLevelType w:val="hybridMultilevel"/>
    <w:tmpl w:val="81368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86621"/>
    <w:multiLevelType w:val="hybridMultilevel"/>
    <w:tmpl w:val="195EB242"/>
    <w:lvl w:ilvl="0" w:tplc="0430F07E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874E4E"/>
    <w:multiLevelType w:val="hybridMultilevel"/>
    <w:tmpl w:val="CBC25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1581F"/>
    <w:multiLevelType w:val="hybridMultilevel"/>
    <w:tmpl w:val="C7C8D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26702"/>
    <w:multiLevelType w:val="hybridMultilevel"/>
    <w:tmpl w:val="A84CE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15C60"/>
    <w:multiLevelType w:val="multilevel"/>
    <w:tmpl w:val="0E1CCCC2"/>
    <w:lvl w:ilvl="0">
      <w:start w:val="9"/>
      <w:numFmt w:val="decimal"/>
      <w:lvlText w:val="%1."/>
      <w:lvlJc w:val="left"/>
      <w:pPr>
        <w:ind w:left="0" w:firstLine="0"/>
      </w:pPr>
      <w:rPr>
        <w:rFonts w:ascii="Cambria" w:eastAsia="Trebuchet MS" w:hAnsi="Cambria" w:cs="Trebuchet MS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70DB4D04"/>
    <w:multiLevelType w:val="hybridMultilevel"/>
    <w:tmpl w:val="B95ED43C"/>
    <w:lvl w:ilvl="0" w:tplc="00000004">
      <w:start w:val="1"/>
      <w:numFmt w:val="bullet"/>
      <w:lvlText w:val="−"/>
      <w:lvlJc w:val="left"/>
      <w:pPr>
        <w:ind w:left="434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35" w15:restartNumberingAfterBreak="0">
    <w:nsid w:val="72BD0B2C"/>
    <w:multiLevelType w:val="multilevel"/>
    <w:tmpl w:val="8DD8436E"/>
    <w:lvl w:ilvl="0">
      <w:start w:val="20"/>
      <w:numFmt w:val="decimal"/>
      <w:lvlText w:val="%1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Batang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Batang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Batang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Batang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Batang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Batang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Batang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Batang" w:hint="default"/>
      </w:rPr>
    </w:lvl>
  </w:abstractNum>
  <w:abstractNum w:abstractNumId="36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7169CB"/>
    <w:multiLevelType w:val="hybridMultilevel"/>
    <w:tmpl w:val="2B9EC7A6"/>
    <w:lvl w:ilvl="0" w:tplc="3CB09A1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D522A"/>
    <w:multiLevelType w:val="hybridMultilevel"/>
    <w:tmpl w:val="CE2E71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6"/>
  </w:num>
  <w:num w:numId="3">
    <w:abstractNumId w:val="37"/>
  </w:num>
  <w:num w:numId="4">
    <w:abstractNumId w:val="0"/>
  </w:num>
  <w:num w:numId="5">
    <w:abstractNumId w:val="7"/>
  </w:num>
  <w:num w:numId="6">
    <w:abstractNumId w:val="31"/>
  </w:num>
  <w:num w:numId="7">
    <w:abstractNumId w:val="35"/>
  </w:num>
  <w:num w:numId="8">
    <w:abstractNumId w:val="12"/>
  </w:num>
  <w:num w:numId="9">
    <w:abstractNumId w:val="27"/>
  </w:num>
  <w:num w:numId="10">
    <w:abstractNumId w:val="22"/>
  </w:num>
  <w:num w:numId="11">
    <w:abstractNumId w:val="23"/>
  </w:num>
  <w:num w:numId="12">
    <w:abstractNumId w:val="32"/>
  </w:num>
  <w:num w:numId="13">
    <w:abstractNumId w:val="24"/>
  </w:num>
  <w:num w:numId="14">
    <w:abstractNumId w:val="13"/>
  </w:num>
  <w:num w:numId="15">
    <w:abstractNumId w:val="16"/>
  </w:num>
  <w:num w:numId="16">
    <w:abstractNumId w:val="1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9"/>
  </w:num>
  <w:num w:numId="20">
    <w:abstractNumId w:val="14"/>
  </w:num>
  <w:num w:numId="21">
    <w:abstractNumId w:val="10"/>
  </w:num>
  <w:num w:numId="22">
    <w:abstractNumId w:val="34"/>
  </w:num>
  <w:num w:numId="23">
    <w:abstractNumId w:val="30"/>
  </w:num>
  <w:num w:numId="24">
    <w:abstractNumId w:val="18"/>
    <w:lvlOverride w:ilvl="0">
      <w:lvl w:ilvl="0">
        <w:start w:val="1"/>
        <w:numFmt w:val="decimal"/>
        <w:lvlText w:val="%1)"/>
        <w:lvlJc w:val="left"/>
        <w:rPr>
          <w:color w:val="00000A"/>
        </w:rPr>
      </w:lvl>
    </w:lvlOverride>
  </w:num>
  <w:num w:numId="25">
    <w:abstractNumId w:val="38"/>
  </w:num>
  <w:num w:numId="26">
    <w:abstractNumId w:val="20"/>
  </w:num>
  <w:num w:numId="27">
    <w:abstractNumId w:val="8"/>
  </w:num>
  <w:num w:numId="28">
    <w:abstractNumId w:val="25"/>
  </w:num>
  <w:num w:numId="29">
    <w:abstractNumId w:val="11"/>
  </w:num>
  <w:num w:numId="30">
    <w:abstractNumId w:val="18"/>
  </w:num>
  <w:num w:numId="31">
    <w:abstractNumId w:val="26"/>
  </w:num>
  <w:num w:numId="32">
    <w:abstractNumId w:val="17"/>
  </w:num>
  <w:num w:numId="33">
    <w:abstractNumId w:val="21"/>
  </w:num>
  <w:num w:numId="34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79"/>
    <w:rsid w:val="000011FB"/>
    <w:rsid w:val="00006124"/>
    <w:rsid w:val="00007B79"/>
    <w:rsid w:val="000160F7"/>
    <w:rsid w:val="00016867"/>
    <w:rsid w:val="00016B6B"/>
    <w:rsid w:val="000208AC"/>
    <w:rsid w:val="00034C04"/>
    <w:rsid w:val="000407E8"/>
    <w:rsid w:val="000419BD"/>
    <w:rsid w:val="00042B7D"/>
    <w:rsid w:val="000445C3"/>
    <w:rsid w:val="00045223"/>
    <w:rsid w:val="000468F3"/>
    <w:rsid w:val="0005242F"/>
    <w:rsid w:val="000629AF"/>
    <w:rsid w:val="00072B3B"/>
    <w:rsid w:val="00075B7C"/>
    <w:rsid w:val="000858F1"/>
    <w:rsid w:val="00086A6C"/>
    <w:rsid w:val="000912C1"/>
    <w:rsid w:val="000924E4"/>
    <w:rsid w:val="00094618"/>
    <w:rsid w:val="000965FC"/>
    <w:rsid w:val="000A35E9"/>
    <w:rsid w:val="000A53A4"/>
    <w:rsid w:val="000A6A9B"/>
    <w:rsid w:val="000A6D28"/>
    <w:rsid w:val="000B34A0"/>
    <w:rsid w:val="000B4201"/>
    <w:rsid w:val="000B4349"/>
    <w:rsid w:val="000B5B27"/>
    <w:rsid w:val="000C107C"/>
    <w:rsid w:val="000C2B7F"/>
    <w:rsid w:val="000C7C14"/>
    <w:rsid w:val="000F2609"/>
    <w:rsid w:val="00102D66"/>
    <w:rsid w:val="0010373D"/>
    <w:rsid w:val="0010653A"/>
    <w:rsid w:val="001069D6"/>
    <w:rsid w:val="00110D54"/>
    <w:rsid w:val="001132D7"/>
    <w:rsid w:val="001200E3"/>
    <w:rsid w:val="0012369D"/>
    <w:rsid w:val="001268BC"/>
    <w:rsid w:val="00126C96"/>
    <w:rsid w:val="0013558F"/>
    <w:rsid w:val="001407B9"/>
    <w:rsid w:val="00146EA7"/>
    <w:rsid w:val="001621A4"/>
    <w:rsid w:val="001674E9"/>
    <w:rsid w:val="00174801"/>
    <w:rsid w:val="00185C72"/>
    <w:rsid w:val="00187524"/>
    <w:rsid w:val="00190334"/>
    <w:rsid w:val="001918FB"/>
    <w:rsid w:val="00192759"/>
    <w:rsid w:val="001927FF"/>
    <w:rsid w:val="00192A0F"/>
    <w:rsid w:val="001B2CE6"/>
    <w:rsid w:val="001B72AA"/>
    <w:rsid w:val="001C7DF3"/>
    <w:rsid w:val="001D17C9"/>
    <w:rsid w:val="001E3203"/>
    <w:rsid w:val="001E4D7A"/>
    <w:rsid w:val="001E7B89"/>
    <w:rsid w:val="001F53B9"/>
    <w:rsid w:val="00204103"/>
    <w:rsid w:val="00204EDD"/>
    <w:rsid w:val="0020671A"/>
    <w:rsid w:val="002220D7"/>
    <w:rsid w:val="0022550D"/>
    <w:rsid w:val="00232EB3"/>
    <w:rsid w:val="0023623C"/>
    <w:rsid w:val="00242AEA"/>
    <w:rsid w:val="00242EA9"/>
    <w:rsid w:val="00244044"/>
    <w:rsid w:val="0024406B"/>
    <w:rsid w:val="00262ACB"/>
    <w:rsid w:val="00264EBA"/>
    <w:rsid w:val="00277D51"/>
    <w:rsid w:val="002858BF"/>
    <w:rsid w:val="002A3892"/>
    <w:rsid w:val="002A6D67"/>
    <w:rsid w:val="002A797F"/>
    <w:rsid w:val="002B0357"/>
    <w:rsid w:val="002C577D"/>
    <w:rsid w:val="002D0180"/>
    <w:rsid w:val="002D3896"/>
    <w:rsid w:val="002D5306"/>
    <w:rsid w:val="003015B2"/>
    <w:rsid w:val="003027CC"/>
    <w:rsid w:val="003073CD"/>
    <w:rsid w:val="0031198C"/>
    <w:rsid w:val="003200F5"/>
    <w:rsid w:val="00320645"/>
    <w:rsid w:val="003349E1"/>
    <w:rsid w:val="00342321"/>
    <w:rsid w:val="00346777"/>
    <w:rsid w:val="00375CD1"/>
    <w:rsid w:val="003767BD"/>
    <w:rsid w:val="00383083"/>
    <w:rsid w:val="00387D66"/>
    <w:rsid w:val="003933AC"/>
    <w:rsid w:val="003A22D0"/>
    <w:rsid w:val="003A26A3"/>
    <w:rsid w:val="003A2B08"/>
    <w:rsid w:val="003B11A6"/>
    <w:rsid w:val="003B25A2"/>
    <w:rsid w:val="003C3320"/>
    <w:rsid w:val="003C6FD9"/>
    <w:rsid w:val="003D3D32"/>
    <w:rsid w:val="003E0641"/>
    <w:rsid w:val="003F392A"/>
    <w:rsid w:val="003F6AF3"/>
    <w:rsid w:val="00416281"/>
    <w:rsid w:val="004329E6"/>
    <w:rsid w:val="00442040"/>
    <w:rsid w:val="0044781D"/>
    <w:rsid w:val="00451A4C"/>
    <w:rsid w:val="00452233"/>
    <w:rsid w:val="0046616C"/>
    <w:rsid w:val="00470165"/>
    <w:rsid w:val="004713A2"/>
    <w:rsid w:val="00471CB6"/>
    <w:rsid w:val="0047462D"/>
    <w:rsid w:val="00481643"/>
    <w:rsid w:val="00487837"/>
    <w:rsid w:val="00494206"/>
    <w:rsid w:val="004A0291"/>
    <w:rsid w:val="004B0D79"/>
    <w:rsid w:val="004C0BB2"/>
    <w:rsid w:val="004C7C4F"/>
    <w:rsid w:val="004D7B07"/>
    <w:rsid w:val="004E4AF0"/>
    <w:rsid w:val="004F61E2"/>
    <w:rsid w:val="00503A5B"/>
    <w:rsid w:val="00503D47"/>
    <w:rsid w:val="0050756F"/>
    <w:rsid w:val="00510A32"/>
    <w:rsid w:val="00512767"/>
    <w:rsid w:val="00515892"/>
    <w:rsid w:val="00520DAE"/>
    <w:rsid w:val="00522824"/>
    <w:rsid w:val="00523607"/>
    <w:rsid w:val="00524FA3"/>
    <w:rsid w:val="00527E8A"/>
    <w:rsid w:val="0053098A"/>
    <w:rsid w:val="0053313F"/>
    <w:rsid w:val="005338D0"/>
    <w:rsid w:val="005363C7"/>
    <w:rsid w:val="005363F2"/>
    <w:rsid w:val="005412A2"/>
    <w:rsid w:val="00545FB0"/>
    <w:rsid w:val="00546569"/>
    <w:rsid w:val="005513A1"/>
    <w:rsid w:val="00556E3D"/>
    <w:rsid w:val="00565AB2"/>
    <w:rsid w:val="00565DF4"/>
    <w:rsid w:val="00565E34"/>
    <w:rsid w:val="00567545"/>
    <w:rsid w:val="00570D3E"/>
    <w:rsid w:val="0057634C"/>
    <w:rsid w:val="00577C01"/>
    <w:rsid w:val="00583F2A"/>
    <w:rsid w:val="00596674"/>
    <w:rsid w:val="00596951"/>
    <w:rsid w:val="00596D9C"/>
    <w:rsid w:val="005C0ADD"/>
    <w:rsid w:val="005E21D4"/>
    <w:rsid w:val="005E3479"/>
    <w:rsid w:val="00600F86"/>
    <w:rsid w:val="006027F4"/>
    <w:rsid w:val="006178ED"/>
    <w:rsid w:val="00620D40"/>
    <w:rsid w:val="00634338"/>
    <w:rsid w:val="00642504"/>
    <w:rsid w:val="00642652"/>
    <w:rsid w:val="006427F1"/>
    <w:rsid w:val="00642CB2"/>
    <w:rsid w:val="00647751"/>
    <w:rsid w:val="00653988"/>
    <w:rsid w:val="00662906"/>
    <w:rsid w:val="00676239"/>
    <w:rsid w:val="0067676D"/>
    <w:rsid w:val="00683125"/>
    <w:rsid w:val="006926DD"/>
    <w:rsid w:val="00696BC8"/>
    <w:rsid w:val="006A71B9"/>
    <w:rsid w:val="006B3799"/>
    <w:rsid w:val="006C2503"/>
    <w:rsid w:val="006C5621"/>
    <w:rsid w:val="006C5F74"/>
    <w:rsid w:val="006D528C"/>
    <w:rsid w:val="006D7960"/>
    <w:rsid w:val="006E4697"/>
    <w:rsid w:val="006F3106"/>
    <w:rsid w:val="007005E5"/>
    <w:rsid w:val="007056CB"/>
    <w:rsid w:val="00707198"/>
    <w:rsid w:val="007137C9"/>
    <w:rsid w:val="00720262"/>
    <w:rsid w:val="00722DC5"/>
    <w:rsid w:val="007400B0"/>
    <w:rsid w:val="0074030E"/>
    <w:rsid w:val="00744F71"/>
    <w:rsid w:val="00746D08"/>
    <w:rsid w:val="00755374"/>
    <w:rsid w:val="00757E1D"/>
    <w:rsid w:val="0077620B"/>
    <w:rsid w:val="0078086A"/>
    <w:rsid w:val="0079020C"/>
    <w:rsid w:val="007A29DB"/>
    <w:rsid w:val="007A69D3"/>
    <w:rsid w:val="007B080B"/>
    <w:rsid w:val="007B08A6"/>
    <w:rsid w:val="007B76BF"/>
    <w:rsid w:val="007C181A"/>
    <w:rsid w:val="007C71C2"/>
    <w:rsid w:val="007D2E56"/>
    <w:rsid w:val="007D3FE0"/>
    <w:rsid w:val="007D66AA"/>
    <w:rsid w:val="007E19BF"/>
    <w:rsid w:val="007E43BA"/>
    <w:rsid w:val="007F123D"/>
    <w:rsid w:val="007F282F"/>
    <w:rsid w:val="00812A28"/>
    <w:rsid w:val="008242F9"/>
    <w:rsid w:val="0082652A"/>
    <w:rsid w:val="00830D24"/>
    <w:rsid w:val="00830D71"/>
    <w:rsid w:val="00835A24"/>
    <w:rsid w:val="00840F58"/>
    <w:rsid w:val="008433B5"/>
    <w:rsid w:val="00845D6D"/>
    <w:rsid w:val="008556EA"/>
    <w:rsid w:val="008576F5"/>
    <w:rsid w:val="00861547"/>
    <w:rsid w:val="00863522"/>
    <w:rsid w:val="0087063E"/>
    <w:rsid w:val="00887FBF"/>
    <w:rsid w:val="00890221"/>
    <w:rsid w:val="008A79B2"/>
    <w:rsid w:val="008B274E"/>
    <w:rsid w:val="008C3221"/>
    <w:rsid w:val="008D1080"/>
    <w:rsid w:val="008D17A0"/>
    <w:rsid w:val="008D3A54"/>
    <w:rsid w:val="008E6709"/>
    <w:rsid w:val="00901948"/>
    <w:rsid w:val="009019F2"/>
    <w:rsid w:val="00912155"/>
    <w:rsid w:val="00922BA5"/>
    <w:rsid w:val="009236A7"/>
    <w:rsid w:val="00927057"/>
    <w:rsid w:val="00934CFB"/>
    <w:rsid w:val="00941A2E"/>
    <w:rsid w:val="009445F1"/>
    <w:rsid w:val="00946A94"/>
    <w:rsid w:val="009577ED"/>
    <w:rsid w:val="00960161"/>
    <w:rsid w:val="0097364B"/>
    <w:rsid w:val="00974B0B"/>
    <w:rsid w:val="0098028C"/>
    <w:rsid w:val="00981661"/>
    <w:rsid w:val="00984809"/>
    <w:rsid w:val="00986594"/>
    <w:rsid w:val="0098691D"/>
    <w:rsid w:val="009919CD"/>
    <w:rsid w:val="00991B88"/>
    <w:rsid w:val="00997FF9"/>
    <w:rsid w:val="009B058B"/>
    <w:rsid w:val="009B155E"/>
    <w:rsid w:val="009C0D7C"/>
    <w:rsid w:val="009C1E5B"/>
    <w:rsid w:val="009D2360"/>
    <w:rsid w:val="009D402E"/>
    <w:rsid w:val="009D501E"/>
    <w:rsid w:val="009D5344"/>
    <w:rsid w:val="009D5A27"/>
    <w:rsid w:val="009D6DCD"/>
    <w:rsid w:val="009D6F88"/>
    <w:rsid w:val="009E6641"/>
    <w:rsid w:val="009F0651"/>
    <w:rsid w:val="009F6B55"/>
    <w:rsid w:val="009F6FDC"/>
    <w:rsid w:val="00A02188"/>
    <w:rsid w:val="00A031C0"/>
    <w:rsid w:val="00A26A12"/>
    <w:rsid w:val="00A36AF1"/>
    <w:rsid w:val="00A43553"/>
    <w:rsid w:val="00A5630D"/>
    <w:rsid w:val="00A565CD"/>
    <w:rsid w:val="00A57ECD"/>
    <w:rsid w:val="00A6688F"/>
    <w:rsid w:val="00A7036F"/>
    <w:rsid w:val="00A7529B"/>
    <w:rsid w:val="00A837AF"/>
    <w:rsid w:val="00A87022"/>
    <w:rsid w:val="00A875F6"/>
    <w:rsid w:val="00A96205"/>
    <w:rsid w:val="00AA0D33"/>
    <w:rsid w:val="00AA220D"/>
    <w:rsid w:val="00AA2C77"/>
    <w:rsid w:val="00AB627F"/>
    <w:rsid w:val="00AB67EF"/>
    <w:rsid w:val="00AC576A"/>
    <w:rsid w:val="00AD0E18"/>
    <w:rsid w:val="00AD5919"/>
    <w:rsid w:val="00AD6048"/>
    <w:rsid w:val="00AF6B4B"/>
    <w:rsid w:val="00AF7DA9"/>
    <w:rsid w:val="00B0224F"/>
    <w:rsid w:val="00B062B3"/>
    <w:rsid w:val="00B13093"/>
    <w:rsid w:val="00B13D17"/>
    <w:rsid w:val="00B16504"/>
    <w:rsid w:val="00B17D51"/>
    <w:rsid w:val="00B24201"/>
    <w:rsid w:val="00B43B18"/>
    <w:rsid w:val="00B45F1E"/>
    <w:rsid w:val="00B50518"/>
    <w:rsid w:val="00B61244"/>
    <w:rsid w:val="00B61F66"/>
    <w:rsid w:val="00B6558C"/>
    <w:rsid w:val="00B70F23"/>
    <w:rsid w:val="00B77529"/>
    <w:rsid w:val="00B851DC"/>
    <w:rsid w:val="00B87248"/>
    <w:rsid w:val="00B95BAD"/>
    <w:rsid w:val="00BA3B3A"/>
    <w:rsid w:val="00BA4C59"/>
    <w:rsid w:val="00BA663E"/>
    <w:rsid w:val="00BB2A6D"/>
    <w:rsid w:val="00BB3E8E"/>
    <w:rsid w:val="00BB3F35"/>
    <w:rsid w:val="00BD2EB7"/>
    <w:rsid w:val="00BD4812"/>
    <w:rsid w:val="00BD5D24"/>
    <w:rsid w:val="00BE42D5"/>
    <w:rsid w:val="00BE5FC8"/>
    <w:rsid w:val="00BE7ACB"/>
    <w:rsid w:val="00BF6B44"/>
    <w:rsid w:val="00BF7574"/>
    <w:rsid w:val="00C01283"/>
    <w:rsid w:val="00C078A2"/>
    <w:rsid w:val="00C13CE1"/>
    <w:rsid w:val="00C268A2"/>
    <w:rsid w:val="00C27B2A"/>
    <w:rsid w:val="00C35D00"/>
    <w:rsid w:val="00C42C04"/>
    <w:rsid w:val="00C434AA"/>
    <w:rsid w:val="00C45409"/>
    <w:rsid w:val="00C463E0"/>
    <w:rsid w:val="00C46CF1"/>
    <w:rsid w:val="00C47C97"/>
    <w:rsid w:val="00C51EFC"/>
    <w:rsid w:val="00C601E3"/>
    <w:rsid w:val="00C76472"/>
    <w:rsid w:val="00C825AA"/>
    <w:rsid w:val="00C86D4F"/>
    <w:rsid w:val="00C92717"/>
    <w:rsid w:val="00C9475F"/>
    <w:rsid w:val="00CA79AF"/>
    <w:rsid w:val="00CB2D4B"/>
    <w:rsid w:val="00CB7B12"/>
    <w:rsid w:val="00CC73AB"/>
    <w:rsid w:val="00CD40C4"/>
    <w:rsid w:val="00CD484E"/>
    <w:rsid w:val="00CD4EF9"/>
    <w:rsid w:val="00CF1398"/>
    <w:rsid w:val="00CF6653"/>
    <w:rsid w:val="00D076F9"/>
    <w:rsid w:val="00D11EF2"/>
    <w:rsid w:val="00D2031E"/>
    <w:rsid w:val="00D23650"/>
    <w:rsid w:val="00D25F35"/>
    <w:rsid w:val="00D310C5"/>
    <w:rsid w:val="00D32BBA"/>
    <w:rsid w:val="00D37CC7"/>
    <w:rsid w:val="00D5201F"/>
    <w:rsid w:val="00D52C9E"/>
    <w:rsid w:val="00D66513"/>
    <w:rsid w:val="00D7190D"/>
    <w:rsid w:val="00D868CA"/>
    <w:rsid w:val="00DA24BB"/>
    <w:rsid w:val="00DA7528"/>
    <w:rsid w:val="00DB2483"/>
    <w:rsid w:val="00DC0E56"/>
    <w:rsid w:val="00DC3AA0"/>
    <w:rsid w:val="00DC5545"/>
    <w:rsid w:val="00DC7A32"/>
    <w:rsid w:val="00DE609B"/>
    <w:rsid w:val="00DE71A4"/>
    <w:rsid w:val="00DF0EB3"/>
    <w:rsid w:val="00DF1C5C"/>
    <w:rsid w:val="00DF2B42"/>
    <w:rsid w:val="00DF4E92"/>
    <w:rsid w:val="00DF5BA6"/>
    <w:rsid w:val="00E12548"/>
    <w:rsid w:val="00E426D6"/>
    <w:rsid w:val="00E50C5F"/>
    <w:rsid w:val="00E53C4C"/>
    <w:rsid w:val="00E61AD5"/>
    <w:rsid w:val="00E620B9"/>
    <w:rsid w:val="00E63EF1"/>
    <w:rsid w:val="00E6760E"/>
    <w:rsid w:val="00E71333"/>
    <w:rsid w:val="00E8473D"/>
    <w:rsid w:val="00E93E33"/>
    <w:rsid w:val="00EA0C09"/>
    <w:rsid w:val="00EA1259"/>
    <w:rsid w:val="00EA27ED"/>
    <w:rsid w:val="00EA7489"/>
    <w:rsid w:val="00EB1930"/>
    <w:rsid w:val="00EB53F6"/>
    <w:rsid w:val="00EC1AC1"/>
    <w:rsid w:val="00EC6726"/>
    <w:rsid w:val="00EE0607"/>
    <w:rsid w:val="00EF3246"/>
    <w:rsid w:val="00EF4BEC"/>
    <w:rsid w:val="00EF5A00"/>
    <w:rsid w:val="00F02522"/>
    <w:rsid w:val="00F0732E"/>
    <w:rsid w:val="00F27A4B"/>
    <w:rsid w:val="00F305E4"/>
    <w:rsid w:val="00F30DFD"/>
    <w:rsid w:val="00F33808"/>
    <w:rsid w:val="00F34A4D"/>
    <w:rsid w:val="00F36B7D"/>
    <w:rsid w:val="00F4140D"/>
    <w:rsid w:val="00F42BC1"/>
    <w:rsid w:val="00F643B8"/>
    <w:rsid w:val="00F66DD7"/>
    <w:rsid w:val="00F7146B"/>
    <w:rsid w:val="00F74C4E"/>
    <w:rsid w:val="00F76E88"/>
    <w:rsid w:val="00F80C3E"/>
    <w:rsid w:val="00F8775C"/>
    <w:rsid w:val="00FA6B0B"/>
    <w:rsid w:val="00FB1410"/>
    <w:rsid w:val="00FB1E06"/>
    <w:rsid w:val="00FC3029"/>
    <w:rsid w:val="00FC71C9"/>
    <w:rsid w:val="00FE551C"/>
    <w:rsid w:val="00FF294F"/>
    <w:rsid w:val="00FF2ACA"/>
    <w:rsid w:val="00FF5A01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6B31FDD-BD8E-4389-8266-142D852D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A27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uiPriority w:val="99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"/>
    <w:basedOn w:val="Normalny"/>
    <w:link w:val="AkapitzlistZnak"/>
    <w:uiPriority w:val="99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PogrubienieTeksttreci9pt">
    <w:name w:val="Pogrubienie;Tekst treści + 9 pt"/>
    <w:basedOn w:val="Teksttreci"/>
    <w:rsid w:val="000B4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pl-PL" w:eastAsia="pl-PL" w:bidi="pl-PL"/>
    </w:rPr>
  </w:style>
  <w:style w:type="character" w:styleId="Numerstrony">
    <w:name w:val="page number"/>
    <w:basedOn w:val="Domylnaczcionkaakapitu"/>
    <w:rsid w:val="00510A32"/>
  </w:style>
  <w:style w:type="paragraph" w:customStyle="1" w:styleId="ProPublico1">
    <w:name w:val="ProPublico1"/>
    <w:basedOn w:val="Normalny"/>
    <w:rsid w:val="00510A32"/>
    <w:pPr>
      <w:suppressAutoHyphens w:val="0"/>
      <w:spacing w:after="0" w:line="360" w:lineRule="auto"/>
      <w:jc w:val="both"/>
      <w:outlineLvl w:val="0"/>
    </w:pPr>
    <w:rPr>
      <w:rFonts w:ascii="Arial" w:hAnsi="Arial" w:cs="Times New Roman"/>
      <w:b/>
      <w:noProof/>
      <w:szCs w:val="20"/>
      <w:lang w:eastAsia="pl-PL"/>
    </w:rPr>
  </w:style>
  <w:style w:type="paragraph" w:customStyle="1" w:styleId="Standard">
    <w:name w:val="Standard"/>
    <w:qFormat/>
    <w:rsid w:val="00510A3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ekstpodstawowy22">
    <w:name w:val="Tekst podstawowy 22"/>
    <w:basedOn w:val="Normalny"/>
    <w:rsid w:val="00510A32"/>
    <w:pPr>
      <w:widowControl w:val="0"/>
      <w:suppressAutoHyphens w:val="0"/>
      <w:spacing w:after="0" w:line="240" w:lineRule="auto"/>
      <w:jc w:val="both"/>
    </w:pPr>
    <w:rPr>
      <w:rFonts w:ascii="Arial" w:hAnsi="Arial" w:cs="Times New Roman"/>
      <w:szCs w:val="20"/>
      <w:lang w:eastAsia="pl-PL"/>
    </w:rPr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EA27ED"/>
    <w:rPr>
      <w:rFonts w:cs="Calibri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A27E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ar-SA"/>
    </w:rPr>
  </w:style>
  <w:style w:type="numbering" w:customStyle="1" w:styleId="WWNum10">
    <w:name w:val="WWNum10"/>
    <w:basedOn w:val="Bezlisty"/>
    <w:rsid w:val="000912C1"/>
    <w:pPr>
      <w:numPr>
        <w:numId w:val="30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4C59"/>
    <w:pPr>
      <w:suppressAutoHyphens w:val="0"/>
    </w:pPr>
    <w:rPr>
      <w:rFonts w:eastAsia="Calibri" w:cs="Times New Roman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4C59"/>
    <w:rPr>
      <w:rFonts w:eastAsia="Calibri"/>
      <w:lang w:val="x-none" w:eastAsia="en-US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"/>
    <w:link w:val="Akapitzlist"/>
    <w:uiPriority w:val="99"/>
    <w:locked/>
    <w:rsid w:val="00BA4C5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EEBEF-04FE-41D6-9605-AF092335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3123</Words>
  <Characters>18741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21821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Agnieszka Kukla</cp:lastModifiedBy>
  <cp:revision>2</cp:revision>
  <cp:lastPrinted>2020-07-02T12:34:00Z</cp:lastPrinted>
  <dcterms:created xsi:type="dcterms:W3CDTF">2021-04-08T12:38:00Z</dcterms:created>
  <dcterms:modified xsi:type="dcterms:W3CDTF">2021-04-08T12:38:00Z</dcterms:modified>
</cp:coreProperties>
</file>